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hint="eastAsia" w:ascii="宋体" w:hAnsi="宋体" w:eastAsia="宋体" w:cs="宋体"/>
          <w:b/>
          <w:bCs/>
          <w:color w:val="auto"/>
          <w:sz w:val="28"/>
          <w:szCs w:val="28"/>
        </w:rPr>
      </w:pPr>
    </w:p>
    <w:p>
      <w:pPr>
        <w:spacing w:before="240" w:beforeLines="100" w:line="360" w:lineRule="auto"/>
        <w:jc w:val="center"/>
        <w:rPr>
          <w:rFonts w:hint="eastAsia" w:ascii="宋体" w:hAnsi="宋体" w:eastAsia="宋体" w:cs="宋体"/>
          <w:b/>
          <w:bCs/>
          <w:color w:val="auto"/>
          <w:spacing w:val="100"/>
          <w:sz w:val="96"/>
          <w:szCs w:val="96"/>
        </w:rPr>
      </w:pPr>
      <w:r>
        <w:rPr>
          <w:rFonts w:hint="eastAsia" w:ascii="宋体" w:hAnsi="宋体" w:eastAsia="宋体" w:cs="宋体"/>
          <w:b/>
          <w:bCs/>
          <w:color w:val="auto"/>
          <w:spacing w:val="100"/>
          <w:sz w:val="96"/>
          <w:szCs w:val="96"/>
        </w:rPr>
        <w:t>政府采购</w:t>
      </w:r>
    </w:p>
    <w:p>
      <w:pPr>
        <w:spacing w:line="360" w:lineRule="auto"/>
        <w:rPr>
          <w:rFonts w:hint="eastAsia" w:ascii="宋体" w:hAnsi="宋体" w:eastAsia="宋体" w:cs="宋体"/>
          <w:b/>
          <w:bCs/>
          <w:color w:val="auto"/>
          <w:spacing w:val="100"/>
          <w:sz w:val="28"/>
          <w:szCs w:val="28"/>
        </w:rPr>
      </w:pPr>
    </w:p>
    <w:p>
      <w:pPr>
        <w:spacing w:line="480" w:lineRule="auto"/>
        <w:jc w:val="both"/>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项目名称：</w:t>
      </w:r>
      <w:r>
        <w:rPr>
          <w:rFonts w:hint="eastAsia" w:ascii="宋体" w:hAnsi="宋体" w:eastAsia="宋体" w:cs="宋体"/>
          <w:b/>
          <w:color w:val="auto"/>
          <w:sz w:val="30"/>
          <w:szCs w:val="30"/>
          <w:lang w:val="en-US" w:eastAsia="zh-CN"/>
        </w:rPr>
        <w:t>康王路下穿</w:t>
      </w:r>
      <w:r>
        <w:rPr>
          <w:rFonts w:hint="eastAsia" w:ascii="宋体" w:hAnsi="宋体" w:cs="宋体"/>
          <w:b/>
          <w:color w:val="auto"/>
          <w:sz w:val="30"/>
          <w:szCs w:val="30"/>
          <w:lang w:val="en-US" w:eastAsia="zh-CN"/>
        </w:rPr>
        <w:t>流花湖</w:t>
      </w:r>
      <w:r>
        <w:rPr>
          <w:rFonts w:hint="eastAsia" w:ascii="宋体" w:hAnsi="宋体" w:eastAsia="宋体" w:cs="宋体"/>
          <w:b/>
          <w:color w:val="auto"/>
          <w:sz w:val="30"/>
          <w:szCs w:val="30"/>
          <w:lang w:val="en-US" w:eastAsia="zh-CN"/>
        </w:rPr>
        <w:t>隧道工程站前路93-99号房屋加固工程监理</w:t>
      </w:r>
    </w:p>
    <w:p>
      <w:pPr>
        <w:spacing w:line="480" w:lineRule="auto"/>
        <w:jc w:val="center"/>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项目编号：CZ202</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0</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-B</w:t>
      </w:r>
      <w:r>
        <w:rPr>
          <w:rFonts w:hint="eastAsia" w:ascii="宋体" w:hAnsi="宋体" w:eastAsia="宋体" w:cs="宋体"/>
          <w:b/>
          <w:color w:val="auto"/>
          <w:sz w:val="30"/>
          <w:szCs w:val="30"/>
          <w:lang w:val="en-US" w:eastAsia="zh-CN"/>
        </w:rPr>
        <w:t>011</w:t>
      </w:r>
      <w:r>
        <w:rPr>
          <w:rFonts w:hint="eastAsia" w:ascii="宋体" w:hAnsi="宋体" w:cs="宋体"/>
          <w:b/>
          <w:color w:val="auto"/>
          <w:sz w:val="30"/>
          <w:szCs w:val="30"/>
          <w:lang w:val="en-US" w:eastAsia="zh-CN"/>
        </w:rPr>
        <w:t>7</w:t>
      </w:r>
    </w:p>
    <w:p>
      <w:pPr>
        <w:spacing w:line="360" w:lineRule="auto"/>
        <w:rPr>
          <w:rFonts w:hint="eastAsia" w:ascii="宋体" w:hAnsi="宋体" w:eastAsia="宋体" w:cs="宋体"/>
          <w:color w:val="auto"/>
          <w:sz w:val="84"/>
        </w:rPr>
      </w:pPr>
    </w:p>
    <w:p>
      <w:pPr>
        <w:spacing w:line="360" w:lineRule="auto"/>
        <w:ind w:firstLine="1687" w:firstLineChars="200"/>
        <w:rPr>
          <w:rFonts w:hint="eastAsia" w:ascii="宋体" w:hAnsi="宋体" w:eastAsia="宋体" w:cs="宋体"/>
          <w:color w:val="auto"/>
          <w:sz w:val="32"/>
          <w:szCs w:val="32"/>
        </w:rPr>
      </w:pPr>
      <w:r>
        <w:rPr>
          <w:rFonts w:hint="eastAsia" w:ascii="宋体" w:hAnsi="宋体" w:eastAsia="宋体" w:cs="宋体"/>
          <w:b/>
          <w:color w:val="auto"/>
          <w:sz w:val="84"/>
        </w:rPr>
        <w:t>竞争性磋商文件</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napToGrid w:val="0"/>
        <w:spacing w:line="360" w:lineRule="auto"/>
        <w:ind w:firstLine="1205" w:firstLineChars="400"/>
        <w:rPr>
          <w:rFonts w:hint="eastAsia" w:ascii="宋体" w:hAnsi="宋体" w:eastAsia="宋体" w:cs="宋体"/>
          <w:b/>
          <w:color w:val="auto"/>
          <w:sz w:val="30"/>
          <w:szCs w:val="30"/>
        </w:rPr>
      </w:pPr>
      <w:r>
        <w:rPr>
          <w:rFonts w:hint="eastAsia" w:ascii="宋体" w:hAnsi="宋体" w:eastAsia="宋体" w:cs="宋体"/>
          <w:b/>
          <w:color w:val="auto"/>
          <w:sz w:val="30"/>
          <w:szCs w:val="30"/>
        </w:rPr>
        <w:t>采购人：</w:t>
      </w:r>
      <w:r>
        <w:rPr>
          <w:rFonts w:hint="eastAsia" w:ascii="宋体" w:hAnsi="宋体" w:eastAsia="宋体" w:cs="宋体"/>
          <w:b/>
          <w:color w:val="auto"/>
          <w:sz w:val="30"/>
          <w:szCs w:val="30"/>
          <w:lang w:eastAsia="zh-CN"/>
        </w:rPr>
        <w:t>广州市荔湾区道路扩建工程办公室</w:t>
      </w:r>
    </w:p>
    <w:p>
      <w:pPr>
        <w:snapToGrid w:val="0"/>
        <w:spacing w:line="360" w:lineRule="auto"/>
        <w:ind w:firstLine="1205" w:firstLineChars="400"/>
        <w:rPr>
          <w:rFonts w:hint="eastAsia" w:ascii="宋体" w:hAnsi="宋体" w:eastAsia="宋体" w:cs="宋体"/>
          <w:b/>
          <w:color w:val="auto"/>
          <w:sz w:val="30"/>
          <w:szCs w:val="30"/>
        </w:rPr>
      </w:pPr>
      <w:r>
        <w:rPr>
          <w:rFonts w:hint="eastAsia" w:ascii="宋体" w:hAnsi="宋体" w:eastAsia="宋体" w:cs="宋体"/>
          <w:b/>
          <w:color w:val="auto"/>
          <w:sz w:val="30"/>
          <w:szCs w:val="30"/>
        </w:rPr>
        <w:t>采购代理机构：成致项目管理有限公司</w:t>
      </w:r>
    </w:p>
    <w:p>
      <w:pPr>
        <w:snapToGrid w:val="0"/>
        <w:spacing w:line="360" w:lineRule="auto"/>
        <w:ind w:firstLine="1205" w:firstLineChars="400"/>
        <w:rPr>
          <w:rStyle w:val="94"/>
          <w:rFonts w:hint="eastAsia" w:ascii="宋体" w:hAnsi="宋体" w:eastAsia="宋体" w:cs="宋体"/>
          <w:b/>
          <w:color w:val="auto"/>
          <w:sz w:val="30"/>
          <w:szCs w:val="30"/>
        </w:rPr>
        <w:sectPr>
          <w:headerReference r:id="rId3" w:type="first"/>
          <w:footerReference r:id="rId5" w:type="first"/>
          <w:footerReference r:id="rId4" w:type="even"/>
          <w:pgSz w:w="11906" w:h="16838"/>
          <w:pgMar w:top="1134" w:right="1418" w:bottom="1134" w:left="1418" w:header="567" w:footer="737" w:gutter="0"/>
          <w:cols w:space="720" w:num="1"/>
          <w:titlePg/>
          <w:docGrid w:linePitch="312" w:charSpace="0"/>
        </w:sectPr>
      </w:pPr>
      <w:r>
        <w:rPr>
          <w:rFonts w:hint="eastAsia" w:ascii="宋体" w:hAnsi="宋体" w:eastAsia="宋体" w:cs="宋体"/>
          <w:b/>
          <w:color w:val="auto"/>
          <w:sz w:val="30"/>
          <w:szCs w:val="30"/>
        </w:rPr>
        <w:t>日        期：</w:t>
      </w:r>
      <w:bookmarkStart w:id="0" w:name="_Toc14450806"/>
      <w:bookmarkStart w:id="1" w:name="_Toc28489433"/>
      <w:r>
        <w:rPr>
          <w:rStyle w:val="94"/>
          <w:rFonts w:hint="eastAsia" w:ascii="宋体" w:hAnsi="宋体" w:eastAsia="宋体" w:cs="宋体"/>
          <w:b/>
          <w:color w:val="auto"/>
          <w:sz w:val="30"/>
          <w:szCs w:val="30"/>
          <w:u w:val="none"/>
        </w:rPr>
        <w:t xml:space="preserve"> 二○二</w:t>
      </w:r>
      <w:r>
        <w:rPr>
          <w:rStyle w:val="94"/>
          <w:rFonts w:hint="eastAsia" w:ascii="宋体" w:hAnsi="宋体" w:eastAsia="宋体" w:cs="宋体"/>
          <w:b/>
          <w:color w:val="auto"/>
          <w:sz w:val="30"/>
          <w:szCs w:val="30"/>
          <w:u w:val="none"/>
          <w:lang w:val="en-US" w:eastAsia="zh-CN"/>
        </w:rPr>
        <w:t>二</w:t>
      </w:r>
      <w:r>
        <w:rPr>
          <w:rStyle w:val="94"/>
          <w:rFonts w:hint="eastAsia" w:ascii="宋体" w:hAnsi="宋体" w:eastAsia="宋体" w:cs="宋体"/>
          <w:b/>
          <w:color w:val="auto"/>
          <w:sz w:val="30"/>
          <w:szCs w:val="30"/>
          <w:u w:val="none"/>
        </w:rPr>
        <w:t>年</w:t>
      </w:r>
      <w:r>
        <w:rPr>
          <w:rStyle w:val="94"/>
          <w:rFonts w:hint="eastAsia" w:ascii="宋体" w:hAnsi="宋体" w:eastAsia="宋体" w:cs="宋体"/>
          <w:b/>
          <w:color w:val="auto"/>
          <w:sz w:val="30"/>
          <w:szCs w:val="30"/>
          <w:u w:val="none"/>
          <w:lang w:val="en-US" w:eastAsia="zh-CN"/>
        </w:rPr>
        <w:t>二</w:t>
      </w:r>
      <w:r>
        <w:rPr>
          <w:rStyle w:val="94"/>
          <w:rFonts w:hint="eastAsia" w:ascii="宋体" w:hAnsi="宋体" w:eastAsia="宋体" w:cs="宋体"/>
          <w:b/>
          <w:color w:val="auto"/>
          <w:sz w:val="30"/>
          <w:szCs w:val="30"/>
          <w:u w:val="none"/>
        </w:rPr>
        <w:t>月</w:t>
      </w:r>
    </w:p>
    <w:p>
      <w:pPr>
        <w:spacing w:before="120" w:beforeLines="50" w:after="120" w:afterLines="50" w:line="360" w:lineRule="auto"/>
        <w:rPr>
          <w:rFonts w:hint="eastAsia" w:ascii="宋体" w:hAnsi="宋体" w:eastAsia="宋体" w:cs="宋体"/>
          <w:b/>
          <w:color w:val="auto"/>
          <w:sz w:val="36"/>
        </w:rPr>
      </w:pPr>
    </w:p>
    <w:p>
      <w:pPr>
        <w:spacing w:before="120" w:beforeLines="50" w:after="120" w:afterLines="50" w:line="360" w:lineRule="auto"/>
        <w:jc w:val="center"/>
        <w:rPr>
          <w:rFonts w:hint="eastAsia" w:ascii="宋体" w:hAnsi="宋体" w:eastAsia="宋体" w:cs="宋体"/>
          <w:b/>
          <w:color w:val="auto"/>
          <w:sz w:val="36"/>
        </w:rPr>
      </w:pPr>
    </w:p>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温馨提示</w:t>
      </w:r>
    </w:p>
    <w:p>
      <w:pPr>
        <w:spacing w:line="360" w:lineRule="auto"/>
        <w:rPr>
          <w:rFonts w:hint="eastAsia" w:ascii="宋体" w:hAnsi="宋体" w:eastAsia="宋体" w:cs="宋体"/>
          <w:color w:val="auto"/>
          <w:szCs w:val="21"/>
        </w:rPr>
      </w:pP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如无另行说明，投标/报价文件递交时间为投标/报价文件</w:t>
      </w:r>
      <w:r>
        <w:rPr>
          <w:rFonts w:hint="eastAsia" w:ascii="宋体" w:hAnsi="宋体" w:eastAsia="宋体" w:cs="宋体"/>
          <w:b/>
          <w:color w:val="auto"/>
          <w:szCs w:val="21"/>
          <w:u w:val="single"/>
        </w:rPr>
        <w:t>递交截止时间之前30分钟内。</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为避免因迟到而失去投标/报价资格，请</w:t>
      </w:r>
      <w:r>
        <w:rPr>
          <w:rFonts w:hint="eastAsia" w:ascii="宋体" w:hAnsi="宋体" w:eastAsia="宋体" w:cs="宋体"/>
          <w:b/>
          <w:color w:val="auto"/>
          <w:szCs w:val="21"/>
          <w:u w:val="single"/>
        </w:rPr>
        <w:t>适当提前到达</w:t>
      </w:r>
      <w:r>
        <w:rPr>
          <w:rFonts w:hint="eastAsia" w:ascii="宋体" w:hAnsi="宋体" w:eastAsia="宋体" w:cs="宋体"/>
          <w:color w:val="auto"/>
          <w:szCs w:val="21"/>
        </w:rPr>
        <w:t>。</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投标/报价文件应按顺序</w:t>
      </w:r>
      <w:r>
        <w:rPr>
          <w:rFonts w:hint="eastAsia" w:ascii="宋体" w:hAnsi="宋体" w:eastAsia="宋体" w:cs="宋体"/>
          <w:b/>
          <w:color w:val="auto"/>
          <w:szCs w:val="21"/>
          <w:u w:val="single"/>
        </w:rPr>
        <w:t>编制页码</w:t>
      </w:r>
      <w:r>
        <w:rPr>
          <w:rFonts w:hint="eastAsia" w:ascii="宋体" w:hAnsi="宋体" w:eastAsia="宋体" w:cs="宋体"/>
          <w:color w:val="auto"/>
          <w:szCs w:val="21"/>
        </w:rPr>
        <w:t>。</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请仔细检查投标/报价文件是否已按采购文件要求</w:t>
      </w:r>
      <w:r>
        <w:rPr>
          <w:rFonts w:hint="eastAsia" w:ascii="宋体" w:hAnsi="宋体" w:eastAsia="宋体" w:cs="宋体"/>
          <w:b/>
          <w:color w:val="auto"/>
          <w:szCs w:val="21"/>
          <w:u w:val="single"/>
        </w:rPr>
        <w:t>盖章、签名、签署日期</w:t>
      </w:r>
      <w:r>
        <w:rPr>
          <w:rFonts w:hint="eastAsia" w:ascii="宋体" w:hAnsi="宋体" w:eastAsia="宋体" w:cs="宋体"/>
          <w:color w:val="auto"/>
          <w:szCs w:val="21"/>
        </w:rPr>
        <w:t>。</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请正确填写《报价一览表》。多子包项目请仔细检查子包号，子包号与子包名称必须对应。</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如投标/报价产品属于许可证管理范围内的，须提交相应的许可证复印件。</w:t>
      </w:r>
    </w:p>
    <w:p>
      <w:pPr>
        <w:numPr>
          <w:ilvl w:val="0"/>
          <w:numId w:val="1"/>
        </w:numPr>
        <w:tabs>
          <w:tab w:val="left" w:pos="540"/>
        </w:tabs>
        <w:spacing w:line="600" w:lineRule="auto"/>
        <w:ind w:left="540" w:hanging="540"/>
        <w:rPr>
          <w:rFonts w:hint="eastAsia" w:ascii="宋体" w:hAnsi="宋体" w:eastAsia="宋体" w:cs="宋体"/>
          <w:color w:val="auto"/>
          <w:szCs w:val="21"/>
        </w:rPr>
      </w:pPr>
      <w:r>
        <w:rPr>
          <w:rFonts w:hint="eastAsia" w:ascii="宋体" w:hAnsi="宋体" w:eastAsia="宋体" w:cs="宋体"/>
          <w:color w:val="auto"/>
          <w:szCs w:val="21"/>
        </w:rPr>
        <w:t>如投标/报价供应商以非独立法人注册的分公司名义代表总公司盖章和签署文件的，须提供总公司的营业执照副本复印件及总公司针对本项目投标/报价的授权书原件。</w:t>
      </w:r>
    </w:p>
    <w:p>
      <w:pPr>
        <w:numPr>
          <w:ilvl w:val="0"/>
          <w:numId w:val="1"/>
        </w:numPr>
        <w:tabs>
          <w:tab w:val="left" w:pos="540"/>
        </w:tabs>
        <w:spacing w:line="600" w:lineRule="auto"/>
        <w:ind w:left="540" w:hanging="540"/>
        <w:rPr>
          <w:rFonts w:hint="eastAsia" w:ascii="宋体" w:hAnsi="宋体" w:eastAsia="宋体" w:cs="宋体"/>
          <w:color w:val="auto"/>
          <w:szCs w:val="21"/>
        </w:rPr>
      </w:pPr>
      <w:r>
        <w:rPr>
          <w:rFonts w:hint="eastAsia" w:ascii="宋体" w:hAnsi="宋体" w:eastAsia="宋体" w:cs="宋体"/>
          <w:b/>
          <w:bCs/>
          <w:color w:val="auto"/>
          <w:szCs w:val="21"/>
        </w:rPr>
        <w:t>加★号的条款均被视为重要的指标要求，必须一一响应。若有一项带“★”的指标要求未响应或不满足，将按投标无效处理。</w:t>
      </w:r>
      <w:r>
        <w:rPr>
          <w:rFonts w:hint="eastAsia" w:ascii="宋体" w:hAnsi="宋体" w:eastAsia="宋体" w:cs="宋体"/>
          <w:color w:val="auto"/>
          <w:szCs w:val="21"/>
        </w:rPr>
        <w:t xml:space="preserve"> </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以联合体形式投标/报价的，请提交《联合体共同投标协议书》。</w:t>
      </w:r>
    </w:p>
    <w:p>
      <w:pPr>
        <w:numPr>
          <w:ilvl w:val="0"/>
          <w:numId w:val="1"/>
        </w:numPr>
        <w:tabs>
          <w:tab w:val="left" w:pos="540"/>
        </w:tabs>
        <w:spacing w:line="600" w:lineRule="auto"/>
        <w:ind w:left="851" w:hanging="851"/>
        <w:rPr>
          <w:rFonts w:hint="eastAsia" w:ascii="宋体" w:hAnsi="宋体" w:eastAsia="宋体" w:cs="宋体"/>
          <w:color w:val="auto"/>
          <w:szCs w:val="21"/>
        </w:rPr>
      </w:pPr>
      <w:r>
        <w:rPr>
          <w:rFonts w:hint="eastAsia" w:ascii="宋体" w:hAnsi="宋体" w:eastAsia="宋体" w:cs="宋体"/>
          <w:color w:val="auto"/>
          <w:szCs w:val="21"/>
        </w:rPr>
        <w:t>投标/报价供应商为中型、小型、微型企业的，请提交《中小企业声明函》。</w:t>
      </w:r>
    </w:p>
    <w:p>
      <w:pPr>
        <w:numPr>
          <w:ilvl w:val="0"/>
          <w:numId w:val="1"/>
        </w:numPr>
        <w:tabs>
          <w:tab w:val="left" w:pos="540"/>
        </w:tabs>
        <w:spacing w:line="600" w:lineRule="auto"/>
        <w:ind w:left="540" w:hanging="540"/>
        <w:rPr>
          <w:rFonts w:hint="eastAsia" w:ascii="宋体" w:hAnsi="宋体" w:eastAsia="宋体" w:cs="宋体"/>
          <w:color w:val="auto"/>
          <w:szCs w:val="21"/>
        </w:rPr>
      </w:pPr>
      <w:r>
        <w:rPr>
          <w:rFonts w:hint="eastAsia" w:ascii="宋体" w:hAnsi="宋体" w:eastAsia="宋体" w:cs="宋体"/>
          <w:color w:val="auto"/>
          <w:szCs w:val="21"/>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120" w:beforeLines="50" w:after="120" w:afterLines="50" w:line="600" w:lineRule="auto"/>
        <w:jc w:val="center"/>
        <w:rPr>
          <w:rFonts w:hint="eastAsia" w:ascii="宋体" w:hAnsi="宋体" w:eastAsia="宋体" w:cs="宋体"/>
          <w:b/>
          <w:color w:val="auto"/>
          <w:sz w:val="36"/>
        </w:rPr>
      </w:pPr>
      <w:r>
        <w:rPr>
          <w:rFonts w:hint="eastAsia" w:ascii="宋体" w:hAnsi="宋体" w:eastAsia="宋体" w:cs="宋体"/>
          <w:color w:val="auto"/>
          <w:szCs w:val="21"/>
        </w:rPr>
        <w:tab/>
      </w:r>
      <w:r>
        <w:rPr>
          <w:rFonts w:hint="eastAsia" w:ascii="宋体" w:hAnsi="宋体" w:eastAsia="宋体" w:cs="宋体"/>
          <w:color w:val="auto"/>
          <w:szCs w:val="21"/>
        </w:rPr>
        <w:t>（本提示内容非采购文件的组成部分，仅为善意提醒。如有不一致，以采购文件为准）</w:t>
      </w:r>
      <w:r>
        <w:rPr>
          <w:rFonts w:hint="eastAsia" w:ascii="宋体" w:hAnsi="宋体" w:eastAsia="宋体" w:cs="宋体"/>
          <w:b/>
          <w:color w:val="auto"/>
          <w:sz w:val="36"/>
        </w:rPr>
        <w:br w:type="page"/>
      </w:r>
      <w:r>
        <w:rPr>
          <w:rFonts w:hint="eastAsia" w:ascii="宋体" w:hAnsi="宋体" w:eastAsia="宋体" w:cs="宋体"/>
          <w:b/>
          <w:color w:val="auto"/>
          <w:sz w:val="36"/>
        </w:rPr>
        <w:t>目   录</w:t>
      </w:r>
    </w:p>
    <w:p>
      <w:pPr>
        <w:pStyle w:val="59"/>
        <w:tabs>
          <w:tab w:val="right" w:leader="dot" w:pos="9241"/>
        </w:tabs>
        <w:rPr>
          <w:color w:val="auto"/>
        </w:rPr>
      </w:pPr>
      <w:r>
        <w:rPr>
          <w:rStyle w:val="94"/>
          <w:rFonts w:hint="eastAsia" w:ascii="宋体" w:hAnsi="宋体" w:eastAsia="宋体" w:cs="宋体"/>
          <w:smallCaps/>
          <w:color w:val="auto"/>
          <w:sz w:val="28"/>
          <w:szCs w:val="28"/>
        </w:rPr>
        <w:fldChar w:fldCharType="begin"/>
      </w:r>
      <w:r>
        <w:rPr>
          <w:rStyle w:val="94"/>
          <w:rFonts w:hint="eastAsia" w:ascii="宋体" w:hAnsi="宋体" w:eastAsia="宋体" w:cs="宋体"/>
          <w:smallCaps/>
          <w:color w:val="auto"/>
          <w:sz w:val="28"/>
          <w:szCs w:val="28"/>
        </w:rPr>
        <w:instrText xml:space="preserve">TOC \o "1-1" \h \u </w:instrText>
      </w:r>
      <w:r>
        <w:rPr>
          <w:rStyle w:val="94"/>
          <w:rFonts w:hint="eastAsia" w:ascii="宋体" w:hAnsi="宋体" w:eastAsia="宋体" w:cs="宋体"/>
          <w:smallCaps/>
          <w:color w:val="auto"/>
          <w:sz w:val="28"/>
          <w:szCs w:val="28"/>
        </w:rPr>
        <w:fldChar w:fldCharType="separate"/>
      </w: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_Toc4067 </w:instrText>
      </w:r>
      <w:r>
        <w:rPr>
          <w:rFonts w:hint="eastAsia" w:ascii="宋体" w:hAnsi="宋体" w:eastAsia="宋体" w:cs="宋体"/>
          <w:smallCaps/>
          <w:color w:val="auto"/>
          <w:szCs w:val="28"/>
        </w:rPr>
        <w:fldChar w:fldCharType="separate"/>
      </w:r>
      <w:r>
        <w:rPr>
          <w:rFonts w:hint="eastAsia" w:ascii="宋体" w:hAnsi="宋体" w:eastAsia="宋体" w:cs="宋体"/>
          <w:color w:val="auto"/>
        </w:rPr>
        <w:t>第一章 竞争性磋商公告</w:t>
      </w:r>
      <w:r>
        <w:rPr>
          <w:color w:val="auto"/>
        </w:rPr>
        <w:tab/>
      </w:r>
      <w:r>
        <w:rPr>
          <w:color w:val="auto"/>
        </w:rPr>
        <w:fldChar w:fldCharType="begin"/>
      </w:r>
      <w:r>
        <w:rPr>
          <w:color w:val="auto"/>
        </w:rPr>
        <w:instrText xml:space="preserve"> PAGEREF _Toc4067 </w:instrText>
      </w:r>
      <w:r>
        <w:rPr>
          <w:color w:val="auto"/>
        </w:rPr>
        <w:fldChar w:fldCharType="separate"/>
      </w:r>
      <w:r>
        <w:rPr>
          <w:color w:val="auto"/>
        </w:rPr>
        <w:t>1</w:t>
      </w:r>
      <w:r>
        <w:rPr>
          <w:color w:val="auto"/>
        </w:rPr>
        <w:fldChar w:fldCharType="end"/>
      </w:r>
      <w:r>
        <w:rPr>
          <w:rFonts w:hint="eastAsia" w:ascii="宋体" w:hAnsi="宋体" w:eastAsia="宋体" w:cs="宋体"/>
          <w:smallCaps/>
          <w:color w:val="auto"/>
          <w:szCs w:val="28"/>
        </w:rPr>
        <w:fldChar w:fldCharType="end"/>
      </w:r>
    </w:p>
    <w:p>
      <w:pPr>
        <w:pStyle w:val="59"/>
        <w:tabs>
          <w:tab w:val="right" w:leader="dot" w:pos="9241"/>
        </w:tabs>
        <w:rPr>
          <w:color w:val="auto"/>
        </w:rPr>
      </w:pP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_Toc7527 </w:instrText>
      </w:r>
      <w:r>
        <w:rPr>
          <w:rFonts w:hint="eastAsia" w:ascii="宋体" w:hAnsi="宋体" w:eastAsia="宋体" w:cs="宋体"/>
          <w:smallCaps/>
          <w:color w:val="auto"/>
          <w:szCs w:val="28"/>
        </w:rPr>
        <w:fldChar w:fldCharType="separate"/>
      </w:r>
      <w:r>
        <w:rPr>
          <w:rFonts w:hint="eastAsia" w:ascii="宋体" w:hAnsi="宋体" w:eastAsia="宋体" w:cs="宋体"/>
          <w:color w:val="auto"/>
        </w:rPr>
        <w:t>第二章 竞争性磋商须知</w:t>
      </w:r>
      <w:r>
        <w:rPr>
          <w:color w:val="auto"/>
        </w:rPr>
        <w:tab/>
      </w:r>
      <w:r>
        <w:rPr>
          <w:color w:val="auto"/>
        </w:rPr>
        <w:fldChar w:fldCharType="begin"/>
      </w:r>
      <w:r>
        <w:rPr>
          <w:color w:val="auto"/>
        </w:rPr>
        <w:instrText xml:space="preserve"> PAGEREF _Toc7527 </w:instrText>
      </w:r>
      <w:r>
        <w:rPr>
          <w:color w:val="auto"/>
        </w:rPr>
        <w:fldChar w:fldCharType="separate"/>
      </w:r>
      <w:r>
        <w:rPr>
          <w:color w:val="auto"/>
        </w:rPr>
        <w:t>5</w:t>
      </w:r>
      <w:r>
        <w:rPr>
          <w:color w:val="auto"/>
        </w:rPr>
        <w:fldChar w:fldCharType="end"/>
      </w:r>
      <w:r>
        <w:rPr>
          <w:rFonts w:hint="eastAsia" w:ascii="宋体" w:hAnsi="宋体" w:eastAsia="宋体" w:cs="宋体"/>
          <w:smallCaps/>
          <w:color w:val="auto"/>
          <w:szCs w:val="28"/>
        </w:rPr>
        <w:fldChar w:fldCharType="end"/>
      </w:r>
    </w:p>
    <w:p>
      <w:pPr>
        <w:pStyle w:val="59"/>
        <w:tabs>
          <w:tab w:val="right" w:leader="dot" w:pos="9241"/>
        </w:tabs>
        <w:rPr>
          <w:color w:val="auto"/>
        </w:rPr>
      </w:pP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_Toc12758 </w:instrText>
      </w:r>
      <w:r>
        <w:rPr>
          <w:rFonts w:hint="eastAsia" w:ascii="宋体" w:hAnsi="宋体" w:eastAsia="宋体" w:cs="宋体"/>
          <w:smallCaps/>
          <w:color w:val="auto"/>
          <w:szCs w:val="28"/>
        </w:rPr>
        <w:fldChar w:fldCharType="separate"/>
      </w:r>
      <w:r>
        <w:rPr>
          <w:rFonts w:hint="eastAsia" w:ascii="宋体" w:hAnsi="宋体" w:eastAsia="宋体" w:cs="宋体"/>
          <w:color w:val="auto"/>
          <w:szCs w:val="2"/>
        </w:rPr>
        <w:t>2B2B</w:t>
      </w:r>
      <w:r>
        <w:rPr>
          <w:rFonts w:hint="eastAsia" w:ascii="宋体" w:hAnsi="宋体" w:eastAsia="宋体" w:cs="宋体"/>
          <w:color w:val="auto"/>
        </w:rPr>
        <w:t>第三章 采购人需求书</w:t>
      </w:r>
      <w:r>
        <w:rPr>
          <w:color w:val="auto"/>
        </w:rPr>
        <w:tab/>
      </w:r>
      <w:r>
        <w:rPr>
          <w:color w:val="auto"/>
        </w:rPr>
        <w:fldChar w:fldCharType="begin"/>
      </w:r>
      <w:r>
        <w:rPr>
          <w:color w:val="auto"/>
        </w:rPr>
        <w:instrText xml:space="preserve"> PAGEREF _Toc12758 </w:instrText>
      </w:r>
      <w:r>
        <w:rPr>
          <w:color w:val="auto"/>
        </w:rPr>
        <w:fldChar w:fldCharType="separate"/>
      </w:r>
      <w:r>
        <w:rPr>
          <w:color w:val="auto"/>
        </w:rPr>
        <w:t>22</w:t>
      </w:r>
      <w:r>
        <w:rPr>
          <w:color w:val="auto"/>
        </w:rPr>
        <w:fldChar w:fldCharType="end"/>
      </w:r>
      <w:r>
        <w:rPr>
          <w:rFonts w:hint="eastAsia" w:ascii="宋体" w:hAnsi="宋体" w:eastAsia="宋体" w:cs="宋体"/>
          <w:smallCaps/>
          <w:color w:val="auto"/>
          <w:szCs w:val="28"/>
        </w:rPr>
        <w:fldChar w:fldCharType="end"/>
      </w:r>
    </w:p>
    <w:p>
      <w:pPr>
        <w:pStyle w:val="59"/>
        <w:tabs>
          <w:tab w:val="right" w:leader="dot" w:pos="9241"/>
        </w:tabs>
        <w:rPr>
          <w:color w:val="auto"/>
        </w:rPr>
      </w:pP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_Toc15748 </w:instrText>
      </w:r>
      <w:r>
        <w:rPr>
          <w:rFonts w:hint="eastAsia" w:ascii="宋体" w:hAnsi="宋体" w:eastAsia="宋体" w:cs="宋体"/>
          <w:smallCaps/>
          <w:color w:val="auto"/>
          <w:szCs w:val="28"/>
        </w:rPr>
        <w:fldChar w:fldCharType="separate"/>
      </w:r>
      <w:r>
        <w:rPr>
          <w:rFonts w:hint="eastAsia" w:ascii="宋体" w:hAnsi="宋体" w:eastAsia="宋体" w:cs="宋体"/>
          <w:color w:val="auto"/>
        </w:rPr>
        <w:t>第四章</w:t>
      </w:r>
      <w:r>
        <w:rPr>
          <w:rFonts w:hint="eastAsia" w:ascii="宋体" w:hAnsi="宋体" w:eastAsia="宋体" w:cs="宋体"/>
          <w:color w:val="auto"/>
          <w:lang w:val="en-US" w:eastAsia="zh-CN"/>
        </w:rPr>
        <w:t xml:space="preserve"> </w:t>
      </w:r>
      <w:r>
        <w:rPr>
          <w:rFonts w:hint="eastAsia" w:ascii="宋体" w:hAnsi="宋体" w:eastAsia="宋体" w:cs="宋体"/>
          <w:color w:val="auto"/>
        </w:rPr>
        <w:t>政府采购合同</w:t>
      </w:r>
      <w:r>
        <w:rPr>
          <w:color w:val="auto"/>
        </w:rPr>
        <w:tab/>
      </w:r>
      <w:r>
        <w:rPr>
          <w:color w:val="auto"/>
        </w:rPr>
        <w:fldChar w:fldCharType="begin"/>
      </w:r>
      <w:r>
        <w:rPr>
          <w:color w:val="auto"/>
        </w:rPr>
        <w:instrText xml:space="preserve"> PAGEREF _Toc15748 </w:instrText>
      </w:r>
      <w:r>
        <w:rPr>
          <w:color w:val="auto"/>
        </w:rPr>
        <w:fldChar w:fldCharType="separate"/>
      </w:r>
      <w:r>
        <w:rPr>
          <w:color w:val="auto"/>
        </w:rPr>
        <w:t>26</w:t>
      </w:r>
      <w:r>
        <w:rPr>
          <w:color w:val="auto"/>
        </w:rPr>
        <w:fldChar w:fldCharType="end"/>
      </w:r>
      <w:r>
        <w:rPr>
          <w:rFonts w:hint="eastAsia" w:ascii="宋体" w:hAnsi="宋体" w:eastAsia="宋体" w:cs="宋体"/>
          <w:smallCaps/>
          <w:color w:val="auto"/>
          <w:szCs w:val="28"/>
        </w:rPr>
        <w:fldChar w:fldCharType="end"/>
      </w:r>
    </w:p>
    <w:p>
      <w:pPr>
        <w:pStyle w:val="59"/>
        <w:tabs>
          <w:tab w:val="right" w:leader="dot" w:pos="9241"/>
        </w:tabs>
        <w:rPr>
          <w:color w:val="auto"/>
        </w:rPr>
      </w:pP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_Toc29066 </w:instrText>
      </w:r>
      <w:r>
        <w:rPr>
          <w:rFonts w:hint="eastAsia" w:ascii="宋体" w:hAnsi="宋体" w:eastAsia="宋体" w:cs="宋体"/>
          <w:smallCaps/>
          <w:color w:val="auto"/>
          <w:szCs w:val="28"/>
        </w:rPr>
        <w:fldChar w:fldCharType="separate"/>
      </w:r>
      <w:r>
        <w:rPr>
          <w:rFonts w:hint="eastAsia" w:ascii="宋体" w:hAnsi="宋体" w:eastAsia="宋体" w:cs="宋体"/>
          <w:color w:val="auto"/>
        </w:rPr>
        <w:t>第五章 评分体系与标准</w:t>
      </w:r>
      <w:r>
        <w:rPr>
          <w:color w:val="auto"/>
        </w:rPr>
        <w:tab/>
      </w:r>
      <w:r>
        <w:rPr>
          <w:color w:val="auto"/>
        </w:rPr>
        <w:fldChar w:fldCharType="begin"/>
      </w:r>
      <w:r>
        <w:rPr>
          <w:color w:val="auto"/>
        </w:rPr>
        <w:instrText xml:space="preserve"> PAGEREF _Toc29066 </w:instrText>
      </w:r>
      <w:r>
        <w:rPr>
          <w:color w:val="auto"/>
        </w:rPr>
        <w:fldChar w:fldCharType="separate"/>
      </w:r>
      <w:r>
        <w:rPr>
          <w:color w:val="auto"/>
        </w:rPr>
        <w:t>37</w:t>
      </w:r>
      <w:r>
        <w:rPr>
          <w:color w:val="auto"/>
        </w:rPr>
        <w:fldChar w:fldCharType="end"/>
      </w:r>
      <w:r>
        <w:rPr>
          <w:rFonts w:hint="eastAsia" w:ascii="宋体" w:hAnsi="宋体" w:eastAsia="宋体" w:cs="宋体"/>
          <w:smallCaps/>
          <w:color w:val="auto"/>
          <w:szCs w:val="28"/>
        </w:rPr>
        <w:fldChar w:fldCharType="end"/>
      </w:r>
    </w:p>
    <w:p>
      <w:pPr>
        <w:pStyle w:val="59"/>
        <w:tabs>
          <w:tab w:val="right" w:leader="dot" w:pos="9241"/>
        </w:tabs>
        <w:rPr>
          <w:color w:val="auto"/>
        </w:rPr>
      </w:pPr>
      <w:r>
        <w:rPr>
          <w:rFonts w:hint="eastAsia" w:ascii="宋体" w:hAnsi="宋体" w:eastAsia="宋体" w:cs="宋体"/>
          <w:smallCaps/>
          <w:color w:val="auto"/>
          <w:szCs w:val="28"/>
        </w:rPr>
        <w:fldChar w:fldCharType="begin"/>
      </w:r>
      <w:r>
        <w:rPr>
          <w:rFonts w:hint="eastAsia" w:ascii="宋体" w:hAnsi="宋体" w:eastAsia="宋体" w:cs="宋体"/>
          <w:smallCaps/>
          <w:color w:val="auto"/>
          <w:szCs w:val="28"/>
        </w:rPr>
        <w:instrText xml:space="preserve"> HYPERLINK \l _Toc5390 </w:instrText>
      </w:r>
      <w:r>
        <w:rPr>
          <w:rFonts w:hint="eastAsia" w:ascii="宋体" w:hAnsi="宋体" w:eastAsia="宋体" w:cs="宋体"/>
          <w:smallCaps/>
          <w:color w:val="auto"/>
          <w:szCs w:val="28"/>
        </w:rPr>
        <w:fldChar w:fldCharType="separate"/>
      </w:r>
      <w:r>
        <w:rPr>
          <w:rFonts w:hint="eastAsia" w:ascii="宋体" w:hAnsi="宋体" w:eastAsia="宋体" w:cs="宋体"/>
          <w:color w:val="auto"/>
        </w:rPr>
        <w:t>第六章 附  件（格式）</w:t>
      </w:r>
      <w:r>
        <w:rPr>
          <w:color w:val="auto"/>
        </w:rPr>
        <w:tab/>
      </w:r>
      <w:r>
        <w:rPr>
          <w:color w:val="auto"/>
        </w:rPr>
        <w:fldChar w:fldCharType="begin"/>
      </w:r>
      <w:r>
        <w:rPr>
          <w:color w:val="auto"/>
        </w:rPr>
        <w:instrText xml:space="preserve"> PAGEREF _Toc5390 </w:instrText>
      </w:r>
      <w:r>
        <w:rPr>
          <w:color w:val="auto"/>
        </w:rPr>
        <w:fldChar w:fldCharType="separate"/>
      </w:r>
      <w:r>
        <w:rPr>
          <w:color w:val="auto"/>
        </w:rPr>
        <w:t>45</w:t>
      </w:r>
      <w:r>
        <w:rPr>
          <w:color w:val="auto"/>
        </w:rPr>
        <w:fldChar w:fldCharType="end"/>
      </w:r>
      <w:r>
        <w:rPr>
          <w:rFonts w:hint="eastAsia" w:ascii="宋体" w:hAnsi="宋体" w:eastAsia="宋体" w:cs="宋体"/>
          <w:smallCaps/>
          <w:color w:val="auto"/>
          <w:szCs w:val="28"/>
        </w:rPr>
        <w:fldChar w:fldCharType="end"/>
      </w:r>
    </w:p>
    <w:p>
      <w:pPr>
        <w:spacing w:before="240" w:beforeLines="100" w:after="240" w:afterLines="100" w:line="360" w:lineRule="auto"/>
        <w:rPr>
          <w:rStyle w:val="94"/>
          <w:rFonts w:hint="eastAsia" w:ascii="宋体" w:hAnsi="宋体" w:eastAsia="宋体" w:cs="宋体"/>
          <w:smallCaps/>
          <w:color w:val="auto"/>
          <w:sz w:val="28"/>
          <w:szCs w:val="28"/>
        </w:rPr>
      </w:pPr>
      <w:r>
        <w:rPr>
          <w:rFonts w:hint="eastAsia" w:ascii="宋体" w:hAnsi="宋体" w:eastAsia="宋体" w:cs="宋体"/>
          <w:smallCaps/>
          <w:color w:val="auto"/>
          <w:szCs w:val="28"/>
        </w:rPr>
        <w:fldChar w:fldCharType="end"/>
      </w:r>
    </w:p>
    <w:p>
      <w:pPr>
        <w:pStyle w:val="59"/>
        <w:tabs>
          <w:tab w:val="right" w:leader="dot" w:pos="9231"/>
        </w:tabs>
        <w:spacing w:line="360" w:lineRule="auto"/>
        <w:rPr>
          <w:rFonts w:hint="eastAsia" w:ascii="宋体" w:hAnsi="宋体" w:eastAsia="宋体" w:cs="宋体"/>
          <w:b w:val="0"/>
          <w:bCs w:val="0"/>
          <w:caps w:val="0"/>
          <w:color w:val="auto"/>
          <w:sz w:val="28"/>
          <w:szCs w:val="28"/>
        </w:rPr>
      </w:pPr>
      <w:r>
        <w:rPr>
          <w:rFonts w:hint="eastAsia" w:ascii="宋体" w:hAnsi="宋体" w:eastAsia="宋体" w:cs="宋体"/>
          <w:bCs w:val="0"/>
          <w:caps w:val="0"/>
          <w:smallCaps/>
          <w:color w:val="auto"/>
          <w:sz w:val="28"/>
          <w:szCs w:val="28"/>
        </w:rPr>
        <w:fldChar w:fldCharType="begin"/>
      </w:r>
      <w:r>
        <w:rPr>
          <w:rStyle w:val="94"/>
          <w:rFonts w:hint="eastAsia" w:ascii="宋体" w:hAnsi="宋体" w:eastAsia="宋体" w:cs="宋体"/>
          <w:bCs w:val="0"/>
          <w:caps w:val="0"/>
          <w:smallCaps/>
          <w:color w:val="auto"/>
          <w:sz w:val="28"/>
          <w:szCs w:val="28"/>
        </w:rPr>
        <w:instrText xml:space="preserve">TOC \o "1-1" \h \z \u</w:instrText>
      </w:r>
      <w:r>
        <w:rPr>
          <w:rFonts w:hint="eastAsia" w:ascii="宋体" w:hAnsi="宋体" w:eastAsia="宋体" w:cs="宋体"/>
          <w:bCs w:val="0"/>
          <w:caps w:val="0"/>
          <w:smallCaps/>
          <w:color w:val="auto"/>
          <w:sz w:val="28"/>
          <w:szCs w:val="28"/>
        </w:rPr>
        <w:fldChar w:fldCharType="separate"/>
      </w:r>
    </w:p>
    <w:p>
      <w:pPr>
        <w:pStyle w:val="59"/>
        <w:tabs>
          <w:tab w:val="right" w:leader="dot" w:pos="9231"/>
        </w:tabs>
        <w:spacing w:line="360" w:lineRule="auto"/>
        <w:rPr>
          <w:rFonts w:hint="eastAsia" w:ascii="宋体" w:hAnsi="宋体" w:eastAsia="宋体" w:cs="宋体"/>
          <w:b w:val="0"/>
          <w:bCs w:val="0"/>
          <w:caps w:val="0"/>
          <w:color w:val="auto"/>
          <w:sz w:val="28"/>
          <w:szCs w:val="28"/>
        </w:rPr>
      </w:pPr>
    </w:p>
    <w:p>
      <w:pPr>
        <w:rPr>
          <w:rFonts w:hint="eastAsia" w:ascii="宋体" w:hAnsi="宋体" w:eastAsia="宋体" w:cs="宋体"/>
          <w:color w:val="auto"/>
        </w:rPr>
        <w:sectPr>
          <w:headerReference r:id="rId7" w:type="first"/>
          <w:footerReference r:id="rId9" w:type="first"/>
          <w:headerReference r:id="rId6" w:type="default"/>
          <w:footerReference r:id="rId8" w:type="default"/>
          <w:type w:val="continuous"/>
          <w:pgSz w:w="11906" w:h="16838"/>
          <w:pgMar w:top="567" w:right="1304" w:bottom="567" w:left="1361" w:header="567" w:footer="737" w:gutter="0"/>
          <w:cols w:space="720" w:num="1"/>
          <w:titlePg/>
          <w:docGrid w:linePitch="312" w:charSpace="0"/>
        </w:sectPr>
      </w:pPr>
    </w:p>
    <w:p>
      <w:pPr>
        <w:pStyle w:val="59"/>
        <w:tabs>
          <w:tab w:val="right" w:leader="dot" w:pos="9231"/>
        </w:tabs>
        <w:spacing w:line="360" w:lineRule="auto"/>
        <w:rPr>
          <w:rFonts w:hint="eastAsia" w:ascii="宋体" w:hAnsi="宋体" w:eastAsia="宋体" w:cs="宋体"/>
          <w:b w:val="0"/>
          <w:bCs w:val="0"/>
          <w:caps w:val="0"/>
          <w:color w:val="auto"/>
          <w:sz w:val="28"/>
          <w:szCs w:val="28"/>
        </w:rPr>
      </w:pPr>
    </w:p>
    <w:p>
      <w:pPr>
        <w:pStyle w:val="59"/>
        <w:tabs>
          <w:tab w:val="right" w:leader="dot" w:pos="9231"/>
        </w:tabs>
        <w:spacing w:line="360" w:lineRule="auto"/>
        <w:rPr>
          <w:rFonts w:hint="eastAsia" w:ascii="宋体" w:hAnsi="宋体" w:eastAsia="宋体" w:cs="宋体"/>
          <w:b w:val="0"/>
          <w:bCs w:val="0"/>
          <w:caps w:val="0"/>
          <w:color w:val="auto"/>
          <w:sz w:val="28"/>
          <w:szCs w:val="28"/>
        </w:rPr>
      </w:pPr>
    </w:p>
    <w:p>
      <w:pPr>
        <w:snapToGrid w:val="0"/>
        <w:spacing w:before="240" w:beforeLines="100" w:after="240" w:afterLines="100" w:line="360" w:lineRule="auto"/>
        <w:rPr>
          <w:rFonts w:hint="eastAsia" w:ascii="宋体" w:hAnsi="宋体" w:eastAsia="宋体" w:cs="宋体"/>
          <w:color w:val="auto"/>
          <w:sz w:val="28"/>
        </w:rPr>
      </w:pPr>
      <w:r>
        <w:rPr>
          <w:rFonts w:hint="eastAsia" w:ascii="宋体" w:hAnsi="宋体" w:eastAsia="宋体" w:cs="宋体"/>
          <w:bCs/>
          <w:caps/>
          <w:smallCaps/>
          <w:color w:val="auto"/>
          <w:sz w:val="28"/>
          <w:szCs w:val="28"/>
        </w:rPr>
        <w:fldChar w:fldCharType="end"/>
      </w: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pStyle w:val="4"/>
        <w:autoSpaceDE w:val="0"/>
        <w:rPr>
          <w:rFonts w:hint="eastAsia" w:ascii="宋体" w:hAnsi="宋体" w:eastAsia="宋体" w:cs="宋体"/>
          <w:color w:val="auto"/>
          <w:sz w:val="44"/>
        </w:rPr>
      </w:pPr>
      <w:bookmarkStart w:id="2" w:name="_Toc320515014"/>
      <w:bookmarkStart w:id="3" w:name="_Toc475104466"/>
      <w:bookmarkStart w:id="4" w:name="_Toc12140"/>
      <w:bookmarkStart w:id="5" w:name="_Toc4067"/>
      <w:r>
        <w:rPr>
          <w:rFonts w:hint="eastAsia" w:ascii="宋体" w:hAnsi="宋体" w:eastAsia="宋体" w:cs="宋体"/>
          <w:b w:val="0"/>
          <w:color w:val="auto"/>
          <w:sz w:val="2"/>
          <w:szCs w:val="2"/>
        </w:rPr>
        <w:t>0B0B</w:t>
      </w:r>
      <w:r>
        <w:rPr>
          <w:rFonts w:hint="eastAsia" w:ascii="宋体" w:hAnsi="宋体" w:eastAsia="宋体" w:cs="宋体"/>
          <w:color w:val="auto"/>
          <w:sz w:val="44"/>
        </w:rPr>
        <w:t>第一章</w:t>
      </w:r>
      <w:bookmarkStart w:id="6" w:name="_Toc10525513"/>
      <w:r>
        <w:rPr>
          <w:rFonts w:hint="eastAsia" w:ascii="宋体" w:hAnsi="宋体" w:eastAsia="宋体" w:cs="宋体"/>
          <w:color w:val="auto"/>
          <w:sz w:val="44"/>
        </w:rPr>
        <w:t xml:space="preserve"> 竞争性磋商</w:t>
      </w:r>
      <w:bookmarkEnd w:id="0"/>
      <w:bookmarkEnd w:id="1"/>
      <w:bookmarkEnd w:id="2"/>
      <w:bookmarkEnd w:id="3"/>
      <w:bookmarkEnd w:id="6"/>
      <w:r>
        <w:rPr>
          <w:rFonts w:hint="eastAsia" w:ascii="宋体" w:hAnsi="宋体" w:eastAsia="宋体" w:cs="宋体"/>
          <w:color w:val="auto"/>
          <w:sz w:val="44"/>
        </w:rPr>
        <w:t>公告</w:t>
      </w:r>
      <w:bookmarkEnd w:id="4"/>
      <w:bookmarkEnd w:id="5"/>
    </w:p>
    <w:p>
      <w:pPr>
        <w:spacing w:line="480" w:lineRule="auto"/>
        <w:jc w:val="center"/>
        <w:rPr>
          <w:rFonts w:hint="eastAsia" w:ascii="宋体" w:hAnsi="宋体" w:eastAsia="宋体" w:cs="宋体"/>
          <w:b/>
          <w:color w:val="auto"/>
          <w:sz w:val="30"/>
          <w:szCs w:val="30"/>
        </w:rPr>
      </w:pPr>
      <w:r>
        <w:rPr>
          <w:rFonts w:hint="eastAsia" w:ascii="宋体" w:hAnsi="宋体" w:eastAsia="宋体" w:cs="宋体"/>
          <w:color w:val="auto"/>
        </w:rPr>
        <w:br w:type="page"/>
      </w:r>
      <w:r>
        <w:rPr>
          <w:rFonts w:hint="eastAsia" w:ascii="宋体" w:hAnsi="宋体" w:eastAsia="宋体" w:cs="宋体"/>
          <w:b/>
          <w:color w:val="auto"/>
          <w:sz w:val="30"/>
          <w:szCs w:val="30"/>
        </w:rPr>
        <w:t>竞争性磋商公告</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康王路下穿流花湖隧道</w:t>
      </w:r>
      <w:r>
        <w:rPr>
          <w:rFonts w:hint="eastAsia" w:ascii="宋体" w:hAnsi="宋体" w:eastAsia="宋体" w:cs="宋体"/>
          <w:color w:val="auto"/>
          <w:sz w:val="21"/>
          <w:szCs w:val="21"/>
          <w:lang w:eastAsia="zh-CN"/>
        </w:rPr>
        <w:t>工程站前路93-99号房屋加固工程监理</w:t>
      </w:r>
      <w:r>
        <w:rPr>
          <w:rFonts w:hint="eastAsia" w:ascii="宋体" w:hAnsi="宋体" w:eastAsia="宋体" w:cs="宋体"/>
          <w:color w:val="auto"/>
          <w:sz w:val="21"/>
          <w:szCs w:val="21"/>
        </w:rPr>
        <w:t>采购项目的潜在投标人应在</w:t>
      </w:r>
      <w:r>
        <w:rPr>
          <w:rFonts w:hint="eastAsia" w:ascii="宋体" w:hAnsi="宋体" w:eastAsia="宋体" w:cs="宋体"/>
          <w:color w:val="auto"/>
          <w:kern w:val="0"/>
          <w:sz w:val="21"/>
          <w:szCs w:val="21"/>
        </w:rPr>
        <w:t>广州市天河区黄埔大道中122号（伟腾商务中心）412室</w:t>
      </w:r>
      <w:r>
        <w:rPr>
          <w:rFonts w:hint="eastAsia" w:ascii="宋体" w:hAnsi="宋体" w:eastAsia="宋体" w:cs="宋体"/>
          <w:color w:val="auto"/>
          <w:sz w:val="21"/>
          <w:szCs w:val="21"/>
        </w:rPr>
        <w:t>获取采购文件，并于202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日9时30分（北京时间）前提交响应文件。</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2" w:firstLineChars="200"/>
        <w:textAlignment w:val="auto"/>
        <w:rPr>
          <w:rFonts w:hint="eastAsia" w:ascii="宋体" w:hAnsi="宋体" w:eastAsia="宋体" w:cs="宋体"/>
          <w:b/>
          <w:bCs/>
          <w:color w:val="auto"/>
          <w:sz w:val="21"/>
          <w:szCs w:val="20"/>
        </w:rPr>
      </w:pPr>
      <w:r>
        <w:rPr>
          <w:rFonts w:hint="eastAsia" w:ascii="宋体" w:hAnsi="宋体" w:eastAsia="宋体" w:cs="宋体"/>
          <w:b/>
          <w:bCs/>
          <w:color w:val="auto"/>
          <w:sz w:val="21"/>
          <w:szCs w:val="20"/>
        </w:rPr>
        <w:t>一、项目基本情况</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default" w:ascii="宋体" w:hAnsi="宋体" w:eastAsia="宋体" w:cs="宋体"/>
          <w:bCs/>
          <w:color w:val="auto"/>
          <w:sz w:val="21"/>
          <w:szCs w:val="20"/>
          <w:u w:val="none"/>
          <w:lang w:val="en-US" w:eastAsia="zh-CN"/>
        </w:rPr>
      </w:pPr>
      <w:r>
        <w:rPr>
          <w:rFonts w:hint="eastAsia" w:ascii="宋体" w:hAnsi="宋体" w:eastAsia="宋体" w:cs="宋体"/>
          <w:bCs/>
          <w:color w:val="auto"/>
          <w:sz w:val="21"/>
          <w:szCs w:val="20"/>
        </w:rPr>
        <w:t>项目编号：</w:t>
      </w:r>
      <w:r>
        <w:rPr>
          <w:rFonts w:hint="eastAsia" w:ascii="宋体" w:hAnsi="宋体" w:eastAsia="宋体" w:cs="宋体"/>
          <w:bCs/>
          <w:color w:val="auto"/>
          <w:sz w:val="21"/>
          <w:szCs w:val="20"/>
          <w:u w:val="none"/>
        </w:rPr>
        <w:t>CZ202</w:t>
      </w:r>
      <w:r>
        <w:rPr>
          <w:rFonts w:hint="eastAsia" w:ascii="宋体" w:hAnsi="宋体" w:eastAsia="宋体" w:cs="宋体"/>
          <w:bCs/>
          <w:color w:val="auto"/>
          <w:sz w:val="21"/>
          <w:szCs w:val="20"/>
          <w:u w:val="none"/>
          <w:lang w:val="en-US" w:eastAsia="zh-CN"/>
        </w:rPr>
        <w:t>2</w:t>
      </w:r>
      <w:r>
        <w:rPr>
          <w:rFonts w:hint="eastAsia" w:ascii="宋体" w:hAnsi="宋体" w:eastAsia="宋体" w:cs="宋体"/>
          <w:bCs/>
          <w:color w:val="auto"/>
          <w:sz w:val="21"/>
          <w:szCs w:val="20"/>
          <w:u w:val="none"/>
        </w:rPr>
        <w:t>0</w:t>
      </w:r>
      <w:r>
        <w:rPr>
          <w:rFonts w:hint="eastAsia" w:ascii="宋体" w:hAnsi="宋体" w:eastAsia="宋体" w:cs="宋体"/>
          <w:bCs/>
          <w:color w:val="auto"/>
          <w:sz w:val="21"/>
          <w:szCs w:val="20"/>
          <w:u w:val="none"/>
          <w:lang w:val="en-US" w:eastAsia="zh-CN"/>
        </w:rPr>
        <w:t>2</w:t>
      </w:r>
      <w:r>
        <w:rPr>
          <w:rFonts w:hint="eastAsia" w:ascii="宋体" w:hAnsi="宋体" w:eastAsia="宋体" w:cs="宋体"/>
          <w:bCs/>
          <w:color w:val="auto"/>
          <w:sz w:val="21"/>
          <w:szCs w:val="20"/>
          <w:u w:val="none"/>
        </w:rPr>
        <w:t>-B</w:t>
      </w:r>
      <w:r>
        <w:rPr>
          <w:rFonts w:hint="eastAsia" w:ascii="宋体" w:hAnsi="宋体" w:eastAsia="宋体" w:cs="宋体"/>
          <w:bCs/>
          <w:color w:val="auto"/>
          <w:sz w:val="21"/>
          <w:szCs w:val="20"/>
          <w:u w:val="none"/>
          <w:lang w:val="en-US" w:eastAsia="zh-CN"/>
        </w:rPr>
        <w:t>011</w:t>
      </w:r>
      <w:r>
        <w:rPr>
          <w:rFonts w:hint="eastAsia" w:ascii="宋体" w:hAnsi="宋体" w:cs="宋体"/>
          <w:bCs/>
          <w:color w:val="auto"/>
          <w:sz w:val="21"/>
          <w:szCs w:val="20"/>
          <w:u w:val="none"/>
          <w:lang w:val="en-US" w:eastAsia="zh-CN"/>
        </w:rPr>
        <w:t>7</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lang w:val="en-US" w:eastAsia="zh-CN"/>
        </w:rPr>
      </w:pPr>
      <w:r>
        <w:rPr>
          <w:rFonts w:hint="eastAsia" w:ascii="宋体" w:hAnsi="宋体" w:eastAsia="宋体" w:cs="宋体"/>
          <w:bCs/>
          <w:color w:val="auto"/>
          <w:sz w:val="21"/>
          <w:szCs w:val="20"/>
        </w:rPr>
        <w:t>项目名称：</w:t>
      </w:r>
      <w:r>
        <w:rPr>
          <w:rFonts w:hint="eastAsia" w:ascii="宋体" w:hAnsi="宋体" w:cs="宋体"/>
          <w:bCs/>
          <w:color w:val="auto"/>
          <w:sz w:val="21"/>
          <w:szCs w:val="20"/>
          <w:lang w:val="en-US" w:eastAsia="zh-CN"/>
        </w:rPr>
        <w:t>康王路下穿流花湖隧道</w:t>
      </w:r>
      <w:r>
        <w:rPr>
          <w:rFonts w:hint="eastAsia" w:ascii="宋体" w:hAnsi="宋体" w:eastAsia="宋体" w:cs="宋体"/>
          <w:bCs/>
          <w:color w:val="auto"/>
          <w:sz w:val="21"/>
          <w:szCs w:val="20"/>
          <w:lang w:val="en-US" w:eastAsia="zh-CN"/>
        </w:rPr>
        <w:t>工程站前路93-99号房屋加固工程监理</w:t>
      </w:r>
    </w:p>
    <w:p>
      <w:pPr>
        <w:pStyle w:val="96"/>
        <w:spacing w:line="380" w:lineRule="exact"/>
        <w:ind w:left="0" w:leftChars="0" w:firstLine="420" w:firstLineChars="200"/>
        <w:rPr>
          <w:rFonts w:hint="eastAsia"/>
          <w:color w:val="auto"/>
        </w:rPr>
      </w:pPr>
      <w:r>
        <w:rPr>
          <w:rFonts w:hint="eastAsia"/>
          <w:color w:val="auto"/>
          <w:lang w:val="en-US" w:eastAsia="zh-CN"/>
        </w:rPr>
        <w:t>项目概况：广州市荔湾区站前路93-99号，建于上世纪90年代，为9层框架结构房屋，基础形式为桩基础。该房屋朝向坐北向南，93-95号总建筑面积为2847m2，目前作商业、住宅使用。现因“康王路下穿流花湖隧道（东风东路-广园西路）工程”下穿该房屋（站前路93-99号），在保证隧道安全顺利施工的前提下，拟对房屋东段（站前路97、99号房屋）进行截断以及对房屋西段（站前路93-95号）上部结构及基础进行加固设计施工。项目总投资990万元，其中建安工程费约940万元。</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rPr>
      </w:pPr>
      <w:r>
        <w:rPr>
          <w:rFonts w:hint="eastAsia" w:ascii="宋体" w:hAnsi="宋体" w:eastAsia="宋体" w:cs="宋体"/>
          <w:bCs/>
          <w:color w:val="auto"/>
          <w:sz w:val="21"/>
          <w:szCs w:val="20"/>
        </w:rPr>
        <w:t>采购方式：竞争性磋商</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lang w:val="en-US" w:eastAsia="zh-CN"/>
        </w:rPr>
      </w:pPr>
      <w:r>
        <w:rPr>
          <w:rFonts w:hint="eastAsia" w:ascii="宋体" w:hAnsi="宋体" w:eastAsia="宋体" w:cs="宋体"/>
          <w:bCs/>
          <w:color w:val="auto"/>
          <w:sz w:val="21"/>
          <w:szCs w:val="20"/>
          <w:lang w:val="en-US" w:eastAsia="zh-CN"/>
        </w:rPr>
        <w:t>监理最高限价：24.1978万元</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rPr>
      </w:pPr>
      <w:r>
        <w:rPr>
          <w:rFonts w:hint="eastAsia" w:ascii="宋体" w:hAnsi="宋体" w:eastAsia="宋体" w:cs="宋体"/>
          <w:bCs/>
          <w:color w:val="auto"/>
          <w:sz w:val="21"/>
          <w:szCs w:val="20"/>
        </w:rPr>
        <w:t>采购需求：</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rPr>
      </w:pPr>
      <w:r>
        <w:rPr>
          <w:rFonts w:hint="eastAsia" w:ascii="宋体" w:hAnsi="宋体" w:eastAsia="宋体" w:cs="宋体"/>
          <w:bCs/>
          <w:color w:val="auto"/>
          <w:sz w:val="21"/>
          <w:szCs w:val="20"/>
        </w:rPr>
        <w:t>合同包1(</w:t>
      </w:r>
      <w:r>
        <w:rPr>
          <w:rFonts w:hint="eastAsia" w:ascii="宋体" w:hAnsi="宋体" w:cs="宋体"/>
          <w:bCs/>
          <w:color w:val="auto"/>
          <w:sz w:val="21"/>
          <w:szCs w:val="20"/>
          <w:lang w:eastAsia="zh-CN"/>
        </w:rPr>
        <w:t>康王路下穿流花湖隧道</w:t>
      </w:r>
      <w:r>
        <w:rPr>
          <w:rFonts w:hint="eastAsia" w:ascii="宋体" w:hAnsi="宋体" w:eastAsia="宋体" w:cs="宋体"/>
          <w:bCs/>
          <w:color w:val="auto"/>
          <w:sz w:val="21"/>
          <w:szCs w:val="20"/>
          <w:lang w:eastAsia="zh-CN"/>
        </w:rPr>
        <w:t>工程站前路93-99号房屋加固工程监理</w:t>
      </w:r>
      <w:r>
        <w:rPr>
          <w:rFonts w:hint="eastAsia" w:ascii="宋体" w:hAnsi="宋体" w:eastAsia="宋体" w:cs="宋体"/>
          <w:bCs/>
          <w:color w:val="auto"/>
          <w:sz w:val="21"/>
          <w:szCs w:val="20"/>
        </w:rPr>
        <w:t>):</w:t>
      </w:r>
    </w:p>
    <w:p>
      <w:pPr>
        <w:keepNext w:val="0"/>
        <w:keepLines w:val="0"/>
        <w:pageBreakBefore w:val="0"/>
        <w:tabs>
          <w:tab w:val="left" w:pos="840"/>
          <w:tab w:val="left" w:pos="945"/>
        </w:tabs>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bCs/>
          <w:color w:val="auto"/>
          <w:sz w:val="21"/>
          <w:szCs w:val="20"/>
          <w:lang w:val="en-US" w:eastAsia="zh-CN"/>
        </w:rPr>
      </w:pPr>
      <w:r>
        <w:rPr>
          <w:rFonts w:hint="eastAsia" w:ascii="宋体" w:hAnsi="宋体" w:eastAsia="宋体" w:cs="宋体"/>
          <w:bCs/>
          <w:color w:val="auto"/>
          <w:sz w:val="21"/>
          <w:szCs w:val="20"/>
          <w:lang w:val="en-US" w:eastAsia="zh-CN"/>
        </w:rPr>
        <w:t>合同包预算金额：24.1978万元</w:t>
      </w:r>
    </w:p>
    <w:tbl>
      <w:tblPr>
        <w:tblStyle w:val="88"/>
        <w:tblW w:w="91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25"/>
        <w:gridCol w:w="1443"/>
        <w:gridCol w:w="1808"/>
        <w:gridCol w:w="1697"/>
        <w:gridCol w:w="1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采购标的</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数量（单位）</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技术规格、参数及要求</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品目预算</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w:t>
            </w:r>
            <w:r>
              <w:rPr>
                <w:rFonts w:hint="eastAsia" w:ascii="宋体" w:hAnsi="宋体" w:eastAsia="宋体" w:cs="宋体"/>
                <w:bCs/>
                <w:color w:val="auto"/>
                <w:szCs w:val="20"/>
                <w:lang w:val="en-US" w:eastAsia="zh-CN"/>
              </w:rPr>
              <w:t>万</w:t>
            </w:r>
            <w:r>
              <w:rPr>
                <w:rFonts w:hint="eastAsia" w:ascii="宋体" w:hAnsi="宋体" w:eastAsia="宋体" w:cs="宋体"/>
                <w:bCs/>
                <w:color w:val="auto"/>
                <w:szCs w:val="20"/>
              </w:rPr>
              <w:t>元)</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最高限价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w:t>
            </w:r>
            <w:r>
              <w:rPr>
                <w:rFonts w:hint="eastAsia" w:ascii="宋体" w:hAnsi="宋体" w:eastAsia="宋体" w:cs="宋体"/>
                <w:bCs/>
                <w:color w:val="auto"/>
                <w:szCs w:val="20"/>
                <w:lang w:val="en-US" w:eastAsia="zh-CN"/>
              </w:rPr>
              <w:t>万</w:t>
            </w:r>
            <w:r>
              <w:rPr>
                <w:rFonts w:hint="eastAsia" w:ascii="宋体" w:hAnsi="宋体" w:eastAsia="宋体" w:cs="宋体"/>
                <w:bCs/>
                <w:color w:val="auto"/>
                <w:szCs w:val="20"/>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3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cs="宋体"/>
                <w:bCs/>
                <w:color w:val="auto"/>
                <w:szCs w:val="20"/>
                <w:lang w:val="en-US" w:eastAsia="zh-CN"/>
              </w:rPr>
              <w:t>康王路下穿流花湖隧道</w:t>
            </w:r>
            <w:r>
              <w:rPr>
                <w:rFonts w:hint="eastAsia" w:ascii="宋体" w:hAnsi="宋体" w:eastAsia="宋体" w:cs="宋体"/>
                <w:bCs/>
                <w:color w:val="auto"/>
                <w:szCs w:val="20"/>
                <w:lang w:val="en-US" w:eastAsia="zh-CN"/>
              </w:rPr>
              <w:t>工程站前路93-99号房屋加固工程监理</w:t>
            </w:r>
          </w:p>
        </w:tc>
        <w:tc>
          <w:tcPr>
            <w:tcW w:w="14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1(项)</w:t>
            </w:r>
          </w:p>
        </w:tc>
        <w:tc>
          <w:tcPr>
            <w:tcW w:w="18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rPr>
            </w:pPr>
            <w:r>
              <w:rPr>
                <w:rFonts w:hint="eastAsia" w:ascii="宋体" w:hAnsi="宋体" w:eastAsia="宋体" w:cs="宋体"/>
                <w:bCs/>
                <w:color w:val="auto"/>
                <w:szCs w:val="20"/>
              </w:rPr>
              <w:t>详见磋商文件</w:t>
            </w:r>
          </w:p>
        </w:tc>
        <w:tc>
          <w:tcPr>
            <w:tcW w:w="169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lang w:val="en-US" w:eastAsia="zh-CN"/>
              </w:rPr>
            </w:pPr>
            <w:r>
              <w:rPr>
                <w:rFonts w:hint="eastAsia" w:ascii="宋体" w:hAnsi="宋体" w:eastAsia="宋体" w:cs="宋体"/>
                <w:bCs/>
                <w:color w:val="auto"/>
                <w:szCs w:val="20"/>
                <w:lang w:val="en-US" w:eastAsia="zh-CN"/>
              </w:rPr>
              <w:t>24.</w:t>
            </w:r>
            <w:r>
              <w:rPr>
                <w:rFonts w:hint="eastAsia" w:ascii="宋体" w:hAnsi="宋体" w:eastAsia="宋体" w:cs="宋体"/>
                <w:bCs/>
                <w:color w:val="auto"/>
                <w:sz w:val="21"/>
                <w:szCs w:val="20"/>
                <w:lang w:val="en-US" w:eastAsia="zh-CN"/>
              </w:rPr>
              <w:t>1978</w:t>
            </w:r>
          </w:p>
        </w:tc>
        <w:tc>
          <w:tcPr>
            <w:tcW w:w="19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Cs/>
                <w:color w:val="auto"/>
                <w:szCs w:val="20"/>
                <w:lang w:val="en-US" w:eastAsia="zh-CN"/>
              </w:rPr>
            </w:pPr>
            <w:r>
              <w:rPr>
                <w:rFonts w:hint="eastAsia" w:ascii="宋体" w:hAnsi="宋体" w:eastAsia="宋体" w:cs="宋体"/>
                <w:bCs/>
                <w:color w:val="auto"/>
                <w:sz w:val="21"/>
                <w:szCs w:val="20"/>
                <w:lang w:val="en-US" w:eastAsia="zh-CN"/>
              </w:rPr>
              <w:t>24.1978</w:t>
            </w:r>
          </w:p>
        </w:tc>
      </w:tr>
    </w:tbl>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本合同包不接受联合体投标。</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合同履行期限：</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240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日历天内</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二、申请人的资格要求：</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2.落实政府采购政策需满足的资格要求：</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1)《政府采购促进中小企业发展暂行办法》（财库〔2020〕46号）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2)《关于政府采购支持监狱企业发展有关问题的通知》(财库〔2014〕68号)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3)《关于促进残疾人就业政府采购政策的通知》（财库〔2017〕141号)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4)《关于环境标志产品政府采购实施的意见》(财库〔2006〕90号）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5)《节能产品政府采购实施意见》的通知（财库〔2004〕185号）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本项目的特定资格要求：</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合同包1(</w:t>
      </w:r>
      <w:r>
        <w:rPr>
          <w:rFonts w:hint="eastAsia" w:ascii="宋体" w:hAnsi="宋体" w:cs="宋体"/>
          <w:color w:val="auto"/>
          <w:sz w:val="21"/>
          <w:szCs w:val="21"/>
          <w:lang w:eastAsia="zh-CN"/>
        </w:rPr>
        <w:t>康王路下穿流花湖隧道</w:t>
      </w:r>
      <w:r>
        <w:rPr>
          <w:rFonts w:hint="eastAsia" w:ascii="宋体" w:hAnsi="宋体" w:eastAsia="宋体" w:cs="宋体"/>
          <w:color w:val="auto"/>
          <w:sz w:val="21"/>
          <w:szCs w:val="21"/>
          <w:lang w:eastAsia="zh-CN"/>
        </w:rPr>
        <w:t>工程站前路93-99号房屋加固工程监理)特定资格要求如下:</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1）具有独立承担民事责任的能力[提供法人或者其他组织的营业执照、组织机构代码证和税务登记证（或三证合一证明）等证明文件）；</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2）具有良好的商业信誉和健全的财务会计制度；（提供书面承诺声明）。</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3）具有履行合同所必需的设备和专业技术能力（提供履行合同所必需的设备清单以及技术人员的名单材料）；</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4）有依法缴纳税收和社会保障资金的良好记录；（提供书面承诺声明）。</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5）参加政府采购活动前三年内，在经营活动中没有重大违法记录（提供书面声明）；</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6）法律、行政法规规定的其他条件。</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（2）供应商必须是具有独立承担民事责任能力的中华人民共和国境内注册的法人或其他组织；</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（3）供应商须具有建设行政主管部门核发的工程监理综合资质或房屋建筑工程监理</w:t>
      </w:r>
      <w:r>
        <w:rPr>
          <w:rFonts w:hint="eastAsia" w:ascii="宋体" w:hAnsi="宋体" w:eastAsia="宋体" w:cs="宋体"/>
          <w:color w:val="auto"/>
          <w:sz w:val="21"/>
          <w:szCs w:val="21"/>
          <w:lang w:val="en-US" w:eastAsia="zh-CN"/>
        </w:rPr>
        <w:t>乙级或以上资质</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供应商拟担任本工程项目负责人的人员为：总监理工程师：拟派总监理工程师须具有建设部2006年4月1日后颁发的中华人民共和国注册监理工程师注册执业证书，且其注册证书专业为房屋建筑工程，注册执业单位为本公司；或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）供应商提供《公平竞争承诺书》；</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①由采购人、采购代理机构于投标截止日在上述网站进行查询，同时对信息查询记录和证据截图或下载存档；②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）供应商单位负责人为同一人或者存在直接控股、管理关系的</w:t>
      </w:r>
      <w:bookmarkStart w:id="615" w:name="_GoBack"/>
      <w:bookmarkEnd w:id="615"/>
      <w:r>
        <w:rPr>
          <w:rFonts w:hint="eastAsia" w:ascii="宋体" w:hAnsi="宋体" w:eastAsia="宋体" w:cs="宋体"/>
          <w:color w:val="auto"/>
          <w:sz w:val="21"/>
          <w:szCs w:val="21"/>
          <w:lang w:eastAsia="zh-CN"/>
        </w:rPr>
        <w:t>不同供应商，不得参加同一合同项下的政府采购活动。为采购项目提供整体设计、规范编制或者项目管理、监理、检测等服务的供应商，不得再参加该采购项目的其他采购活动；（提供承诺函，格式自拟）；</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本项目不接受联合体投标。</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三、获取采购文件</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日至202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日，每天上午09:00至12:00，下午14:30至17:30（北京时间，法定节假日除外 ）</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地点：广州市天河区黄埔大道中122号（伟腾商务中心）412室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方式：现场获取。</w:t>
      </w:r>
    </w:p>
    <w:p>
      <w:pPr>
        <w:keepNext w:val="0"/>
        <w:keepLines w:val="0"/>
        <w:pageBreakBefore w:val="0"/>
        <w:widowControl/>
        <w:shd w:val="clear"/>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eastAsia="zh-CN"/>
        </w:rPr>
        <w:t>售价（元）：</w:t>
      </w:r>
      <w:r>
        <w:rPr>
          <w:rFonts w:hint="eastAsia" w:ascii="宋体" w:hAnsi="宋体" w:eastAsia="宋体" w:cs="宋体"/>
          <w:color w:val="auto"/>
          <w:sz w:val="21"/>
          <w:szCs w:val="21"/>
          <w:shd w:val="clear" w:color="auto" w:fill="auto"/>
          <w:lang w:val="en-US" w:eastAsia="zh-CN"/>
        </w:rPr>
        <w:t>3</w:t>
      </w:r>
      <w:r>
        <w:rPr>
          <w:rFonts w:hint="eastAsia" w:ascii="宋体" w:hAnsi="宋体" w:eastAsia="宋体" w:cs="宋体"/>
          <w:color w:val="auto"/>
          <w:sz w:val="21"/>
          <w:szCs w:val="21"/>
          <w:shd w:val="clear" w:color="auto" w:fill="auto"/>
          <w:lang w:eastAsia="zh-CN"/>
        </w:rPr>
        <w:t>00</w:t>
      </w:r>
      <w:r>
        <w:rPr>
          <w:rFonts w:hint="eastAsia" w:ascii="宋体" w:hAnsi="宋体" w:cs="宋体"/>
          <w:color w:val="auto"/>
          <w:sz w:val="21"/>
          <w:szCs w:val="21"/>
          <w:shd w:val="clear" w:color="auto" w:fill="auto"/>
          <w:lang w:val="en-US" w:eastAsia="zh-CN"/>
        </w:rPr>
        <w:t>.00</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四、响应文件提交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 xml:space="preserve"> 3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日9点30分（北京时间）</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地点：广州市天河区黄埔大道中122号（伟腾商务中心）412室。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五、开启</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日9点30分（北京时间）</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地点：广州市天河区黄埔大道中122号（伟腾商务中心）412室。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六、公告期限</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自本公告发布之日起3个工作日。</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七、其他补充事宜</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1.只接受登记及领购竞争性磋商文件的供应商投标。</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登记及购买磋商文件的供应商需提交的资料（凭以下相关资料复印件加盖单位公章购买磋商文件及投标登记）：（1）有效的营业执照副本或事业单位法人证书或其他组织证明复印件，如投标人为自然人的需提供自然人身份证明；（2）法定代表人证明书或法定代表人授权书原件及有效居民身份证复印件（请携带身份证原件核查）。</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2.已成功登记及领购竞争性磋商文件的供应商参加投标的，不代表通过资格性、符合性审查。投标资格最终根据投标人投标文件中的资格审查资料作出的结论为准。</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3.若已登记及领购竞争性磋商文件而决定不参加本项目投标的供应商，应在开标前三日以书面形式（书面材料、信函或传真加盖供应商公章）通知采购代理机构。</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竞争性磋商文件的公示，根据《广东省实施〈中华人民共和国政府采购法〉办法》第三十五条的规定，供应商认为政府竞争性磋商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八、凡对本次招标提出询问，请按以下方式联系</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1.采购人信息</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   名称：广州市荔湾区道路扩建工程办公室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   地址：</w:t>
      </w:r>
      <w:r>
        <w:rPr>
          <w:rFonts w:hint="eastAsia" w:ascii="宋体" w:hAnsi="宋体" w:cs="宋体"/>
          <w:color w:val="auto"/>
          <w:szCs w:val="21"/>
          <w:lang w:eastAsia="zh-CN"/>
        </w:rPr>
        <w:t>广州市荔湾区宝源路</w:t>
      </w:r>
      <w:r>
        <w:rPr>
          <w:rFonts w:hint="eastAsia" w:ascii="宋体" w:hAnsi="宋体" w:cs="宋体"/>
          <w:color w:val="auto"/>
          <w:szCs w:val="21"/>
          <w:lang w:val="en-US" w:eastAsia="zh-CN"/>
        </w:rPr>
        <w:t>95-1号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   联系方式：</w:t>
      </w:r>
      <w:r>
        <w:rPr>
          <w:rFonts w:hint="eastAsia" w:ascii="宋体" w:hAnsi="宋体" w:cs="宋体"/>
          <w:color w:val="auto"/>
          <w:szCs w:val="21"/>
          <w:lang w:val="en-US" w:eastAsia="zh-CN"/>
        </w:rPr>
        <w:t>15980082787</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2.采购代理机构信息</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   名称：成致项目管理有限公司</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   地址：广州市天河区黄埔大道中122号（伟腾商务中心）412室</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   联系方式：</w:t>
      </w:r>
      <w:r>
        <w:rPr>
          <w:rFonts w:hint="eastAsia" w:ascii="宋体" w:hAnsi="宋体" w:cs="宋体"/>
          <w:color w:val="auto"/>
          <w:szCs w:val="21"/>
          <w:lang w:val="en-US" w:eastAsia="zh-CN"/>
        </w:rPr>
        <w:t>15218866803</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3.项目联系方式</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   项目联系人：</w:t>
      </w:r>
      <w:r>
        <w:rPr>
          <w:rFonts w:hint="eastAsia" w:ascii="宋体" w:hAnsi="宋体" w:cs="宋体"/>
          <w:color w:val="auto"/>
          <w:szCs w:val="21"/>
          <w:lang w:eastAsia="zh-CN"/>
        </w:rPr>
        <w:t>罗工</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   电话：</w:t>
      </w:r>
      <w:r>
        <w:rPr>
          <w:rFonts w:hint="eastAsia" w:ascii="宋体" w:hAnsi="宋体" w:cs="宋体"/>
          <w:color w:val="auto"/>
          <w:szCs w:val="21"/>
          <w:lang w:val="en-US" w:eastAsia="zh-CN"/>
        </w:rPr>
        <w:t>15218866803</w:t>
      </w:r>
    </w:p>
    <w:p>
      <w:pPr>
        <w:keepNext w:val="0"/>
        <w:keepLines w:val="0"/>
        <w:pageBreakBefore w:val="0"/>
        <w:tabs>
          <w:tab w:val="left" w:pos="840"/>
          <w:tab w:val="left" w:pos="945"/>
        </w:tabs>
        <w:kinsoku/>
        <w:wordWrap/>
        <w:overflowPunct/>
        <w:topLinePunct w:val="0"/>
        <w:autoSpaceDE/>
        <w:autoSpaceDN/>
        <w:bidi w:val="0"/>
        <w:snapToGrid w:val="0"/>
        <w:spacing w:line="380" w:lineRule="exact"/>
        <w:ind w:firstLine="4830" w:firstLineChars="2300"/>
        <w:jc w:val="both"/>
        <w:textAlignment w:val="auto"/>
        <w:rPr>
          <w:rFonts w:hint="eastAsia" w:ascii="宋体" w:hAnsi="宋体" w:cs="宋体"/>
          <w:bCs/>
          <w:color w:val="auto"/>
          <w:szCs w:val="20"/>
          <w:lang w:eastAsia="zh-CN"/>
        </w:rPr>
      </w:pPr>
      <w:r>
        <w:rPr>
          <w:rFonts w:hint="eastAsia" w:ascii="宋体" w:hAnsi="宋体" w:cs="宋体"/>
          <w:bCs/>
          <w:color w:val="auto"/>
          <w:szCs w:val="20"/>
          <w:lang w:eastAsia="zh-CN"/>
        </w:rPr>
        <w:t>采</w:t>
      </w:r>
      <w:r>
        <w:rPr>
          <w:rFonts w:hint="eastAsia" w:ascii="宋体" w:hAnsi="宋体" w:cs="宋体"/>
          <w:bCs/>
          <w:color w:val="auto"/>
          <w:szCs w:val="20"/>
          <w:lang w:val="en-US" w:eastAsia="zh-CN"/>
        </w:rPr>
        <w:t xml:space="preserve"> </w:t>
      </w:r>
      <w:r>
        <w:rPr>
          <w:rFonts w:hint="eastAsia" w:ascii="宋体" w:hAnsi="宋体" w:cs="宋体"/>
          <w:bCs/>
          <w:color w:val="auto"/>
          <w:szCs w:val="20"/>
          <w:lang w:eastAsia="zh-CN"/>
        </w:rPr>
        <w:t>购</w:t>
      </w:r>
      <w:r>
        <w:rPr>
          <w:rFonts w:hint="eastAsia" w:ascii="宋体" w:hAnsi="宋体" w:cs="宋体"/>
          <w:bCs/>
          <w:color w:val="auto"/>
          <w:szCs w:val="20"/>
          <w:lang w:val="en-US" w:eastAsia="zh-CN"/>
        </w:rPr>
        <w:t xml:space="preserve"> </w:t>
      </w:r>
      <w:r>
        <w:rPr>
          <w:rFonts w:hint="eastAsia" w:ascii="宋体" w:hAnsi="宋体" w:cs="宋体"/>
          <w:bCs/>
          <w:color w:val="auto"/>
          <w:szCs w:val="20"/>
          <w:lang w:eastAsia="zh-CN"/>
        </w:rPr>
        <w:t>人：</w:t>
      </w:r>
      <w:r>
        <w:rPr>
          <w:rFonts w:hint="eastAsia" w:ascii="宋体" w:hAnsi="宋体" w:eastAsia="宋体" w:cs="宋体"/>
          <w:color w:val="auto"/>
          <w:szCs w:val="21"/>
          <w:lang w:eastAsia="zh-CN"/>
        </w:rPr>
        <w:t>广州市荔湾区道路扩建工程办公室</w:t>
      </w:r>
    </w:p>
    <w:p>
      <w:pPr>
        <w:keepNext w:val="0"/>
        <w:keepLines w:val="0"/>
        <w:pageBreakBefore w:val="0"/>
        <w:tabs>
          <w:tab w:val="left" w:pos="840"/>
          <w:tab w:val="left" w:pos="945"/>
        </w:tabs>
        <w:kinsoku/>
        <w:wordWrap/>
        <w:overflowPunct/>
        <w:topLinePunct w:val="0"/>
        <w:autoSpaceDE/>
        <w:autoSpaceDN/>
        <w:bidi w:val="0"/>
        <w:snapToGrid w:val="0"/>
        <w:spacing w:line="380" w:lineRule="exact"/>
        <w:ind w:firstLine="4830" w:firstLineChars="2300"/>
        <w:jc w:val="both"/>
        <w:textAlignment w:val="auto"/>
        <w:rPr>
          <w:rFonts w:hint="eastAsia" w:ascii="宋体" w:hAnsi="宋体" w:eastAsia="宋体" w:cs="宋体"/>
          <w:bCs/>
          <w:color w:val="auto"/>
          <w:szCs w:val="20"/>
        </w:rPr>
      </w:pPr>
      <w:r>
        <w:rPr>
          <w:rFonts w:hint="eastAsia" w:ascii="宋体" w:hAnsi="宋体" w:cs="宋体"/>
          <w:bCs/>
          <w:color w:val="auto"/>
          <w:szCs w:val="20"/>
          <w:lang w:eastAsia="zh-CN"/>
        </w:rPr>
        <w:t>代</w:t>
      </w:r>
      <w:r>
        <w:rPr>
          <w:rFonts w:hint="eastAsia" w:ascii="宋体" w:hAnsi="宋体" w:cs="宋体"/>
          <w:bCs/>
          <w:color w:val="auto"/>
          <w:szCs w:val="20"/>
          <w:lang w:val="en-US" w:eastAsia="zh-CN"/>
        </w:rPr>
        <w:t xml:space="preserve"> </w:t>
      </w:r>
      <w:r>
        <w:rPr>
          <w:rFonts w:hint="eastAsia" w:ascii="宋体" w:hAnsi="宋体" w:cs="宋体"/>
          <w:bCs/>
          <w:color w:val="auto"/>
          <w:szCs w:val="20"/>
          <w:lang w:eastAsia="zh-CN"/>
        </w:rPr>
        <w:t>理</w:t>
      </w:r>
      <w:r>
        <w:rPr>
          <w:rFonts w:hint="eastAsia" w:ascii="宋体" w:hAnsi="宋体" w:eastAsia="宋体" w:cs="宋体"/>
          <w:bCs/>
          <w:color w:val="auto"/>
          <w:szCs w:val="20"/>
          <w:lang w:val="en-US" w:eastAsia="zh-CN"/>
        </w:rPr>
        <w:t xml:space="preserve"> </w:t>
      </w:r>
      <w:r>
        <w:rPr>
          <w:rFonts w:hint="eastAsia" w:ascii="宋体" w:hAnsi="宋体" w:eastAsia="宋体" w:cs="宋体"/>
          <w:bCs/>
          <w:color w:val="auto"/>
          <w:szCs w:val="20"/>
        </w:rPr>
        <w:t>人：成致项目管理有限公司</w:t>
      </w:r>
    </w:p>
    <w:p>
      <w:pPr>
        <w:keepNext w:val="0"/>
        <w:keepLines w:val="0"/>
        <w:pageBreakBefore w:val="0"/>
        <w:tabs>
          <w:tab w:val="left" w:pos="840"/>
          <w:tab w:val="left" w:pos="945"/>
        </w:tabs>
        <w:kinsoku/>
        <w:wordWrap/>
        <w:overflowPunct/>
        <w:topLinePunct w:val="0"/>
        <w:autoSpaceDE/>
        <w:autoSpaceDN/>
        <w:bidi w:val="0"/>
        <w:snapToGrid w:val="0"/>
        <w:spacing w:line="380" w:lineRule="exact"/>
        <w:ind w:firstLine="4830" w:firstLineChars="2300"/>
        <w:jc w:val="both"/>
        <w:textAlignment w:val="auto"/>
        <w:rPr>
          <w:rFonts w:hint="eastAsia" w:ascii="宋体" w:hAnsi="宋体" w:eastAsia="宋体" w:cs="宋体"/>
          <w:b/>
          <w:bCs/>
          <w:color w:val="auto"/>
          <w:szCs w:val="21"/>
        </w:rPr>
      </w:pPr>
      <w:r>
        <w:rPr>
          <w:rFonts w:hint="eastAsia" w:ascii="宋体" w:hAnsi="宋体" w:eastAsia="宋体" w:cs="宋体"/>
          <w:bCs/>
          <w:color w:val="auto"/>
          <w:szCs w:val="20"/>
        </w:rPr>
        <w:t>发布时间：202</w:t>
      </w:r>
      <w:r>
        <w:rPr>
          <w:rFonts w:hint="eastAsia" w:ascii="宋体" w:hAnsi="宋体" w:eastAsia="宋体" w:cs="宋体"/>
          <w:bCs/>
          <w:color w:val="auto"/>
          <w:szCs w:val="20"/>
          <w:lang w:val="en-US" w:eastAsia="zh-CN"/>
        </w:rPr>
        <w:t>2</w:t>
      </w:r>
      <w:r>
        <w:rPr>
          <w:rFonts w:hint="eastAsia" w:ascii="宋体" w:hAnsi="宋体" w:eastAsia="宋体" w:cs="宋体"/>
          <w:bCs/>
          <w:color w:val="auto"/>
          <w:szCs w:val="20"/>
        </w:rPr>
        <w:t>年</w:t>
      </w:r>
      <w:r>
        <w:rPr>
          <w:rFonts w:hint="eastAsia" w:ascii="宋体" w:hAnsi="宋体" w:eastAsia="宋体" w:cs="宋体"/>
          <w:bCs/>
          <w:color w:val="auto"/>
          <w:szCs w:val="20"/>
          <w:lang w:val="en-US" w:eastAsia="zh-CN"/>
        </w:rPr>
        <w:t xml:space="preserve"> </w:t>
      </w:r>
      <w:r>
        <w:rPr>
          <w:rFonts w:hint="eastAsia" w:ascii="宋体" w:hAnsi="宋体" w:cs="宋体"/>
          <w:bCs/>
          <w:color w:val="auto"/>
          <w:szCs w:val="20"/>
          <w:lang w:val="en-US" w:eastAsia="zh-CN"/>
        </w:rPr>
        <w:t>2</w:t>
      </w:r>
      <w:r>
        <w:rPr>
          <w:rFonts w:hint="eastAsia" w:ascii="宋体" w:hAnsi="宋体" w:eastAsia="宋体" w:cs="宋体"/>
          <w:bCs/>
          <w:color w:val="auto"/>
          <w:szCs w:val="20"/>
          <w:lang w:val="en-US" w:eastAsia="zh-CN"/>
        </w:rPr>
        <w:t xml:space="preserve"> </w:t>
      </w:r>
      <w:r>
        <w:rPr>
          <w:rFonts w:hint="eastAsia" w:ascii="宋体" w:hAnsi="宋体" w:eastAsia="宋体" w:cs="宋体"/>
          <w:bCs/>
          <w:color w:val="auto"/>
          <w:szCs w:val="20"/>
        </w:rPr>
        <w:t>月</w:t>
      </w:r>
      <w:r>
        <w:rPr>
          <w:rFonts w:hint="eastAsia" w:ascii="宋体" w:hAnsi="宋体" w:eastAsia="宋体" w:cs="宋体"/>
          <w:bCs/>
          <w:color w:val="auto"/>
          <w:szCs w:val="20"/>
          <w:lang w:val="en-US" w:eastAsia="zh-CN"/>
        </w:rPr>
        <w:t xml:space="preserve"> </w:t>
      </w:r>
      <w:r>
        <w:rPr>
          <w:rFonts w:hint="eastAsia" w:ascii="宋体" w:hAnsi="宋体" w:cs="宋体"/>
          <w:bCs/>
          <w:color w:val="auto"/>
          <w:szCs w:val="20"/>
          <w:lang w:val="en-US" w:eastAsia="zh-CN"/>
        </w:rPr>
        <w:t>18</w:t>
      </w:r>
      <w:r>
        <w:rPr>
          <w:rFonts w:hint="eastAsia" w:ascii="宋体" w:hAnsi="宋体" w:eastAsia="宋体" w:cs="宋体"/>
          <w:bCs/>
          <w:color w:val="auto"/>
          <w:szCs w:val="20"/>
          <w:lang w:val="en-US" w:eastAsia="zh-CN"/>
        </w:rPr>
        <w:t xml:space="preserve"> </w:t>
      </w:r>
      <w:r>
        <w:rPr>
          <w:rFonts w:hint="eastAsia" w:ascii="宋体" w:hAnsi="宋体" w:eastAsia="宋体" w:cs="宋体"/>
          <w:bCs/>
          <w:color w:val="auto"/>
          <w:szCs w:val="20"/>
        </w:rPr>
        <w:t>日</w:t>
      </w:r>
    </w:p>
    <w:p>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spacing w:line="360" w:lineRule="auto"/>
        <w:rPr>
          <w:rFonts w:hint="eastAsia" w:ascii="宋体" w:hAnsi="宋体" w:eastAsia="宋体" w:cs="宋体"/>
          <w:color w:val="auto"/>
          <w:sz w:val="28"/>
        </w:rPr>
      </w:pPr>
      <w:bookmarkStart w:id="7" w:name="_Toc28489434"/>
      <w:bookmarkStart w:id="8" w:name="_Toc14450807"/>
    </w:p>
    <w:p>
      <w:pPr>
        <w:pStyle w:val="99"/>
        <w:rPr>
          <w:rFonts w:hint="eastAsia" w:ascii="宋体" w:hAnsi="宋体" w:eastAsia="宋体" w:cs="宋体"/>
          <w:color w:val="auto"/>
        </w:rPr>
      </w:pPr>
    </w:p>
    <w:p>
      <w:pPr>
        <w:pStyle w:val="99"/>
        <w:rPr>
          <w:rFonts w:hint="eastAsia" w:ascii="宋体" w:hAnsi="宋体" w:eastAsia="宋体" w:cs="宋体"/>
          <w:color w:val="auto"/>
        </w:rPr>
      </w:pPr>
    </w:p>
    <w:p>
      <w:pPr>
        <w:pStyle w:val="99"/>
        <w:rPr>
          <w:rFonts w:hint="eastAsia" w:ascii="宋体" w:hAnsi="宋体" w:eastAsia="宋体" w:cs="宋体"/>
          <w:color w:val="auto"/>
        </w:rPr>
      </w:pPr>
    </w:p>
    <w:p>
      <w:pPr>
        <w:pStyle w:val="99"/>
        <w:rPr>
          <w:rFonts w:hint="eastAsia" w:ascii="宋体" w:hAnsi="宋体" w:eastAsia="宋体" w:cs="宋体"/>
          <w:color w:val="auto"/>
        </w:rPr>
      </w:pPr>
    </w:p>
    <w:p>
      <w:pPr>
        <w:spacing w:line="360" w:lineRule="auto"/>
        <w:rPr>
          <w:rFonts w:hint="eastAsia" w:ascii="宋体" w:hAnsi="宋体" w:eastAsia="宋体" w:cs="宋体"/>
          <w:color w:val="auto"/>
          <w:sz w:val="28"/>
        </w:rPr>
      </w:pPr>
    </w:p>
    <w:p>
      <w:pPr>
        <w:pStyle w:val="99"/>
        <w:rPr>
          <w:rFonts w:hint="eastAsia" w:ascii="宋体" w:hAnsi="宋体" w:eastAsia="宋体" w:cs="宋体"/>
          <w:color w:val="auto"/>
        </w:rPr>
      </w:pPr>
    </w:p>
    <w:p>
      <w:pPr>
        <w:pStyle w:val="99"/>
        <w:rPr>
          <w:rFonts w:hint="eastAsia" w:ascii="宋体" w:hAnsi="宋体" w:eastAsia="宋体" w:cs="宋体"/>
          <w:color w:val="auto"/>
        </w:rPr>
      </w:pPr>
    </w:p>
    <w:p>
      <w:pPr>
        <w:pStyle w:val="99"/>
        <w:rPr>
          <w:rFonts w:hint="eastAsia" w:ascii="宋体" w:hAnsi="宋体" w:eastAsia="宋体" w:cs="宋体"/>
          <w:color w:val="auto"/>
        </w:rPr>
      </w:pP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pStyle w:val="4"/>
        <w:autoSpaceDE w:val="0"/>
        <w:rPr>
          <w:rFonts w:hint="eastAsia" w:ascii="宋体" w:hAnsi="宋体" w:eastAsia="宋体" w:cs="宋体"/>
          <w:color w:val="auto"/>
          <w:sz w:val="44"/>
        </w:rPr>
      </w:pPr>
      <w:bookmarkStart w:id="9" w:name="_Toc320515015"/>
      <w:bookmarkStart w:id="10" w:name="_Toc23186"/>
      <w:bookmarkStart w:id="11" w:name="_Toc475104467"/>
      <w:bookmarkStart w:id="12" w:name="_Toc7527"/>
      <w:r>
        <w:rPr>
          <w:rFonts w:hint="eastAsia" w:ascii="宋体" w:hAnsi="宋体" w:eastAsia="宋体" w:cs="宋体"/>
          <w:b w:val="0"/>
          <w:color w:val="auto"/>
          <w:sz w:val="2"/>
          <w:szCs w:val="2"/>
        </w:rPr>
        <w:t>1B1B</w:t>
      </w:r>
      <w:r>
        <w:rPr>
          <w:rFonts w:hint="eastAsia" w:ascii="宋体" w:hAnsi="宋体" w:eastAsia="宋体" w:cs="宋体"/>
          <w:color w:val="auto"/>
          <w:sz w:val="44"/>
        </w:rPr>
        <w:t>第二章</w:t>
      </w:r>
      <w:bookmarkStart w:id="13" w:name="_Toc10525515"/>
      <w:r>
        <w:rPr>
          <w:rFonts w:hint="eastAsia" w:ascii="宋体" w:hAnsi="宋体" w:eastAsia="宋体" w:cs="宋体"/>
          <w:color w:val="auto"/>
          <w:sz w:val="44"/>
        </w:rPr>
        <w:t xml:space="preserve"> 竞争性磋商须知</w:t>
      </w:r>
      <w:bookmarkEnd w:id="7"/>
      <w:bookmarkEnd w:id="8"/>
      <w:bookmarkEnd w:id="9"/>
      <w:bookmarkEnd w:id="10"/>
      <w:bookmarkEnd w:id="11"/>
      <w:bookmarkEnd w:id="12"/>
      <w:bookmarkEnd w:id="13"/>
    </w:p>
    <w:p>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0"/>
        </w:rPr>
      </w:pPr>
      <w:r>
        <w:rPr>
          <w:rFonts w:hint="eastAsia" w:ascii="宋体" w:hAnsi="宋体" w:eastAsia="宋体" w:cs="宋体"/>
          <w:color w:val="auto"/>
          <w:sz w:val="44"/>
        </w:rPr>
        <w:br w:type="page"/>
      </w:r>
      <w:r>
        <w:rPr>
          <w:rFonts w:hint="eastAsia" w:ascii="宋体" w:hAnsi="宋体" w:eastAsia="宋体" w:cs="宋体"/>
          <w:b/>
          <w:bCs/>
          <w:color w:val="auto"/>
          <w:sz w:val="30"/>
        </w:rPr>
        <w:t>竞争性磋商须知一览表</w:t>
      </w:r>
    </w:p>
    <w:tbl>
      <w:tblPr>
        <w:tblStyle w:val="88"/>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磋商</w:t>
            </w:r>
            <w:r>
              <w:rPr>
                <w:rFonts w:hint="eastAsia" w:ascii="宋体" w:hAnsi="宋体" w:eastAsia="宋体" w:cs="宋体"/>
                <w:color w:val="auto"/>
                <w:szCs w:val="21"/>
              </w:rPr>
              <w:t>保证金</w:t>
            </w:r>
          </w:p>
        </w:tc>
        <w:tc>
          <w:tcPr>
            <w:tcW w:w="62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Cs w:val="21"/>
              </w:rPr>
            </w:pPr>
            <w:r>
              <w:rPr>
                <w:rFonts w:hint="eastAsia" w:ascii="宋体" w:hAnsi="宋体" w:eastAsia="宋体" w:cs="宋体"/>
                <w:color w:val="auto"/>
                <w:szCs w:val="21"/>
              </w:rPr>
              <w:t>收费依据及方法：招标代理服务费按中华人民共和国国家发展计划委员会颁发的计价格[2002]1980号、国家发改委[2003]857号及发改价格</w:t>
            </w:r>
            <w:r>
              <w:rPr>
                <w:rFonts w:hint="eastAsia" w:ascii="宋体" w:hAnsi="宋体" w:eastAsia="宋体" w:cs="宋体"/>
                <w:color w:val="auto"/>
                <w:szCs w:val="21"/>
              </w:rPr>
              <w:sym w:font="Symbol" w:char="F05B"/>
            </w:r>
            <w:r>
              <w:rPr>
                <w:rFonts w:hint="eastAsia" w:ascii="宋体" w:hAnsi="宋体" w:eastAsia="宋体" w:cs="宋体"/>
                <w:color w:val="auto"/>
                <w:szCs w:val="21"/>
              </w:rPr>
              <w:t>2011</w:t>
            </w:r>
            <w:r>
              <w:rPr>
                <w:rFonts w:hint="eastAsia" w:ascii="宋体" w:hAnsi="宋体" w:eastAsia="宋体" w:cs="宋体"/>
                <w:color w:val="auto"/>
                <w:szCs w:val="21"/>
              </w:rPr>
              <w:sym w:font="Symbol" w:char="F05D"/>
            </w:r>
            <w:r>
              <w:rPr>
                <w:rFonts w:hint="eastAsia" w:ascii="宋体" w:hAnsi="宋体" w:eastAsia="宋体" w:cs="宋体"/>
                <w:color w:val="auto"/>
                <w:szCs w:val="21"/>
              </w:rPr>
              <w:t>534号文规定的</w:t>
            </w:r>
            <w:r>
              <w:rPr>
                <w:rFonts w:hint="eastAsia" w:ascii="宋体" w:hAnsi="宋体" w:cs="宋体"/>
                <w:color w:val="auto"/>
                <w:szCs w:val="21"/>
                <w:lang w:eastAsia="zh-CN"/>
              </w:rPr>
              <w:t>服务</w:t>
            </w:r>
            <w:r>
              <w:rPr>
                <w:rFonts w:hint="eastAsia" w:ascii="宋体" w:hAnsi="宋体" w:eastAsia="宋体" w:cs="宋体"/>
                <w:color w:val="auto"/>
                <w:szCs w:val="21"/>
              </w:rPr>
              <w:t>类计算。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采购代理服务费支付方式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Cs w:val="21"/>
              </w:rPr>
            </w:pPr>
            <w:r>
              <w:rPr>
                <w:rFonts w:hint="eastAsia" w:ascii="宋体" w:hAnsi="宋体" w:eastAsia="宋体" w:cs="宋体"/>
                <w:color w:val="auto"/>
                <w:szCs w:val="21"/>
              </w:rPr>
              <w:t>中标人在领取《中标通知书》前直接一次性向采购代理机构足额支付招标代理服务费。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GB"/>
              </w:rPr>
              <w:t>统一结算</w:t>
            </w:r>
            <w:r>
              <w:rPr>
                <w:rFonts w:hint="eastAsia" w:ascii="宋体" w:hAnsi="宋体" w:eastAsia="宋体" w:cs="宋体"/>
                <w:color w:val="auto"/>
                <w:szCs w:val="21"/>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磋商</w:t>
            </w:r>
            <w:r>
              <w:rPr>
                <w:rFonts w:hint="eastAsia" w:ascii="宋体" w:hAnsi="宋体" w:eastAsia="宋体" w:cs="宋体"/>
                <w:color w:val="auto"/>
                <w:szCs w:val="21"/>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三份（一份正本、两份副本）、唱标信封一份。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磋商</w:t>
            </w:r>
            <w:r>
              <w:rPr>
                <w:rFonts w:hint="eastAsia" w:ascii="宋体" w:hAnsi="宋体" w:eastAsia="宋体" w:cs="宋体"/>
                <w:color w:val="auto"/>
                <w:szCs w:val="21"/>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rPr>
            </w:pPr>
            <w:r>
              <w:rPr>
                <w:rFonts w:hint="eastAsia" w:ascii="宋体" w:hAnsi="宋体" w:eastAsia="宋体" w:cs="宋体"/>
                <w:color w:val="auto"/>
                <w:szCs w:val="21"/>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磋商响应文件递交</w:t>
            </w:r>
            <w:r>
              <w:rPr>
                <w:rFonts w:hint="eastAsia" w:ascii="宋体" w:hAnsi="宋体" w:eastAsia="宋体" w:cs="宋体"/>
                <w:color w:val="auto"/>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详见竞争性</w:t>
            </w:r>
            <w:r>
              <w:rPr>
                <w:rFonts w:hint="eastAsia" w:ascii="宋体" w:hAnsi="宋体" w:eastAsia="宋体" w:cs="宋体"/>
                <w:bCs/>
                <w:color w:val="auto"/>
                <w:szCs w:val="21"/>
              </w:rPr>
              <w:t>磋商</w:t>
            </w:r>
            <w:r>
              <w:rPr>
                <w:rFonts w:hint="eastAsia" w:ascii="宋体" w:hAnsi="宋体" w:eastAsia="宋体" w:cs="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详见竞争性</w:t>
            </w:r>
            <w:r>
              <w:rPr>
                <w:rFonts w:hint="eastAsia" w:ascii="宋体" w:hAnsi="宋体" w:eastAsia="宋体" w:cs="宋体"/>
                <w:bCs/>
                <w:color w:val="auto"/>
                <w:szCs w:val="21"/>
              </w:rPr>
              <w:t>磋商</w:t>
            </w:r>
            <w:r>
              <w:rPr>
                <w:rFonts w:hint="eastAsia" w:ascii="宋体" w:hAnsi="宋体" w:eastAsia="宋体" w:cs="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详见第三章《采购人需求书》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kern w:val="0"/>
                <w:szCs w:val="21"/>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详见竞争性</w:t>
            </w:r>
            <w:r>
              <w:rPr>
                <w:rFonts w:hint="eastAsia" w:ascii="宋体" w:hAnsi="宋体" w:eastAsia="宋体" w:cs="宋体"/>
                <w:bCs/>
                <w:color w:val="auto"/>
                <w:szCs w:val="21"/>
              </w:rPr>
              <w:t>磋商</w:t>
            </w:r>
            <w:r>
              <w:rPr>
                <w:rFonts w:hint="eastAsia" w:ascii="宋体" w:hAnsi="宋体" w:eastAsia="宋体" w:cs="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财政</w:t>
            </w:r>
            <w:r>
              <w:rPr>
                <w:rFonts w:hint="eastAsia" w:ascii="宋体" w:hAnsi="宋体" w:eastAsia="宋体" w:cs="宋体"/>
                <w:color w:val="auto"/>
                <w:szCs w:val="21"/>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bidi w:val="0"/>
              <w:spacing w:line="360" w:lineRule="auto"/>
              <w:ind w:left="360" w:hanging="360"/>
              <w:jc w:val="right"/>
              <w:rPr>
                <w:rFonts w:hint="eastAsia" w:ascii="宋体" w:hAnsi="宋体" w:eastAsia="宋体" w:cs="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发布媒体</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中国采购与招标网（网址：</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"http://www.chinabidding.com.cn）、广州市信怡招标代理有限公司网站（www.gzxyzb.com）和广东省前沿动物保健有限公司网站（"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www.chinabidding.com.cn）、广州市荔湾区人民政府网站（http://www.lw.gov.cn/）</w:t>
            </w:r>
            <w:r>
              <w:rPr>
                <w:rFonts w:hint="eastAsia" w:ascii="宋体" w:hAnsi="宋体" w:eastAsia="宋体" w:cs="宋体"/>
                <w:color w:val="auto"/>
                <w:szCs w:val="21"/>
              </w:rPr>
              <w:fldChar w:fldCharType="end"/>
            </w:r>
            <w:r>
              <w:rPr>
                <w:rFonts w:hint="eastAsia" w:ascii="宋体" w:hAnsi="宋体" w:eastAsia="宋体" w:cs="宋体"/>
                <w:color w:val="auto"/>
                <w:szCs w:val="21"/>
                <w:lang w:eastAsia="zh-CN"/>
              </w:rPr>
              <w:t>和</w:t>
            </w:r>
            <w:r>
              <w:rPr>
                <w:rFonts w:hint="eastAsia" w:ascii="宋体" w:hAnsi="宋体" w:eastAsia="宋体" w:cs="宋体"/>
                <w:color w:val="auto"/>
                <w:szCs w:val="21"/>
              </w:rPr>
              <w:t>成致项目管理有限公司网站（www.gdchengzhi.com/）</w:t>
            </w:r>
          </w:p>
        </w:tc>
      </w:tr>
    </w:tbl>
    <w:p>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0"/>
        </w:rPr>
      </w:pPr>
    </w:p>
    <w:p>
      <w:pPr>
        <w:keepNext w:val="0"/>
        <w:keepLines w:val="0"/>
        <w:pageBreakBefore w:val="0"/>
        <w:numPr>
          <w:ilvl w:val="0"/>
          <w:numId w:val="3"/>
        </w:numPr>
        <w:kinsoku/>
        <w:wordWrap/>
        <w:overflowPunct/>
        <w:topLinePunct w:val="0"/>
        <w:autoSpaceDE w:val="0"/>
        <w:autoSpaceDN w:val="0"/>
        <w:bidi w:val="0"/>
        <w:adjustRightInd w:val="0"/>
        <w:snapToGrid w:val="0"/>
        <w:spacing w:line="360" w:lineRule="auto"/>
        <w:ind w:left="601" w:hanging="601"/>
        <w:jc w:val="center"/>
        <w:outlineLvl w:val="0"/>
        <w:rPr>
          <w:rFonts w:hint="eastAsia" w:ascii="宋体" w:hAnsi="宋体" w:eastAsia="宋体" w:cs="宋体"/>
          <w:color w:val="auto"/>
          <w:szCs w:val="21"/>
        </w:rPr>
      </w:pPr>
      <w:r>
        <w:rPr>
          <w:rFonts w:hint="eastAsia" w:ascii="宋体" w:hAnsi="宋体" w:eastAsia="宋体" w:cs="宋体"/>
          <w:color w:val="auto"/>
        </w:rPr>
        <w:br w:type="page"/>
      </w:r>
      <w:bookmarkStart w:id="14" w:name="_Toc363737682"/>
      <w:bookmarkStart w:id="15" w:name="_Toc323110975"/>
      <w:bookmarkStart w:id="16" w:name="_Toc16748"/>
      <w:bookmarkStart w:id="17" w:name="_Toc320515065"/>
      <w:bookmarkStart w:id="18" w:name="_Toc4034"/>
      <w:bookmarkStart w:id="19" w:name="_Toc322680342"/>
      <w:bookmarkStart w:id="20" w:name="_Toc475104468"/>
      <w:bookmarkStart w:id="21" w:name="_Toc320515016"/>
      <w:bookmarkStart w:id="22" w:name="_Toc315793450"/>
      <w:bookmarkStart w:id="23" w:name="_Toc23365"/>
      <w:r>
        <w:rPr>
          <w:rFonts w:hint="eastAsia" w:ascii="宋体" w:hAnsi="宋体" w:eastAsia="宋体" w:cs="宋体"/>
          <w:b/>
          <w:color w:val="auto"/>
          <w:sz w:val="28"/>
          <w:szCs w:val="28"/>
          <w:lang w:eastAsia="zh-TW"/>
        </w:rPr>
        <w:t>说 明</w:t>
      </w:r>
      <w:bookmarkEnd w:id="14"/>
      <w:bookmarkEnd w:id="15"/>
      <w:bookmarkEnd w:id="16"/>
      <w:bookmarkEnd w:id="17"/>
      <w:bookmarkEnd w:id="18"/>
      <w:bookmarkEnd w:id="19"/>
      <w:bookmarkEnd w:id="20"/>
      <w:bookmarkEnd w:id="21"/>
      <w:bookmarkEnd w:id="22"/>
      <w:bookmarkEnd w:id="23"/>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24" w:name="_Toc363737683"/>
      <w:bookmarkStart w:id="25" w:name="_Toc320515066"/>
      <w:bookmarkStart w:id="26" w:name="_Toc29939"/>
      <w:bookmarkStart w:id="27" w:name="_Toc323110976"/>
      <w:bookmarkStart w:id="28" w:name="_Toc475104469"/>
      <w:bookmarkStart w:id="29" w:name="_Toc2991"/>
      <w:bookmarkStart w:id="30" w:name="_Toc322680343"/>
      <w:bookmarkStart w:id="31" w:name="_Toc315793451"/>
      <w:bookmarkStart w:id="32" w:name="_Toc320515017"/>
      <w:bookmarkStart w:id="33" w:name="_Toc27162"/>
      <w:r>
        <w:rPr>
          <w:rFonts w:hint="eastAsia" w:ascii="宋体" w:hAnsi="宋体" w:eastAsia="宋体" w:cs="宋体"/>
          <w:b/>
          <w:bCs/>
          <w:color w:val="auto"/>
          <w:sz w:val="24"/>
        </w:rPr>
        <w:t>招标适用范围</w:t>
      </w:r>
      <w:bookmarkEnd w:id="24"/>
      <w:bookmarkEnd w:id="25"/>
      <w:bookmarkEnd w:id="26"/>
      <w:bookmarkEnd w:id="27"/>
      <w:bookmarkEnd w:id="28"/>
      <w:bookmarkEnd w:id="29"/>
      <w:bookmarkEnd w:id="30"/>
      <w:bookmarkEnd w:id="31"/>
      <w:bookmarkEnd w:id="32"/>
      <w:bookmarkEnd w:id="33"/>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本竞争性磋商文件适用于本竞争性磋商邀请中所述项目的政府采购。</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34" w:name="_Toc363737684"/>
      <w:bookmarkStart w:id="35" w:name="_Toc323110977"/>
      <w:bookmarkStart w:id="36" w:name="_Toc475104470"/>
      <w:bookmarkStart w:id="37" w:name="_Toc320515018"/>
      <w:bookmarkStart w:id="38" w:name="_Toc320515067"/>
      <w:bookmarkStart w:id="39" w:name="_Toc5761"/>
      <w:bookmarkStart w:id="40" w:name="_Toc322680344"/>
      <w:bookmarkStart w:id="41" w:name="_Toc18786"/>
      <w:bookmarkStart w:id="42" w:name="_Toc12608"/>
      <w:r>
        <w:rPr>
          <w:rFonts w:hint="eastAsia" w:ascii="宋体" w:hAnsi="宋体" w:eastAsia="宋体" w:cs="宋体"/>
          <w:b/>
          <w:bCs/>
          <w:color w:val="auto"/>
          <w:sz w:val="24"/>
        </w:rPr>
        <w:t>定义</w:t>
      </w:r>
      <w:bookmarkEnd w:id="34"/>
      <w:bookmarkEnd w:id="35"/>
      <w:bookmarkEnd w:id="36"/>
      <w:bookmarkEnd w:id="37"/>
      <w:bookmarkEnd w:id="38"/>
      <w:bookmarkEnd w:id="39"/>
      <w:bookmarkEnd w:id="40"/>
      <w:bookmarkEnd w:id="41"/>
      <w:bookmarkEnd w:id="42"/>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“采购人”系指</w:t>
      </w:r>
      <w:r>
        <w:rPr>
          <w:rFonts w:hint="eastAsia" w:ascii="宋体" w:hAnsi="宋体" w:eastAsia="宋体" w:cs="宋体"/>
          <w:color w:val="auto"/>
          <w:szCs w:val="21"/>
          <w:lang w:eastAsia="zh-CN"/>
        </w:rPr>
        <w:t>广州市荔湾区道路扩建工程办公室</w:t>
      </w:r>
      <w:r>
        <w:rPr>
          <w:rFonts w:hint="eastAsia" w:ascii="宋体" w:hAnsi="宋体" w:eastAsia="宋体" w:cs="宋体"/>
          <w:color w:val="auto"/>
          <w:szCs w:val="21"/>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“采购代理机构”系指成致项目管理有限公司。</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rPr>
        <w:t>供应商</w:t>
      </w:r>
      <w:r>
        <w:rPr>
          <w:rFonts w:hint="eastAsia" w:ascii="宋体" w:hAnsi="宋体" w:eastAsia="宋体" w:cs="宋体"/>
          <w:color w:val="auto"/>
          <w:szCs w:val="21"/>
        </w:rPr>
        <w:t>”系指向采购代理机构提交磋商</w:t>
      </w:r>
      <w:r>
        <w:rPr>
          <w:rFonts w:hint="eastAsia" w:ascii="宋体" w:hAnsi="宋体" w:eastAsia="宋体" w:cs="宋体"/>
          <w:color w:val="auto"/>
        </w:rPr>
        <w:t>响应</w:t>
      </w:r>
      <w:r>
        <w:rPr>
          <w:rFonts w:hint="eastAsia" w:ascii="宋体" w:hAnsi="宋体" w:eastAsia="宋体" w:cs="宋体"/>
          <w:color w:val="auto"/>
          <w:szCs w:val="21"/>
        </w:rPr>
        <w:t>文件的自然人、法人或其他组织。</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lang w:eastAsia="zh-TW"/>
        </w:rPr>
      </w:pPr>
      <w:r>
        <w:rPr>
          <w:rFonts w:hint="eastAsia" w:ascii="宋体" w:hAnsi="宋体" w:eastAsia="宋体" w:cs="宋体"/>
          <w:color w:val="auto"/>
          <w:szCs w:val="21"/>
          <w:lang w:eastAsia="zh-TW"/>
        </w:rPr>
        <w:t>“甲方”系指采购人。</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“乙方”系指成交供应商。</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“日期”指公历日,“时间”指北京时间。</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“书面形式”系指纸质文件形式，不包含电子邮件、手机短信等非纸质形式。</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“成交供应商”系指法定程序确定并授予合同的</w:t>
      </w:r>
      <w:r>
        <w:rPr>
          <w:rFonts w:hint="eastAsia" w:ascii="宋体" w:hAnsi="宋体" w:eastAsia="宋体" w:cs="宋体"/>
          <w:color w:val="auto"/>
        </w:rPr>
        <w:t>供应商</w:t>
      </w:r>
      <w:r>
        <w:rPr>
          <w:rFonts w:hint="eastAsia" w:ascii="宋体" w:hAnsi="宋体" w:eastAsia="宋体" w:cs="宋体"/>
          <w:color w:val="auto"/>
          <w:szCs w:val="21"/>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“实质性响应”系指符合竞争性磋商文件的所有要求、条款、条件和规定，且没有不利于项目实施质量效果和服务保障的重大偏离或保留。</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“重大偏离或保留”系指影响到竞争性磋商文件规定的范围、质量和性能或限制了采购人的权力和</w:t>
      </w:r>
      <w:r>
        <w:rPr>
          <w:rFonts w:hint="eastAsia" w:ascii="宋体" w:hAnsi="宋体" w:eastAsia="宋体" w:cs="宋体"/>
          <w:color w:val="auto"/>
        </w:rPr>
        <w:t>供应商</w:t>
      </w:r>
      <w:r>
        <w:rPr>
          <w:rFonts w:hint="eastAsia" w:ascii="宋体" w:hAnsi="宋体" w:eastAsia="宋体" w:cs="宋体"/>
          <w:color w:val="auto"/>
          <w:szCs w:val="21"/>
        </w:rPr>
        <w:t>义务的规定，而纠正这些偏离将影响到其它</w:t>
      </w:r>
      <w:r>
        <w:rPr>
          <w:rFonts w:hint="eastAsia" w:ascii="宋体" w:hAnsi="宋体" w:eastAsia="宋体" w:cs="宋体"/>
          <w:color w:val="auto"/>
        </w:rPr>
        <w:t>供应商</w:t>
      </w:r>
      <w:r>
        <w:rPr>
          <w:rFonts w:hint="eastAsia" w:ascii="宋体" w:hAnsi="宋体" w:eastAsia="宋体" w:cs="宋体"/>
          <w:color w:val="auto"/>
          <w:szCs w:val="21"/>
        </w:rPr>
        <w:t>的公平竞争地位。</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竞争性磋商文件中的标题或题名仅起引导作用，而不应该作为对竞争性磋商文件内容的理解或解释。</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43" w:name="_Toc323110978"/>
      <w:bookmarkStart w:id="44" w:name="_Toc320515068"/>
      <w:bookmarkStart w:id="45" w:name="_Toc320515019"/>
      <w:bookmarkStart w:id="46" w:name="_Toc315793453"/>
      <w:bookmarkStart w:id="47" w:name="_Toc363737685"/>
      <w:bookmarkStart w:id="48" w:name="_Toc322680345"/>
      <w:bookmarkStart w:id="49" w:name="_Toc475104471"/>
      <w:bookmarkStart w:id="50" w:name="_Toc23055"/>
      <w:bookmarkStart w:id="51" w:name="_Toc12295"/>
      <w:bookmarkStart w:id="52" w:name="_Toc7331"/>
      <w:r>
        <w:rPr>
          <w:rFonts w:hint="eastAsia" w:ascii="宋体" w:hAnsi="宋体" w:eastAsia="宋体" w:cs="宋体"/>
          <w:b/>
          <w:bCs/>
          <w:color w:val="auto"/>
          <w:sz w:val="24"/>
        </w:rPr>
        <w:t>合格的</w:t>
      </w:r>
      <w:bookmarkEnd w:id="43"/>
      <w:bookmarkEnd w:id="44"/>
      <w:bookmarkEnd w:id="45"/>
      <w:bookmarkEnd w:id="46"/>
      <w:bookmarkEnd w:id="47"/>
      <w:bookmarkEnd w:id="48"/>
      <w:bookmarkEnd w:id="49"/>
      <w:r>
        <w:rPr>
          <w:rFonts w:hint="eastAsia" w:ascii="宋体" w:hAnsi="宋体" w:eastAsia="宋体" w:cs="宋体"/>
          <w:b/>
          <w:bCs/>
          <w:color w:val="auto"/>
          <w:sz w:val="24"/>
        </w:rPr>
        <w:t>供应商</w:t>
      </w:r>
      <w:bookmarkEnd w:id="50"/>
      <w:bookmarkEnd w:id="51"/>
      <w:bookmarkEnd w:id="52"/>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是响应磋商并且符合竞争性磋商文件规定资格条件和参加</w:t>
      </w:r>
      <w:r>
        <w:rPr>
          <w:rFonts w:hint="eastAsia" w:ascii="宋体" w:hAnsi="宋体" w:eastAsia="宋体" w:cs="宋体"/>
          <w:color w:val="auto"/>
        </w:rPr>
        <w:t>磋商</w:t>
      </w:r>
      <w:r>
        <w:rPr>
          <w:rFonts w:hint="eastAsia" w:ascii="宋体" w:hAnsi="宋体" w:eastAsia="宋体" w:cs="宋体"/>
          <w:color w:val="auto"/>
          <w:szCs w:val="21"/>
        </w:rPr>
        <w:t>竞争的法人、其他组织或者自然人。</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合格的</w:t>
      </w:r>
      <w:r>
        <w:rPr>
          <w:rFonts w:hint="eastAsia" w:ascii="宋体" w:hAnsi="宋体" w:eastAsia="宋体" w:cs="宋体"/>
          <w:color w:val="auto"/>
        </w:rPr>
        <w:t>供应商</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具备《政府采购法》第二十二条</w:t>
      </w:r>
      <w:r>
        <w:rPr>
          <w:rFonts w:hint="eastAsia" w:ascii="宋体" w:hAnsi="宋体" w:eastAsia="宋体" w:cs="宋体"/>
          <w:bCs/>
          <w:color w:val="auto"/>
        </w:rPr>
        <w:t>供应商</w:t>
      </w:r>
      <w:r>
        <w:rPr>
          <w:rFonts w:hint="eastAsia" w:ascii="宋体" w:hAnsi="宋体" w:eastAsia="宋体" w:cs="宋体"/>
          <w:color w:val="auto"/>
          <w:szCs w:val="21"/>
        </w:rPr>
        <w:t>资格条件。</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具有独立承担民事责任的能力。</w:t>
      </w:r>
    </w:p>
    <w:p>
      <w:pPr>
        <w:keepNext w:val="0"/>
        <w:keepLines w:val="0"/>
        <w:pageBreakBefore w:val="0"/>
        <w:numPr>
          <w:ilvl w:val="2"/>
          <w:numId w:val="4"/>
        </w:numPr>
        <w:tabs>
          <w:tab w:val="left" w:pos="426"/>
          <w:tab w:val="left" w:pos="720"/>
          <w:tab w:val="clear" w:pos="709"/>
        </w:tabs>
        <w:kinsoku/>
        <w:wordWrap/>
        <w:overflowPunct/>
        <w:topLinePunct w:val="0"/>
        <w:autoSpaceDE w:val="0"/>
        <w:autoSpaceDN w:val="0"/>
        <w:bidi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具有良好的商业信誉和健全的财务会计制度。</w:t>
      </w:r>
    </w:p>
    <w:p>
      <w:pPr>
        <w:keepNext w:val="0"/>
        <w:keepLines w:val="0"/>
        <w:pageBreakBefore w:val="0"/>
        <w:numPr>
          <w:ilvl w:val="2"/>
          <w:numId w:val="4"/>
        </w:numPr>
        <w:tabs>
          <w:tab w:val="left" w:pos="426"/>
          <w:tab w:val="left" w:pos="720"/>
          <w:tab w:val="clear" w:pos="709"/>
        </w:tabs>
        <w:kinsoku/>
        <w:wordWrap/>
        <w:overflowPunct/>
        <w:topLinePunct w:val="0"/>
        <w:autoSpaceDE w:val="0"/>
        <w:autoSpaceDN w:val="0"/>
        <w:bidi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具有履行合同所必需的设备和专业技术能力。</w:t>
      </w:r>
    </w:p>
    <w:p>
      <w:pPr>
        <w:keepNext w:val="0"/>
        <w:keepLines w:val="0"/>
        <w:pageBreakBefore w:val="0"/>
        <w:numPr>
          <w:ilvl w:val="2"/>
          <w:numId w:val="4"/>
        </w:numPr>
        <w:tabs>
          <w:tab w:val="left" w:pos="426"/>
          <w:tab w:val="left" w:pos="720"/>
          <w:tab w:val="clear" w:pos="709"/>
        </w:tabs>
        <w:kinsoku/>
        <w:wordWrap/>
        <w:overflowPunct/>
        <w:topLinePunct w:val="0"/>
        <w:autoSpaceDE w:val="0"/>
        <w:autoSpaceDN w:val="0"/>
        <w:bidi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有依法缴纳税收和社会保障资金的良好记录。</w:t>
      </w:r>
    </w:p>
    <w:p>
      <w:pPr>
        <w:keepNext w:val="0"/>
        <w:keepLines w:val="0"/>
        <w:pageBreakBefore w:val="0"/>
        <w:numPr>
          <w:ilvl w:val="2"/>
          <w:numId w:val="4"/>
        </w:numPr>
        <w:tabs>
          <w:tab w:val="left" w:pos="426"/>
          <w:tab w:val="left" w:pos="720"/>
          <w:tab w:val="clear" w:pos="709"/>
        </w:tabs>
        <w:kinsoku/>
        <w:wordWrap/>
        <w:overflowPunct/>
        <w:topLinePunct w:val="0"/>
        <w:autoSpaceDE w:val="0"/>
        <w:autoSpaceDN w:val="0"/>
        <w:bidi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参加政府采购活动前三年内，在经营活动中没有重大违法记录。</w:t>
      </w:r>
    </w:p>
    <w:p>
      <w:pPr>
        <w:keepNext w:val="0"/>
        <w:keepLines w:val="0"/>
        <w:pageBreakBefore w:val="0"/>
        <w:numPr>
          <w:ilvl w:val="2"/>
          <w:numId w:val="4"/>
        </w:numPr>
        <w:tabs>
          <w:tab w:val="left" w:pos="426"/>
          <w:tab w:val="left" w:pos="720"/>
          <w:tab w:val="clear" w:pos="709"/>
        </w:tabs>
        <w:kinsoku/>
        <w:wordWrap/>
        <w:overflowPunct/>
        <w:topLinePunct w:val="0"/>
        <w:autoSpaceDE w:val="0"/>
        <w:autoSpaceDN w:val="0"/>
        <w:bidi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法律、行政法规规定的其他条件。</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符合竞争性</w:t>
      </w:r>
      <w:r>
        <w:rPr>
          <w:rFonts w:hint="eastAsia" w:ascii="宋体" w:hAnsi="宋体" w:eastAsia="宋体" w:cs="宋体"/>
          <w:color w:val="auto"/>
        </w:rPr>
        <w:t>磋商</w:t>
      </w:r>
      <w:r>
        <w:rPr>
          <w:rFonts w:hint="eastAsia" w:ascii="宋体" w:hAnsi="宋体" w:eastAsia="宋体" w:cs="宋体"/>
          <w:color w:val="auto"/>
          <w:szCs w:val="21"/>
        </w:rPr>
        <w:t>邀请“供应商资格”要求的特殊条款。</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不得参与本采购项目竞争的</w:t>
      </w:r>
      <w:r>
        <w:rPr>
          <w:rFonts w:hint="eastAsia" w:ascii="宋体" w:hAnsi="宋体" w:eastAsia="宋体" w:cs="宋体"/>
          <w:color w:val="auto"/>
        </w:rPr>
        <w:t>供应商</w:t>
      </w:r>
    </w:p>
    <w:p>
      <w:pPr>
        <w:keepNext w:val="0"/>
        <w:keepLines w:val="0"/>
        <w:pageBreakBefore w:val="0"/>
        <w:kinsoku/>
        <w:wordWrap/>
        <w:overflowPunct/>
        <w:topLinePunct w:val="0"/>
        <w:bidi w:val="0"/>
        <w:snapToGrid w:val="0"/>
        <w:spacing w:line="360" w:lineRule="auto"/>
        <w:ind w:left="546" w:leftChars="260"/>
        <w:rPr>
          <w:rFonts w:hint="eastAsia" w:ascii="宋体" w:hAnsi="宋体" w:eastAsia="宋体" w:cs="宋体"/>
          <w:color w:val="auto"/>
          <w:szCs w:val="21"/>
        </w:rPr>
      </w:pPr>
      <w:r>
        <w:rPr>
          <w:rFonts w:hint="eastAsia" w:ascii="宋体" w:hAnsi="宋体" w:eastAsia="宋体" w:cs="宋体"/>
          <w:color w:val="auto"/>
          <w:szCs w:val="21"/>
        </w:rPr>
        <w:t>除联合体外（如允许），不同的</w:t>
      </w:r>
      <w:r>
        <w:rPr>
          <w:rFonts w:hint="eastAsia" w:ascii="宋体" w:hAnsi="宋体" w:eastAsia="宋体" w:cs="宋体"/>
          <w:color w:val="auto"/>
        </w:rPr>
        <w:t>供应商</w:t>
      </w:r>
      <w:r>
        <w:rPr>
          <w:rFonts w:hint="eastAsia" w:ascii="宋体" w:hAnsi="宋体" w:eastAsia="宋体" w:cs="宋体"/>
          <w:color w:val="auto"/>
          <w:szCs w:val="21"/>
        </w:rPr>
        <w:t>之间有下列情形之一的，不接受同时参与本采购项目竞争的</w:t>
      </w:r>
      <w:r>
        <w:rPr>
          <w:rFonts w:hint="eastAsia" w:ascii="宋体" w:hAnsi="宋体" w:eastAsia="宋体" w:cs="宋体"/>
          <w:color w:val="auto"/>
        </w:rPr>
        <w:t>供应商</w:t>
      </w:r>
      <w:r>
        <w:rPr>
          <w:rFonts w:hint="eastAsia" w:ascii="宋体" w:hAnsi="宋体" w:eastAsia="宋体" w:cs="宋体"/>
          <w:color w:val="auto"/>
          <w:szCs w:val="21"/>
        </w:rPr>
        <w:t>：</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彼此存在投资与被投资关系的。</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彼此的经营者、董事会（或同类管理机构）成员属于直系亲属或配偶关系的。</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法定代表人或单位负责人为同一人或者存在控股、管理关系的不同单位，不接受作为参与同一采购项目竞争的</w:t>
      </w:r>
      <w:r>
        <w:rPr>
          <w:rFonts w:hint="eastAsia" w:ascii="宋体" w:hAnsi="宋体" w:eastAsia="宋体" w:cs="宋体"/>
          <w:color w:val="auto"/>
        </w:rPr>
        <w:t>供应商</w:t>
      </w:r>
      <w:r>
        <w:rPr>
          <w:rFonts w:hint="eastAsia" w:ascii="宋体" w:hAnsi="宋体" w:eastAsia="宋体" w:cs="宋体"/>
          <w:color w:val="auto"/>
          <w:szCs w:val="21"/>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同一品牌同一型号的产品可由多家</w:t>
      </w:r>
      <w:r>
        <w:rPr>
          <w:rFonts w:hint="eastAsia" w:ascii="宋体" w:hAnsi="宋体" w:eastAsia="宋体" w:cs="宋体"/>
          <w:color w:val="auto"/>
        </w:rPr>
        <w:t>供应商</w:t>
      </w:r>
      <w:r>
        <w:rPr>
          <w:rFonts w:hint="eastAsia" w:ascii="宋体" w:hAnsi="宋体" w:eastAsia="宋体" w:cs="宋体"/>
          <w:color w:val="auto"/>
          <w:szCs w:val="21"/>
        </w:rPr>
        <w:t>参加竞争，但只作为一家</w:t>
      </w:r>
      <w:r>
        <w:rPr>
          <w:rFonts w:hint="eastAsia" w:ascii="宋体" w:hAnsi="宋体" w:eastAsia="宋体" w:cs="宋体"/>
          <w:color w:val="auto"/>
        </w:rPr>
        <w:t>供应商</w:t>
      </w:r>
      <w:r>
        <w:rPr>
          <w:rFonts w:hint="eastAsia" w:ascii="宋体" w:hAnsi="宋体" w:eastAsia="宋体" w:cs="宋体"/>
          <w:color w:val="auto"/>
          <w:szCs w:val="21"/>
        </w:rPr>
        <w:t>计算。同一品牌不同型号的产品由多家</w:t>
      </w:r>
      <w:r>
        <w:rPr>
          <w:rFonts w:hint="eastAsia" w:ascii="宋体" w:hAnsi="宋体" w:eastAsia="宋体" w:cs="宋体"/>
          <w:color w:val="auto"/>
        </w:rPr>
        <w:t>供应商</w:t>
      </w:r>
      <w:r>
        <w:rPr>
          <w:rFonts w:hint="eastAsia" w:ascii="宋体" w:hAnsi="宋体" w:eastAsia="宋体" w:cs="宋体"/>
          <w:color w:val="auto"/>
          <w:szCs w:val="21"/>
        </w:rPr>
        <w:t>参加竞争，作为不同的</w:t>
      </w:r>
      <w:r>
        <w:rPr>
          <w:rFonts w:hint="eastAsia" w:ascii="宋体" w:hAnsi="宋体" w:eastAsia="宋体" w:cs="宋体"/>
          <w:color w:val="auto"/>
        </w:rPr>
        <w:t>供应商</w:t>
      </w:r>
      <w:r>
        <w:rPr>
          <w:rFonts w:hint="eastAsia" w:ascii="宋体" w:hAnsi="宋体" w:eastAsia="宋体" w:cs="宋体"/>
          <w:color w:val="auto"/>
          <w:szCs w:val="21"/>
        </w:rPr>
        <w:t>计算。</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53" w:name="_Toc475104472"/>
      <w:bookmarkStart w:id="54" w:name="_Toc333236630"/>
      <w:bookmarkStart w:id="55" w:name="_Toc28494"/>
      <w:bookmarkStart w:id="56" w:name="_Toc363737686"/>
      <w:bookmarkStart w:id="57" w:name="_Toc32079"/>
      <w:bookmarkStart w:id="58" w:name="_Toc6476"/>
      <w:bookmarkStart w:id="59" w:name="_Toc320515021"/>
      <w:bookmarkStart w:id="60" w:name="_Toc322680347"/>
      <w:bookmarkStart w:id="61" w:name="_Toc320515070"/>
      <w:bookmarkStart w:id="62" w:name="_Toc323110980"/>
      <w:bookmarkStart w:id="63" w:name="_Toc315793455"/>
      <w:r>
        <w:rPr>
          <w:rFonts w:hint="eastAsia" w:ascii="宋体" w:hAnsi="宋体" w:eastAsia="宋体" w:cs="宋体"/>
          <w:b/>
          <w:bCs/>
          <w:color w:val="auto"/>
          <w:sz w:val="24"/>
        </w:rPr>
        <w:t>合格的服务和货物</w:t>
      </w:r>
      <w:bookmarkEnd w:id="53"/>
      <w:bookmarkEnd w:id="54"/>
      <w:bookmarkEnd w:id="55"/>
      <w:bookmarkEnd w:id="56"/>
      <w:bookmarkEnd w:id="57"/>
      <w:bookmarkEnd w:id="58"/>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color w:val="auto"/>
          <w:szCs w:val="21"/>
        </w:rPr>
        <w:t>“服务” 是指</w:t>
      </w:r>
      <w:r>
        <w:rPr>
          <w:rFonts w:hint="eastAsia" w:ascii="宋体" w:hAnsi="宋体" w:eastAsia="宋体" w:cs="宋体"/>
          <w:color w:val="auto"/>
        </w:rPr>
        <w:t>供应商</w:t>
      </w:r>
      <w:r>
        <w:rPr>
          <w:rFonts w:hint="eastAsia" w:ascii="宋体" w:hAnsi="宋体" w:eastAsia="宋体" w:cs="宋体"/>
          <w:color w:val="auto"/>
          <w:szCs w:val="21"/>
        </w:rPr>
        <w:t>按竞争性磋商文件规定完成的全部服务内容，其中包括完成服务所需的货物，及须承担的技术支持、培训和其它伴随服务。</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color w:val="auto"/>
          <w:szCs w:val="21"/>
        </w:rPr>
        <w:t>“货物”是指</w:t>
      </w:r>
      <w:r>
        <w:rPr>
          <w:rFonts w:hint="eastAsia" w:ascii="宋体" w:hAnsi="宋体" w:eastAsia="宋体" w:cs="宋体"/>
          <w:color w:val="auto"/>
        </w:rPr>
        <w:t>供应商</w:t>
      </w:r>
      <w:r>
        <w:rPr>
          <w:rFonts w:hint="eastAsia" w:ascii="宋体" w:hAnsi="宋体" w:eastAsia="宋体" w:cs="宋体"/>
          <w:color w:val="auto"/>
          <w:szCs w:val="21"/>
        </w:rPr>
        <w:t>制造或组织符合竞争性磋商文件要求的货物等。提供的货物必须是其合法生产、合法来源的符合国家有关标准要求的货物，并满足竞争性磋商文件规定的规格、参数、质量、价格、有效期、售后服务等要求。</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提供的所有服务，其质量、技术等特征必须符合国家、行业现行法律、法规的相关标准和《中华人民共和国政府采购法》的有关规定及用户需求。</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采购人有权拒绝接受任何不合格的服务，由此产生的费用及相关后果均由</w:t>
      </w:r>
      <w:r>
        <w:rPr>
          <w:rFonts w:hint="eastAsia" w:ascii="宋体" w:hAnsi="宋体" w:eastAsia="宋体" w:cs="宋体"/>
          <w:color w:val="auto"/>
        </w:rPr>
        <w:t>供应商</w:t>
      </w:r>
      <w:r>
        <w:rPr>
          <w:rFonts w:hint="eastAsia" w:ascii="宋体" w:hAnsi="宋体" w:eastAsia="宋体" w:cs="宋体"/>
          <w:color w:val="auto"/>
          <w:szCs w:val="21"/>
        </w:rPr>
        <w:t>自行承担。</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应保证为本项目提供的技术、服务或其任何一部分不会产生因第三方提出侵犯其专利权、商标权或其他知识产权而引起的法律和经济纠纷；如果</w:t>
      </w:r>
      <w:r>
        <w:rPr>
          <w:rFonts w:hint="eastAsia" w:ascii="宋体" w:hAnsi="宋体" w:eastAsia="宋体" w:cs="宋体"/>
          <w:color w:val="auto"/>
        </w:rPr>
        <w:t>供应商</w:t>
      </w:r>
      <w:r>
        <w:rPr>
          <w:rFonts w:hint="eastAsia" w:ascii="宋体" w:hAnsi="宋体" w:eastAsia="宋体" w:cs="宋体"/>
          <w:color w:val="auto"/>
          <w:szCs w:val="21"/>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eastAsia="宋体" w:cs="宋体"/>
          <w:color w:val="auto"/>
        </w:rPr>
        <w:t>供应商</w:t>
      </w:r>
      <w:r>
        <w:rPr>
          <w:rFonts w:hint="eastAsia" w:ascii="宋体" w:hAnsi="宋体" w:eastAsia="宋体" w:cs="宋体"/>
          <w:color w:val="auto"/>
          <w:szCs w:val="21"/>
        </w:rPr>
        <w:t>承担。</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64" w:name="_Toc475104473"/>
      <w:bookmarkStart w:id="65" w:name="_Toc363737687"/>
      <w:bookmarkStart w:id="66" w:name="_Toc12414"/>
      <w:bookmarkStart w:id="67" w:name="_Toc6093"/>
      <w:bookmarkStart w:id="68" w:name="_Toc20810"/>
      <w:r>
        <w:rPr>
          <w:rFonts w:hint="eastAsia" w:ascii="宋体" w:hAnsi="宋体" w:eastAsia="宋体" w:cs="宋体"/>
          <w:b/>
          <w:bCs/>
          <w:color w:val="auto"/>
          <w:sz w:val="24"/>
        </w:rPr>
        <w:t>磋商费用</w:t>
      </w:r>
      <w:bookmarkEnd w:id="59"/>
      <w:bookmarkEnd w:id="60"/>
      <w:bookmarkEnd w:id="61"/>
      <w:bookmarkEnd w:id="62"/>
      <w:bookmarkEnd w:id="63"/>
      <w:bookmarkEnd w:id="64"/>
      <w:bookmarkEnd w:id="65"/>
      <w:bookmarkEnd w:id="66"/>
      <w:bookmarkEnd w:id="67"/>
      <w:bookmarkEnd w:id="68"/>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bookmarkStart w:id="69" w:name="_Toc322680348"/>
      <w:bookmarkStart w:id="70" w:name="_Toc323110981"/>
      <w:bookmarkStart w:id="71" w:name="_Toc320515022"/>
      <w:bookmarkStart w:id="72" w:name="_Toc320515071"/>
      <w:bookmarkStart w:id="73" w:name="_Toc315793456"/>
      <w:r>
        <w:rPr>
          <w:rFonts w:hint="eastAsia" w:ascii="宋体" w:hAnsi="宋体" w:eastAsia="宋体" w:cs="宋体"/>
          <w:color w:val="auto"/>
        </w:rPr>
        <w:t>供应商</w:t>
      </w:r>
      <w:r>
        <w:rPr>
          <w:rFonts w:hint="eastAsia" w:ascii="宋体" w:hAnsi="宋体" w:eastAsia="宋体" w:cs="宋体"/>
          <w:color w:val="auto"/>
          <w:szCs w:val="21"/>
        </w:rPr>
        <w:t>应承担所有与编写磋商</w:t>
      </w:r>
      <w:r>
        <w:rPr>
          <w:rFonts w:hint="eastAsia" w:ascii="宋体" w:hAnsi="宋体" w:eastAsia="宋体" w:cs="宋体"/>
          <w:color w:val="auto"/>
        </w:rPr>
        <w:t>响应</w:t>
      </w:r>
      <w:r>
        <w:rPr>
          <w:rFonts w:hint="eastAsia" w:ascii="宋体" w:hAnsi="宋体" w:eastAsia="宋体" w:cs="宋体"/>
          <w:color w:val="auto"/>
          <w:szCs w:val="21"/>
        </w:rPr>
        <w:t>文件和参加报价的所有费用，不论磋商的结果如何，采购代理机构和采购人在任何情况下均无义务和责任承担这些费用。</w:t>
      </w:r>
      <w:bookmarkEnd w:id="69"/>
      <w:bookmarkEnd w:id="70"/>
      <w:bookmarkEnd w:id="71"/>
      <w:bookmarkEnd w:id="72"/>
    </w:p>
    <w:bookmarkEnd w:id="73"/>
    <w:p>
      <w:pPr>
        <w:keepNext w:val="0"/>
        <w:keepLines w:val="0"/>
        <w:pageBreakBefore w:val="0"/>
        <w:numPr>
          <w:ilvl w:val="0"/>
          <w:numId w:val="3"/>
        </w:numPr>
        <w:kinsoku/>
        <w:wordWrap/>
        <w:overflowPunct/>
        <w:topLinePunct w:val="0"/>
        <w:autoSpaceDE w:val="0"/>
        <w:autoSpaceDN w:val="0"/>
        <w:bidi w:val="0"/>
        <w:adjustRightInd w:val="0"/>
        <w:snapToGrid w:val="0"/>
        <w:spacing w:line="360" w:lineRule="auto"/>
        <w:ind w:left="601" w:hanging="601"/>
        <w:jc w:val="center"/>
        <w:outlineLvl w:val="0"/>
        <w:rPr>
          <w:rFonts w:hint="eastAsia" w:ascii="宋体" w:hAnsi="宋体" w:eastAsia="宋体" w:cs="宋体"/>
          <w:b/>
          <w:color w:val="auto"/>
          <w:sz w:val="28"/>
          <w:szCs w:val="28"/>
          <w:lang w:eastAsia="zh-TW"/>
        </w:rPr>
      </w:pPr>
      <w:bookmarkStart w:id="74" w:name="_Toc3521"/>
      <w:bookmarkStart w:id="75" w:name="_Toc475104474"/>
      <w:bookmarkStart w:id="76" w:name="_Toc10696"/>
      <w:bookmarkStart w:id="77" w:name="_Toc8224"/>
      <w:r>
        <w:rPr>
          <w:rFonts w:hint="eastAsia" w:ascii="宋体" w:hAnsi="宋体" w:eastAsia="宋体" w:cs="宋体"/>
          <w:b/>
          <w:color w:val="auto"/>
          <w:sz w:val="28"/>
          <w:szCs w:val="28"/>
          <w:lang w:eastAsia="zh-TW"/>
        </w:rPr>
        <w:t>竞争性磋商文件</w:t>
      </w:r>
      <w:bookmarkEnd w:id="74"/>
      <w:bookmarkEnd w:id="75"/>
      <w:bookmarkEnd w:id="76"/>
      <w:bookmarkEnd w:id="77"/>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78" w:name="_Toc10944"/>
      <w:bookmarkStart w:id="79" w:name="_Toc475104475"/>
      <w:bookmarkStart w:id="80" w:name="_Toc322680350"/>
      <w:bookmarkStart w:id="81" w:name="_Toc320515073"/>
      <w:bookmarkStart w:id="82" w:name="_Toc363737689"/>
      <w:bookmarkStart w:id="83" w:name="_Toc315793458"/>
      <w:bookmarkStart w:id="84" w:name="_Toc320515024"/>
      <w:bookmarkStart w:id="85" w:name="_Toc6550"/>
      <w:bookmarkStart w:id="86" w:name="_Toc323110983"/>
      <w:bookmarkStart w:id="87" w:name="_Toc1884"/>
      <w:r>
        <w:rPr>
          <w:rFonts w:hint="eastAsia" w:ascii="宋体" w:hAnsi="宋体" w:eastAsia="宋体" w:cs="宋体"/>
          <w:b/>
          <w:bCs/>
          <w:color w:val="auto"/>
          <w:sz w:val="24"/>
        </w:rPr>
        <w:t>竞争性磋商文件的编制依据与构成</w:t>
      </w:r>
      <w:bookmarkEnd w:id="78"/>
      <w:bookmarkEnd w:id="79"/>
      <w:bookmarkEnd w:id="80"/>
      <w:bookmarkEnd w:id="81"/>
      <w:bookmarkEnd w:id="82"/>
      <w:bookmarkEnd w:id="83"/>
      <w:bookmarkEnd w:id="84"/>
      <w:bookmarkEnd w:id="85"/>
      <w:bookmarkEnd w:id="86"/>
      <w:bookmarkEnd w:id="8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本竞争性磋商文件的编制依据是《中华人民共和国政府采购法》、中华人民共和国财政部令第74号《政府采购非招标采购方式管理办法》、中华人民共和国政府采购法实施条例、《政府采购竞争性磋商管理办法》（财库[2014]214号）和《广东省实施〈中华人民共和国政府采购法〉办法》。</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要求提供的货物或服务、采购过程和合同条件在竞争性磋商文件中均有说明。竞争性磋商文件以中文文字编写。</w:t>
      </w:r>
    </w:p>
    <w:p>
      <w:pPr>
        <w:keepNext w:val="0"/>
        <w:keepLines w:val="0"/>
        <w:pageBreakBefore w:val="0"/>
        <w:numPr>
          <w:ilvl w:val="1"/>
          <w:numId w:val="4"/>
        </w:numPr>
        <w:kinsoku/>
        <w:wordWrap/>
        <w:overflowPunct/>
        <w:topLinePunct w:val="0"/>
        <w:bidi w:val="0"/>
        <w:spacing w:line="360" w:lineRule="auto"/>
        <w:outlineLvl w:val="3"/>
        <w:rPr>
          <w:rFonts w:hint="eastAsia" w:ascii="宋体" w:hAnsi="宋体" w:eastAsia="宋体" w:cs="宋体"/>
          <w:color w:val="auto"/>
          <w:szCs w:val="21"/>
          <w:lang w:eastAsia="zh-TW"/>
        </w:rPr>
      </w:pPr>
      <w:r>
        <w:rPr>
          <w:rFonts w:hint="eastAsia" w:ascii="宋体" w:hAnsi="宋体" w:eastAsia="宋体" w:cs="宋体"/>
          <w:color w:val="auto"/>
          <w:szCs w:val="21"/>
          <w:lang w:eastAsia="zh-TW"/>
        </w:rPr>
        <w:t>竞争性磋商文件的组成</w:t>
      </w:r>
    </w:p>
    <w:p>
      <w:pPr>
        <w:keepNext w:val="0"/>
        <w:keepLines w:val="0"/>
        <w:pageBreakBefore w:val="0"/>
        <w:kinsoku/>
        <w:wordWrap/>
        <w:overflowPunct/>
        <w:topLinePunct w:val="0"/>
        <w:bidi w:val="0"/>
        <w:spacing w:line="360" w:lineRule="auto"/>
        <w:ind w:firstLine="240"/>
        <w:rPr>
          <w:rFonts w:hint="eastAsia" w:ascii="宋体" w:hAnsi="宋体" w:eastAsia="宋体" w:cs="宋体"/>
          <w:color w:val="auto"/>
          <w:szCs w:val="21"/>
        </w:rPr>
      </w:pPr>
      <w:r>
        <w:rPr>
          <w:rFonts w:hint="eastAsia" w:ascii="宋体" w:hAnsi="宋体" w:eastAsia="宋体" w:cs="宋体"/>
          <w:color w:val="auto"/>
          <w:szCs w:val="21"/>
        </w:rPr>
        <w:t>（1）竞争性磋商邀请</w:t>
      </w:r>
    </w:p>
    <w:p>
      <w:pPr>
        <w:keepNext w:val="0"/>
        <w:keepLines w:val="0"/>
        <w:pageBreakBefore w:val="0"/>
        <w:kinsoku/>
        <w:wordWrap/>
        <w:overflowPunct/>
        <w:topLinePunct w:val="0"/>
        <w:bidi w:val="0"/>
        <w:spacing w:line="360" w:lineRule="auto"/>
        <w:ind w:firstLine="240"/>
        <w:rPr>
          <w:rFonts w:hint="eastAsia" w:ascii="宋体" w:hAnsi="宋体" w:eastAsia="宋体" w:cs="宋体"/>
          <w:color w:val="auto"/>
          <w:szCs w:val="21"/>
        </w:rPr>
      </w:pPr>
      <w:r>
        <w:rPr>
          <w:rFonts w:hint="eastAsia" w:ascii="宋体" w:hAnsi="宋体" w:eastAsia="宋体" w:cs="宋体"/>
          <w:color w:val="auto"/>
          <w:szCs w:val="21"/>
        </w:rPr>
        <w:t>（2）竞争性磋商须知</w:t>
      </w:r>
    </w:p>
    <w:p>
      <w:pPr>
        <w:keepNext w:val="0"/>
        <w:keepLines w:val="0"/>
        <w:pageBreakBefore w:val="0"/>
        <w:kinsoku/>
        <w:wordWrap/>
        <w:overflowPunct/>
        <w:topLinePunct w:val="0"/>
        <w:bidi w:val="0"/>
        <w:spacing w:line="360" w:lineRule="auto"/>
        <w:ind w:firstLine="240"/>
        <w:rPr>
          <w:rFonts w:hint="eastAsia" w:ascii="宋体" w:hAnsi="宋体" w:eastAsia="宋体" w:cs="宋体"/>
          <w:color w:val="auto"/>
          <w:szCs w:val="21"/>
        </w:rPr>
      </w:pPr>
      <w:r>
        <w:rPr>
          <w:rFonts w:hint="eastAsia" w:ascii="宋体" w:hAnsi="宋体" w:eastAsia="宋体" w:cs="宋体"/>
          <w:color w:val="auto"/>
          <w:szCs w:val="21"/>
        </w:rPr>
        <w:t>（3）采购人需求书</w:t>
      </w:r>
    </w:p>
    <w:p>
      <w:pPr>
        <w:keepNext w:val="0"/>
        <w:keepLines w:val="0"/>
        <w:pageBreakBefore w:val="0"/>
        <w:kinsoku/>
        <w:wordWrap/>
        <w:overflowPunct/>
        <w:topLinePunct w:val="0"/>
        <w:bidi w:val="0"/>
        <w:spacing w:line="360" w:lineRule="auto"/>
        <w:ind w:firstLine="240"/>
        <w:rPr>
          <w:rFonts w:hint="eastAsia" w:ascii="宋体" w:hAnsi="宋体" w:eastAsia="宋体" w:cs="宋体"/>
          <w:color w:val="auto"/>
          <w:szCs w:val="21"/>
        </w:rPr>
      </w:pPr>
      <w:r>
        <w:rPr>
          <w:rFonts w:hint="eastAsia" w:ascii="宋体" w:hAnsi="宋体" w:eastAsia="宋体" w:cs="宋体"/>
          <w:color w:val="auto"/>
          <w:szCs w:val="21"/>
        </w:rPr>
        <w:t>（4）政府采购合同（样本）</w:t>
      </w:r>
    </w:p>
    <w:p>
      <w:pPr>
        <w:keepNext w:val="0"/>
        <w:keepLines w:val="0"/>
        <w:pageBreakBefore w:val="0"/>
        <w:kinsoku/>
        <w:wordWrap/>
        <w:overflowPunct/>
        <w:topLinePunct w:val="0"/>
        <w:bidi w:val="0"/>
        <w:spacing w:line="360" w:lineRule="auto"/>
        <w:ind w:firstLine="240"/>
        <w:rPr>
          <w:rFonts w:hint="eastAsia" w:ascii="宋体" w:hAnsi="宋体" w:eastAsia="宋体" w:cs="宋体"/>
          <w:color w:val="auto"/>
          <w:szCs w:val="21"/>
        </w:rPr>
      </w:pPr>
      <w:r>
        <w:rPr>
          <w:rFonts w:hint="eastAsia" w:ascii="宋体" w:hAnsi="宋体" w:eastAsia="宋体" w:cs="宋体"/>
          <w:color w:val="auto"/>
          <w:szCs w:val="21"/>
        </w:rPr>
        <w:t>（5）附件（格式）</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应认真阅读、并充分理解竞争性磋商文件的全部内容（包括所有的补充、修改内容、重要事项、格式、条款和技术规范、参数及要求等）。</w:t>
      </w:r>
      <w:r>
        <w:rPr>
          <w:rFonts w:hint="eastAsia" w:ascii="宋体" w:hAnsi="宋体" w:eastAsia="宋体" w:cs="宋体"/>
          <w:color w:val="auto"/>
        </w:rPr>
        <w:t>供应商</w:t>
      </w:r>
      <w:r>
        <w:rPr>
          <w:rFonts w:hint="eastAsia" w:ascii="宋体" w:hAnsi="宋体" w:eastAsia="宋体" w:cs="宋体"/>
          <w:color w:val="auto"/>
          <w:szCs w:val="21"/>
        </w:rPr>
        <w:t>没有按照竞争性磋商文件要求提交全部资料，或者磋商响应文件没有对竞争性磋商文件在各方面都作出实质性响应是</w:t>
      </w:r>
      <w:r>
        <w:rPr>
          <w:rFonts w:hint="eastAsia" w:ascii="宋体" w:hAnsi="宋体" w:eastAsia="宋体" w:cs="宋体"/>
          <w:color w:val="auto"/>
        </w:rPr>
        <w:t>供应商</w:t>
      </w:r>
      <w:r>
        <w:rPr>
          <w:rFonts w:hint="eastAsia" w:ascii="宋体" w:hAnsi="宋体" w:eastAsia="宋体" w:cs="宋体"/>
          <w:color w:val="auto"/>
          <w:szCs w:val="21"/>
        </w:rPr>
        <w:t>的风险，有可能导致其报价被拒绝，或被认定为无效响应。</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88" w:name="_Toc320515074"/>
      <w:bookmarkStart w:id="89" w:name="_Toc315793459"/>
      <w:bookmarkStart w:id="90" w:name="_Toc323110984"/>
      <w:bookmarkStart w:id="91" w:name="_Toc15005"/>
      <w:bookmarkStart w:id="92" w:name="_Toc363737690"/>
      <w:bookmarkStart w:id="93" w:name="_Toc12191"/>
      <w:bookmarkStart w:id="94" w:name="_Toc475104476"/>
      <w:bookmarkStart w:id="95" w:name="_Toc320515025"/>
      <w:bookmarkStart w:id="96" w:name="_Toc322680351"/>
      <w:bookmarkStart w:id="97" w:name="_Toc28122"/>
      <w:r>
        <w:rPr>
          <w:rFonts w:hint="eastAsia" w:ascii="宋体" w:hAnsi="宋体" w:eastAsia="宋体" w:cs="宋体"/>
          <w:b/>
          <w:bCs/>
          <w:color w:val="auto"/>
          <w:sz w:val="24"/>
        </w:rPr>
        <w:t>竞争性磋商文件的澄清</w:t>
      </w:r>
      <w:bookmarkEnd w:id="88"/>
      <w:bookmarkEnd w:id="89"/>
      <w:bookmarkEnd w:id="90"/>
      <w:bookmarkEnd w:id="91"/>
      <w:bookmarkEnd w:id="92"/>
      <w:bookmarkEnd w:id="93"/>
      <w:bookmarkEnd w:id="94"/>
      <w:bookmarkEnd w:id="95"/>
      <w:bookmarkEnd w:id="96"/>
      <w:bookmarkEnd w:id="9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任何要求对竞争性磋商文件进行澄清的</w:t>
      </w:r>
      <w:r>
        <w:rPr>
          <w:rFonts w:hint="eastAsia" w:ascii="宋体" w:hAnsi="宋体" w:eastAsia="宋体" w:cs="宋体"/>
          <w:color w:val="auto"/>
        </w:rPr>
        <w:t>供应商</w:t>
      </w:r>
      <w:r>
        <w:rPr>
          <w:rFonts w:hint="eastAsia" w:ascii="宋体" w:hAnsi="宋体" w:eastAsia="宋体" w:cs="宋体"/>
          <w:color w:val="auto"/>
          <w:szCs w:val="21"/>
        </w:rPr>
        <w:t>，均应以书面形式在磋商</w:t>
      </w:r>
      <w:r>
        <w:rPr>
          <w:rFonts w:hint="eastAsia" w:ascii="宋体" w:hAnsi="宋体" w:eastAsia="宋体" w:cs="宋体"/>
          <w:color w:val="auto"/>
        </w:rPr>
        <w:t>响应</w:t>
      </w:r>
      <w:r>
        <w:rPr>
          <w:rFonts w:hint="eastAsia" w:ascii="宋体" w:hAnsi="宋体" w:eastAsia="宋体" w:cs="宋体"/>
          <w:color w:val="auto"/>
          <w:szCs w:val="21"/>
        </w:rPr>
        <w:t>文件递交截止时间前通知采购代理机构。采购代理机构将组织采购人对</w:t>
      </w:r>
      <w:r>
        <w:rPr>
          <w:rFonts w:hint="eastAsia" w:ascii="宋体" w:hAnsi="宋体" w:eastAsia="宋体" w:cs="宋体"/>
          <w:color w:val="auto"/>
        </w:rPr>
        <w:t>供应商</w:t>
      </w:r>
      <w:r>
        <w:rPr>
          <w:rFonts w:hint="eastAsia" w:ascii="宋体" w:hAnsi="宋体" w:eastAsia="宋体" w:cs="宋体"/>
          <w:color w:val="auto"/>
          <w:szCs w:val="21"/>
        </w:rPr>
        <w:t>所要求澄清的内容均以书面形式予以答复。必要时，采购代理机构将组织相关专家召开答疑会，并将会议内容以书面形式发给每个购买竞争性磋商文件的潜在</w:t>
      </w:r>
      <w:r>
        <w:rPr>
          <w:rFonts w:hint="eastAsia" w:ascii="宋体" w:hAnsi="宋体" w:eastAsia="宋体" w:cs="宋体"/>
          <w:color w:val="auto"/>
        </w:rPr>
        <w:t>供应商</w:t>
      </w:r>
      <w:r>
        <w:rPr>
          <w:rFonts w:hint="eastAsia" w:ascii="宋体" w:hAnsi="宋体" w:eastAsia="宋体" w:cs="宋体"/>
          <w:color w:val="auto"/>
          <w:szCs w:val="21"/>
        </w:rPr>
        <w:t>，答复中不包括问题的来源。</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eastAsia="宋体" w:cs="宋体"/>
          <w:color w:val="auto"/>
        </w:rPr>
        <w:t>供应商</w:t>
      </w:r>
      <w:r>
        <w:rPr>
          <w:rFonts w:hint="eastAsia" w:ascii="宋体" w:hAnsi="宋体" w:eastAsia="宋体" w:cs="宋体"/>
          <w:color w:val="auto"/>
          <w:szCs w:val="21"/>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除非需要，不举行项目集中答疑会或现场考察，如举行集中答疑会或现场考察的，则按以下规定：</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在竞争性磋商邀请中规定的日期、时间和地点组织公开答疑会或现场考察；</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对本项目提出的疑问，需在答疑会或现场考察召开日前至少一个工作日将问题清单以书面形式（加盖公章）提交至政府采购代理机构，</w:t>
      </w:r>
      <w:r>
        <w:rPr>
          <w:rFonts w:hint="eastAsia" w:ascii="宋体" w:hAnsi="宋体" w:eastAsia="宋体" w:cs="宋体"/>
          <w:color w:val="auto"/>
        </w:rPr>
        <w:t>供应商</w:t>
      </w:r>
      <w:r>
        <w:rPr>
          <w:rFonts w:hint="eastAsia" w:ascii="宋体" w:hAnsi="宋体" w:eastAsia="宋体" w:cs="宋体"/>
          <w:color w:val="auto"/>
          <w:szCs w:val="21"/>
        </w:rPr>
        <w:t>授权代表于上述的时间和地点出席答疑会或现场考察。</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已购买竞争性磋商文件的</w:t>
      </w:r>
      <w:r>
        <w:rPr>
          <w:rFonts w:hint="eastAsia" w:ascii="宋体" w:hAnsi="宋体" w:eastAsia="宋体" w:cs="宋体"/>
          <w:color w:val="auto"/>
        </w:rPr>
        <w:t>供应商</w:t>
      </w:r>
      <w:r>
        <w:rPr>
          <w:rFonts w:hint="eastAsia" w:ascii="宋体" w:hAnsi="宋体" w:eastAsia="宋体" w:cs="宋体"/>
          <w:color w:val="auto"/>
          <w:szCs w:val="21"/>
        </w:rPr>
        <w:t>如不出席答疑会或现场考察视为对竞争性磋商文件所有内容无任何异议。</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98" w:name="_Toc15331"/>
      <w:bookmarkStart w:id="99" w:name="_Toc323110985"/>
      <w:bookmarkStart w:id="100" w:name="_Toc315793460"/>
      <w:bookmarkStart w:id="101" w:name="_Toc322680352"/>
      <w:bookmarkStart w:id="102" w:name="_Toc320515026"/>
      <w:bookmarkStart w:id="103" w:name="_Toc363737691"/>
      <w:bookmarkStart w:id="104" w:name="_Toc475104477"/>
      <w:bookmarkStart w:id="105" w:name="_Toc320515075"/>
      <w:bookmarkStart w:id="106" w:name="_Toc17433"/>
      <w:bookmarkStart w:id="107" w:name="_Toc24440"/>
      <w:r>
        <w:rPr>
          <w:rFonts w:hint="eastAsia" w:ascii="宋体" w:hAnsi="宋体" w:eastAsia="宋体" w:cs="宋体"/>
          <w:b/>
          <w:bCs/>
          <w:color w:val="auto"/>
          <w:sz w:val="24"/>
        </w:rPr>
        <w:t>竞争性磋商文件的修改</w:t>
      </w:r>
      <w:bookmarkEnd w:id="98"/>
      <w:bookmarkEnd w:id="99"/>
      <w:bookmarkEnd w:id="100"/>
      <w:bookmarkEnd w:id="101"/>
      <w:bookmarkEnd w:id="102"/>
      <w:bookmarkEnd w:id="103"/>
      <w:bookmarkEnd w:id="104"/>
      <w:bookmarkEnd w:id="105"/>
      <w:bookmarkEnd w:id="106"/>
      <w:bookmarkEnd w:id="10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color w:val="auto"/>
          <w:szCs w:val="21"/>
        </w:rPr>
        <w:t>无论出于何种原因，采购代理机构可主动地或在解答</w:t>
      </w:r>
      <w:r>
        <w:rPr>
          <w:rFonts w:hint="eastAsia" w:ascii="宋体" w:hAnsi="宋体" w:eastAsia="宋体" w:cs="宋体"/>
          <w:color w:val="auto"/>
        </w:rPr>
        <w:t>供应商</w:t>
      </w:r>
      <w:r>
        <w:rPr>
          <w:rFonts w:hint="eastAsia" w:ascii="宋体" w:hAnsi="宋体" w:eastAsia="宋体" w:cs="宋体"/>
          <w:color w:val="auto"/>
          <w:szCs w:val="21"/>
        </w:rPr>
        <w:t>提出的疑问时对竞争性磋商文件进行修改，政府采购代理机构对已发出的竞争性磋商文件进行必要修改的，应当于磋商</w:t>
      </w:r>
      <w:r>
        <w:rPr>
          <w:rFonts w:hint="eastAsia" w:ascii="宋体" w:hAnsi="宋体" w:eastAsia="宋体" w:cs="宋体"/>
          <w:color w:val="auto"/>
        </w:rPr>
        <w:t>响应</w:t>
      </w:r>
      <w:r>
        <w:rPr>
          <w:rFonts w:hint="eastAsia" w:ascii="宋体" w:hAnsi="宋体" w:eastAsia="宋体" w:cs="宋体"/>
          <w:color w:val="auto"/>
          <w:szCs w:val="21"/>
        </w:rPr>
        <w:t>文件递交截止时间前</w:t>
      </w:r>
      <w:r>
        <w:rPr>
          <w:rFonts w:hint="eastAsia" w:ascii="宋体" w:hAnsi="宋体" w:eastAsia="宋体" w:cs="宋体"/>
          <w:bCs/>
          <w:color w:val="auto"/>
          <w:szCs w:val="21"/>
        </w:rPr>
        <w:t>在政府采购指定媒体上发布公告</w:t>
      </w:r>
      <w:r>
        <w:rPr>
          <w:rFonts w:hint="eastAsia" w:ascii="宋体" w:hAnsi="宋体" w:eastAsia="宋体" w:cs="宋体"/>
          <w:color w:val="auto"/>
          <w:szCs w:val="21"/>
        </w:rPr>
        <w:t>通知所有已获取竞争性磋商文件的</w:t>
      </w:r>
      <w:r>
        <w:rPr>
          <w:rFonts w:hint="eastAsia" w:ascii="宋体" w:hAnsi="宋体" w:eastAsia="宋体" w:cs="宋体"/>
          <w:color w:val="auto"/>
        </w:rPr>
        <w:t>供应商</w:t>
      </w:r>
      <w:r>
        <w:rPr>
          <w:rFonts w:hint="eastAsia" w:ascii="宋体" w:hAnsi="宋体" w:eastAsia="宋体" w:cs="宋体"/>
          <w:bCs/>
          <w:color w:val="auto"/>
          <w:szCs w:val="21"/>
        </w:rPr>
        <w:t>，</w:t>
      </w:r>
      <w:r>
        <w:rPr>
          <w:rFonts w:hint="eastAsia" w:ascii="宋体" w:hAnsi="宋体" w:eastAsia="宋体" w:cs="宋体"/>
          <w:color w:val="auto"/>
        </w:rPr>
        <w:t>供应商</w:t>
      </w:r>
      <w:r>
        <w:rPr>
          <w:rFonts w:hint="eastAsia" w:ascii="宋体" w:hAnsi="宋体" w:eastAsia="宋体" w:cs="宋体"/>
          <w:color w:val="auto"/>
          <w:szCs w:val="21"/>
        </w:rPr>
        <w:t>在收到</w:t>
      </w:r>
      <w:r>
        <w:rPr>
          <w:rFonts w:hint="eastAsia" w:ascii="宋体" w:hAnsi="宋体" w:eastAsia="宋体" w:cs="宋体"/>
          <w:bCs/>
          <w:color w:val="auto"/>
          <w:szCs w:val="21"/>
        </w:rPr>
        <w:t>补充</w:t>
      </w:r>
      <w:r>
        <w:rPr>
          <w:rFonts w:hint="eastAsia" w:ascii="宋体" w:hAnsi="宋体" w:eastAsia="宋体" w:cs="宋体"/>
          <w:color w:val="auto"/>
          <w:szCs w:val="21"/>
        </w:rPr>
        <w:t>或修改通知后应立即以书面形式予以确认，该</w:t>
      </w:r>
      <w:r>
        <w:rPr>
          <w:rFonts w:hint="eastAsia" w:ascii="宋体" w:hAnsi="宋体" w:eastAsia="宋体" w:cs="宋体"/>
          <w:bCs/>
          <w:color w:val="auto"/>
          <w:szCs w:val="21"/>
        </w:rPr>
        <w:t>补充</w:t>
      </w:r>
      <w:r>
        <w:rPr>
          <w:rFonts w:hint="eastAsia" w:ascii="宋体" w:hAnsi="宋体" w:eastAsia="宋体" w:cs="宋体"/>
          <w:color w:val="auto"/>
          <w:szCs w:val="21"/>
        </w:rPr>
        <w:t>或修改的内容为竞争性磋商文件的组成部分。</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根据采购项目的具体情况，采购代理机构可延长磋商响应文件递交截止时间和磋商时间，但至少应当在规定的磋商响应文件递交截止时间至少</w:t>
      </w:r>
      <w:r>
        <w:rPr>
          <w:rStyle w:val="95"/>
          <w:rFonts w:hint="eastAsia" w:ascii="宋体" w:hAnsi="宋体" w:eastAsia="宋体" w:cs="宋体"/>
          <w:color w:val="auto"/>
        </w:rPr>
        <w:t>五</w:t>
      </w:r>
      <w:r>
        <w:rPr>
          <w:rFonts w:hint="eastAsia" w:ascii="宋体" w:hAnsi="宋体" w:eastAsia="宋体" w:cs="宋体"/>
          <w:bCs/>
          <w:color w:val="auto"/>
          <w:szCs w:val="21"/>
        </w:rPr>
        <w:t>日前，将变更时间在政府采购指定媒体上发布公告，并通知所有报名的</w:t>
      </w:r>
      <w:r>
        <w:rPr>
          <w:rFonts w:hint="eastAsia" w:ascii="宋体" w:hAnsi="宋体" w:eastAsia="宋体" w:cs="宋体"/>
          <w:color w:val="auto"/>
        </w:rPr>
        <w:t>供应商</w:t>
      </w:r>
      <w:r>
        <w:rPr>
          <w:rFonts w:hint="eastAsia" w:ascii="宋体" w:hAnsi="宋体" w:eastAsia="宋体" w:cs="宋体"/>
          <w:bCs/>
          <w:color w:val="auto"/>
          <w:szCs w:val="21"/>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竞争性磋商文件的修改内容是竞争性磋商文件的组成部分，将以书面形式通知所有购买竞争性磋商文件的潜在</w:t>
      </w:r>
      <w:r>
        <w:rPr>
          <w:rFonts w:hint="eastAsia" w:ascii="宋体" w:hAnsi="宋体" w:eastAsia="宋体" w:cs="宋体"/>
          <w:color w:val="auto"/>
        </w:rPr>
        <w:t>供应商</w:t>
      </w:r>
      <w:r>
        <w:rPr>
          <w:rFonts w:hint="eastAsia" w:ascii="宋体" w:hAnsi="宋体" w:eastAsia="宋体" w:cs="宋体"/>
          <w:color w:val="auto"/>
          <w:szCs w:val="21"/>
        </w:rPr>
        <w:t>，并对潜在</w:t>
      </w:r>
      <w:r>
        <w:rPr>
          <w:rFonts w:hint="eastAsia" w:ascii="宋体" w:hAnsi="宋体" w:eastAsia="宋体" w:cs="宋体"/>
          <w:color w:val="auto"/>
        </w:rPr>
        <w:t>供应商</w:t>
      </w:r>
      <w:r>
        <w:rPr>
          <w:rFonts w:hint="eastAsia" w:ascii="宋体" w:hAnsi="宋体" w:eastAsia="宋体" w:cs="宋体"/>
          <w:color w:val="auto"/>
          <w:szCs w:val="21"/>
        </w:rPr>
        <w:t>具有约束力。潜在</w:t>
      </w:r>
      <w:r>
        <w:rPr>
          <w:rFonts w:hint="eastAsia" w:ascii="宋体" w:hAnsi="宋体" w:eastAsia="宋体" w:cs="宋体"/>
          <w:color w:val="auto"/>
        </w:rPr>
        <w:t>供应商</w:t>
      </w:r>
      <w:r>
        <w:rPr>
          <w:rFonts w:hint="eastAsia" w:ascii="宋体" w:hAnsi="宋体" w:eastAsia="宋体" w:cs="宋体"/>
          <w:color w:val="auto"/>
          <w:szCs w:val="21"/>
        </w:rPr>
        <w:t>在收到上述通知后，应立即以书面形式向采购代理机构确认。如在24小时之内无书面回函则视为同意修改内容，并有责任履行相应的义务。</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p>
    <w:p>
      <w:pPr>
        <w:keepNext w:val="0"/>
        <w:keepLines w:val="0"/>
        <w:pageBreakBefore w:val="0"/>
        <w:numPr>
          <w:ilvl w:val="0"/>
          <w:numId w:val="3"/>
        </w:numPr>
        <w:kinsoku/>
        <w:wordWrap/>
        <w:overflowPunct/>
        <w:topLinePunct w:val="0"/>
        <w:autoSpaceDE w:val="0"/>
        <w:autoSpaceDN w:val="0"/>
        <w:bidi w:val="0"/>
        <w:adjustRightInd w:val="0"/>
        <w:snapToGrid w:val="0"/>
        <w:spacing w:line="360" w:lineRule="auto"/>
        <w:ind w:left="601" w:hanging="601"/>
        <w:jc w:val="center"/>
        <w:outlineLvl w:val="0"/>
        <w:rPr>
          <w:rFonts w:hint="eastAsia" w:ascii="宋体" w:hAnsi="宋体" w:eastAsia="宋体" w:cs="宋体"/>
          <w:b/>
          <w:color w:val="auto"/>
          <w:sz w:val="28"/>
          <w:szCs w:val="28"/>
          <w:lang w:eastAsia="zh-TW"/>
        </w:rPr>
      </w:pPr>
      <w:bookmarkStart w:id="108" w:name="_Toc322680353"/>
      <w:bookmarkStart w:id="109" w:name="_Toc475104478"/>
      <w:bookmarkStart w:id="110" w:name="_Toc320515027"/>
      <w:bookmarkStart w:id="111" w:name="_Toc363737692"/>
      <w:bookmarkStart w:id="112" w:name="_Toc320515076"/>
      <w:bookmarkStart w:id="113" w:name="_Toc14682"/>
      <w:bookmarkStart w:id="114" w:name="_Toc315793461"/>
      <w:bookmarkStart w:id="115" w:name="_Toc10736"/>
      <w:bookmarkStart w:id="116" w:name="_Toc323110986"/>
      <w:bookmarkStart w:id="117" w:name="_Toc28231"/>
      <w:r>
        <w:rPr>
          <w:rFonts w:hint="eastAsia" w:ascii="宋体" w:hAnsi="宋体" w:eastAsia="宋体" w:cs="宋体"/>
          <w:b/>
          <w:color w:val="auto"/>
          <w:sz w:val="28"/>
          <w:szCs w:val="28"/>
          <w:lang w:eastAsia="zh-TW"/>
        </w:rPr>
        <w:t>磋商响应文件的编制</w:t>
      </w:r>
      <w:bookmarkEnd w:id="108"/>
      <w:bookmarkEnd w:id="109"/>
      <w:bookmarkEnd w:id="110"/>
      <w:bookmarkEnd w:id="111"/>
      <w:bookmarkEnd w:id="112"/>
      <w:bookmarkEnd w:id="113"/>
      <w:bookmarkEnd w:id="114"/>
      <w:bookmarkEnd w:id="115"/>
      <w:bookmarkEnd w:id="116"/>
      <w:bookmarkEnd w:id="117"/>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18" w:name="_Toc27995"/>
      <w:bookmarkStart w:id="119" w:name="_Toc363737693"/>
      <w:bookmarkStart w:id="120" w:name="_Toc320515077"/>
      <w:bookmarkStart w:id="121" w:name="_Toc11710"/>
      <w:bookmarkStart w:id="122" w:name="_Toc475104479"/>
      <w:bookmarkStart w:id="123" w:name="_Toc320515028"/>
      <w:bookmarkStart w:id="124" w:name="_Toc322680354"/>
      <w:bookmarkStart w:id="125" w:name="_Toc323110987"/>
      <w:bookmarkStart w:id="126" w:name="_Toc315793462"/>
      <w:bookmarkStart w:id="127" w:name="_Toc24083"/>
      <w:r>
        <w:rPr>
          <w:rFonts w:hint="eastAsia" w:ascii="宋体" w:hAnsi="宋体" w:eastAsia="宋体" w:cs="宋体"/>
          <w:b/>
          <w:bCs/>
          <w:color w:val="auto"/>
          <w:sz w:val="24"/>
        </w:rPr>
        <w:t>响应的语言</w:t>
      </w:r>
      <w:bookmarkEnd w:id="118"/>
      <w:bookmarkEnd w:id="119"/>
      <w:bookmarkEnd w:id="120"/>
      <w:bookmarkEnd w:id="121"/>
      <w:bookmarkEnd w:id="122"/>
      <w:bookmarkEnd w:id="123"/>
      <w:bookmarkEnd w:id="124"/>
      <w:bookmarkEnd w:id="125"/>
      <w:bookmarkEnd w:id="126"/>
      <w:bookmarkEnd w:id="12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rPr>
        <w:t>供应商</w:t>
      </w:r>
      <w:r>
        <w:rPr>
          <w:rFonts w:hint="eastAsia" w:ascii="宋体" w:hAnsi="宋体" w:eastAsia="宋体" w:cs="宋体"/>
          <w:color w:val="auto"/>
          <w:szCs w:val="21"/>
        </w:rPr>
        <w:t>提交的磋商响应文件以及</w:t>
      </w:r>
      <w:r>
        <w:rPr>
          <w:rFonts w:hint="eastAsia" w:ascii="宋体" w:hAnsi="宋体" w:eastAsia="宋体" w:cs="宋体"/>
          <w:color w:val="auto"/>
        </w:rPr>
        <w:t>供应商</w:t>
      </w:r>
      <w:r>
        <w:rPr>
          <w:rFonts w:hint="eastAsia" w:ascii="宋体" w:hAnsi="宋体" w:eastAsia="宋体" w:cs="宋体"/>
          <w:color w:val="auto"/>
          <w:szCs w:val="21"/>
        </w:rPr>
        <w:t>与采购代理机构就有关磋商响应的所有来往函电均应使用中文书写。</w:t>
      </w:r>
      <w:r>
        <w:rPr>
          <w:rFonts w:hint="eastAsia" w:ascii="宋体" w:hAnsi="宋体" w:eastAsia="宋体" w:cs="宋体"/>
          <w:color w:val="auto"/>
        </w:rPr>
        <w:t>供应商</w:t>
      </w:r>
      <w:r>
        <w:rPr>
          <w:rFonts w:hint="eastAsia" w:ascii="宋体" w:hAnsi="宋体" w:eastAsia="宋体" w:cs="宋体"/>
          <w:color w:val="auto"/>
          <w:szCs w:val="21"/>
        </w:rPr>
        <w:t>提交的支持资料和己印刷的文献可以用另一种语言，但相应内容应附有中文翻译本，在解释磋商响应文件的修改内容时以中文翻译本为准。对中文翻译有异议的，以权威机构的译本为准。</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28" w:name="_Toc4305"/>
      <w:bookmarkStart w:id="129" w:name="_Toc475104480"/>
      <w:bookmarkStart w:id="130" w:name="_Toc320515078"/>
      <w:bookmarkStart w:id="131" w:name="_Toc322680355"/>
      <w:bookmarkStart w:id="132" w:name="_Toc363737694"/>
      <w:bookmarkStart w:id="133" w:name="_Toc20361"/>
      <w:bookmarkStart w:id="134" w:name="_Toc323110988"/>
      <w:bookmarkStart w:id="135" w:name="_Toc320515029"/>
      <w:bookmarkStart w:id="136" w:name="_Toc315793463"/>
      <w:bookmarkStart w:id="137" w:name="_Toc9335"/>
      <w:r>
        <w:rPr>
          <w:rFonts w:hint="eastAsia" w:ascii="宋体" w:hAnsi="宋体" w:eastAsia="宋体" w:cs="宋体"/>
          <w:b/>
          <w:bCs/>
          <w:color w:val="auto"/>
          <w:sz w:val="24"/>
        </w:rPr>
        <w:t>磋商响应文件的构成</w:t>
      </w:r>
      <w:bookmarkEnd w:id="128"/>
      <w:bookmarkEnd w:id="129"/>
      <w:bookmarkEnd w:id="130"/>
      <w:bookmarkEnd w:id="131"/>
      <w:bookmarkEnd w:id="132"/>
      <w:bookmarkEnd w:id="133"/>
      <w:bookmarkEnd w:id="134"/>
      <w:bookmarkEnd w:id="135"/>
      <w:bookmarkEnd w:id="136"/>
      <w:bookmarkEnd w:id="13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供应商</w:t>
      </w:r>
      <w:r>
        <w:rPr>
          <w:rFonts w:hint="eastAsia" w:ascii="宋体" w:hAnsi="宋体" w:eastAsia="宋体" w:cs="宋体"/>
          <w:color w:val="auto"/>
          <w:szCs w:val="21"/>
        </w:rPr>
        <w:t>编写的磋商响应文件应编排为三部分：①商务响应文件（包括</w:t>
      </w:r>
      <w:r>
        <w:rPr>
          <w:rFonts w:hint="eastAsia" w:ascii="宋体" w:hAnsi="宋体" w:eastAsia="宋体" w:cs="宋体"/>
          <w:color w:val="auto"/>
          <w:kern w:val="0"/>
          <w:szCs w:val="21"/>
        </w:rPr>
        <w:t>竞争性磋商函</w:t>
      </w:r>
      <w:r>
        <w:rPr>
          <w:rFonts w:hint="eastAsia" w:ascii="宋体" w:hAnsi="宋体" w:eastAsia="宋体" w:cs="宋体"/>
          <w:color w:val="auto"/>
          <w:szCs w:val="21"/>
        </w:rPr>
        <w:t>）；②技术响应文件；③报价信封，磋商响应文件应包含但不限于以下内容：</w:t>
      </w:r>
    </w:p>
    <w:p>
      <w:pPr>
        <w:keepNext w:val="0"/>
        <w:keepLines w:val="0"/>
        <w:pageBreakBefore w:val="0"/>
        <w:kinsoku/>
        <w:wordWrap/>
        <w:overflowPunct/>
        <w:topLinePunct w:val="0"/>
        <w:autoSpaceDE w:val="0"/>
        <w:autoSpaceDN w:val="0"/>
        <w:bidi w:val="0"/>
        <w:adjustRightInd w:val="0"/>
        <w:snapToGrid w:val="0"/>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①按规定填写的竞争性磋商函、资格声明函、同意竞争性磋商文件条款说明；</w:t>
      </w:r>
    </w:p>
    <w:p>
      <w:pPr>
        <w:keepNext w:val="0"/>
        <w:keepLines w:val="0"/>
        <w:pageBreakBefore w:val="0"/>
        <w:kinsoku/>
        <w:wordWrap/>
        <w:overflowPunct/>
        <w:topLinePunct w:val="0"/>
        <w:autoSpaceDE w:val="0"/>
        <w:autoSpaceDN w:val="0"/>
        <w:bidi w:val="0"/>
        <w:adjustRightInd w:val="0"/>
        <w:snapToGrid w:val="0"/>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②按要求出具的资格证明文件，证明</w:t>
      </w:r>
      <w:r>
        <w:rPr>
          <w:rFonts w:hint="eastAsia" w:ascii="宋体" w:hAnsi="宋体" w:eastAsia="宋体" w:cs="宋体"/>
          <w:color w:val="auto"/>
        </w:rPr>
        <w:t>供应商</w:t>
      </w:r>
      <w:r>
        <w:rPr>
          <w:rFonts w:hint="eastAsia" w:ascii="宋体" w:hAnsi="宋体" w:eastAsia="宋体" w:cs="宋体"/>
          <w:color w:val="auto"/>
          <w:szCs w:val="21"/>
        </w:rPr>
        <w:t>是合格的，而且获得成交资格后有能力履行合同；</w:t>
      </w:r>
    </w:p>
    <w:p>
      <w:pPr>
        <w:keepNext w:val="0"/>
        <w:keepLines w:val="0"/>
        <w:pageBreakBefore w:val="0"/>
        <w:kinsoku/>
        <w:wordWrap/>
        <w:overflowPunct/>
        <w:topLinePunct w:val="0"/>
        <w:autoSpaceDE w:val="0"/>
        <w:autoSpaceDN w:val="0"/>
        <w:bidi w:val="0"/>
        <w:adjustRightInd w:val="0"/>
        <w:snapToGrid w:val="0"/>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③按规定出具的证明文件，证明</w:t>
      </w:r>
      <w:r>
        <w:rPr>
          <w:rFonts w:hint="eastAsia" w:ascii="宋体" w:hAnsi="宋体" w:eastAsia="宋体" w:cs="宋体"/>
          <w:color w:val="auto"/>
        </w:rPr>
        <w:t>供应商</w:t>
      </w:r>
      <w:r>
        <w:rPr>
          <w:rFonts w:hint="eastAsia" w:ascii="宋体" w:hAnsi="宋体" w:eastAsia="宋体" w:cs="宋体"/>
          <w:color w:val="auto"/>
          <w:szCs w:val="21"/>
        </w:rPr>
        <w:t>提供的服务及货物是合格的，而且符合竞争性磋商文件的规定；</w:t>
      </w:r>
    </w:p>
    <w:p>
      <w:pPr>
        <w:keepNext w:val="0"/>
        <w:keepLines w:val="0"/>
        <w:pageBreakBefore w:val="0"/>
        <w:kinsoku/>
        <w:wordWrap/>
        <w:overflowPunct/>
        <w:topLinePunct w:val="0"/>
        <w:autoSpaceDE w:val="0"/>
        <w:autoSpaceDN w:val="0"/>
        <w:bidi w:val="0"/>
        <w:adjustRightInd w:val="0"/>
        <w:snapToGrid w:val="0"/>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④对竞争性磋商文件第三章作出的书面响应，包括但不限于服务及商务要求等；</w:t>
      </w:r>
    </w:p>
    <w:p>
      <w:pPr>
        <w:keepNext w:val="0"/>
        <w:keepLines w:val="0"/>
        <w:pageBreakBefore w:val="0"/>
        <w:kinsoku/>
        <w:wordWrap/>
        <w:overflowPunct/>
        <w:topLinePunct w:val="0"/>
        <w:autoSpaceDE w:val="0"/>
        <w:autoSpaceDN w:val="0"/>
        <w:bidi w:val="0"/>
        <w:adjustRightInd w:val="0"/>
        <w:snapToGrid w:val="0"/>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⑤</w:t>
      </w:r>
      <w:r>
        <w:rPr>
          <w:rFonts w:hint="eastAsia" w:ascii="宋体" w:hAnsi="宋体" w:eastAsia="宋体" w:cs="宋体"/>
          <w:color w:val="auto"/>
        </w:rPr>
        <w:t>供应商</w:t>
      </w:r>
      <w:r>
        <w:rPr>
          <w:rFonts w:hint="eastAsia" w:ascii="宋体" w:hAnsi="宋体" w:eastAsia="宋体" w:cs="宋体"/>
          <w:color w:val="auto"/>
          <w:szCs w:val="21"/>
        </w:rPr>
        <w:t>认为须提交与评审内容相关的其他资料。</w:t>
      </w:r>
    </w:p>
    <w:p>
      <w:pPr>
        <w:pStyle w:val="180"/>
        <w:keepNext w:val="0"/>
        <w:keepLines w:val="0"/>
        <w:pageBreakBefore w:val="0"/>
        <w:numPr>
          <w:ilvl w:val="1"/>
          <w:numId w:val="4"/>
        </w:numPr>
        <w:tabs>
          <w:tab w:val="left" w:pos="360"/>
          <w:tab w:val="left" w:pos="709"/>
        </w:tabs>
        <w:kinsoku/>
        <w:wordWrap/>
        <w:overflowPunct/>
        <w:topLinePunct w:val="0"/>
        <w:bidi w:val="0"/>
        <w:adjustRightInd w:val="0"/>
        <w:spacing w:line="360" w:lineRule="auto"/>
        <w:textAlignment w:val="baseline"/>
        <w:outlineLvl w:val="9"/>
        <w:rPr>
          <w:rFonts w:hint="eastAsia" w:ascii="宋体" w:hAnsi="宋体" w:eastAsia="宋体" w:cs="宋体"/>
          <w:color w:val="auto"/>
          <w:sz w:val="21"/>
          <w:szCs w:val="21"/>
        </w:rPr>
      </w:pPr>
      <w:bookmarkStart w:id="138" w:name="_Toc15089"/>
      <w:bookmarkStart w:id="139" w:name="_Toc475104481"/>
      <w:bookmarkStart w:id="140" w:name="_Toc23034"/>
      <w:bookmarkStart w:id="141" w:name="_Toc4258"/>
      <w:r>
        <w:rPr>
          <w:rFonts w:hint="eastAsia" w:ascii="宋体" w:hAnsi="宋体" w:eastAsia="宋体" w:cs="宋体"/>
          <w:color w:val="auto"/>
          <w:sz w:val="21"/>
          <w:szCs w:val="21"/>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38"/>
      <w:bookmarkEnd w:id="139"/>
      <w:bookmarkEnd w:id="140"/>
      <w:bookmarkEnd w:id="141"/>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磋商响应文件的构成应符合法律法规及竞争性磋商文件的要求。</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42" w:name="_Toc323110989"/>
      <w:bookmarkStart w:id="143" w:name="_Toc363737695"/>
      <w:bookmarkStart w:id="144" w:name="_Toc23888"/>
      <w:bookmarkStart w:id="145" w:name="_Toc315793464"/>
      <w:bookmarkStart w:id="146" w:name="_Toc320515079"/>
      <w:bookmarkStart w:id="147" w:name="_Toc475104482"/>
      <w:bookmarkStart w:id="148" w:name="_Toc320515030"/>
      <w:bookmarkStart w:id="149" w:name="_Toc11729"/>
      <w:bookmarkStart w:id="150" w:name="_Toc322680356"/>
      <w:bookmarkStart w:id="151" w:name="_Toc19470"/>
      <w:r>
        <w:rPr>
          <w:rFonts w:hint="eastAsia" w:ascii="宋体" w:hAnsi="宋体" w:eastAsia="宋体" w:cs="宋体"/>
          <w:b/>
          <w:bCs/>
          <w:color w:val="auto"/>
          <w:sz w:val="24"/>
        </w:rPr>
        <w:t>磋商响应文件的编写</w:t>
      </w:r>
      <w:bookmarkEnd w:id="142"/>
      <w:bookmarkEnd w:id="143"/>
      <w:bookmarkEnd w:id="144"/>
      <w:bookmarkEnd w:id="145"/>
      <w:bookmarkEnd w:id="146"/>
      <w:bookmarkEnd w:id="147"/>
      <w:bookmarkEnd w:id="148"/>
      <w:bookmarkEnd w:id="149"/>
      <w:bookmarkEnd w:id="150"/>
      <w:bookmarkEnd w:id="151"/>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应仔细阅读竞争性磋商文件的所有内容，按竞争性磋商文件的要求制作并递交磋商响应文件，并保证所提供的全部资料的真实性、准确性，以确保其报价对竞争性磋商文件做出实质性响应。供应商在报价中提供不真实的材料，无论其材料是否重要，都将直接导致磋商响应文件无效，并承担由此产生的法律责任。</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响应语言和计量单位：磋商响应文件和来往函件应用简体中文书写，供应商提供的支持文件、技术资料和印刷的文献可以用其他语言，但相应内容应附有中文翻译文本（经公证处公证），对不同文字文本磋商响应文件的解释发生异议的，以中文文本为准。计量单位应使用国际公制单位。</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供应商须用人民币作为报价的货币单位。磋商响应文件的大写金额和小写金额不一致的，以大写金额为准。</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供应商应当对磋商响应文件进行装订，对未经装订的磋商响应文件可能发生的文件散落或缺损，由此造成的后果和责任由供应商承担。</w:t>
      </w:r>
    </w:p>
    <w:p>
      <w:pPr>
        <w:keepNext w:val="0"/>
        <w:keepLines w:val="0"/>
        <w:pageBreakBefore w:val="0"/>
        <w:numPr>
          <w:ilvl w:val="1"/>
          <w:numId w:val="4"/>
        </w:numPr>
        <w:tabs>
          <w:tab w:val="left" w:pos="709"/>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供应商必须对磋商响应文件所提供的全部资料的真实性承担法律责任，并无条件接受采购人、政府采购代理机构及政府采购监督管理部门等对其中任何资料进行核实的要求。</w:t>
      </w:r>
    </w:p>
    <w:p>
      <w:pPr>
        <w:keepNext w:val="0"/>
        <w:keepLines w:val="0"/>
        <w:pageBreakBefore w:val="0"/>
        <w:numPr>
          <w:ilvl w:val="1"/>
          <w:numId w:val="4"/>
        </w:numPr>
        <w:tabs>
          <w:tab w:val="left" w:pos="709"/>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如果因为供应商的磋商响应文件只填写和提供了本竞争性磋商文件要求的部分内容和附件，或没有提供竞争性磋商文件中所要求的全部资料及数据，由此造成的后果和责任由供应商承担。</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52" w:name="_Toc1668"/>
      <w:bookmarkStart w:id="153" w:name="_Toc323110990"/>
      <w:bookmarkStart w:id="154" w:name="_Toc930"/>
      <w:bookmarkStart w:id="155" w:name="_Toc475104483"/>
      <w:bookmarkStart w:id="156" w:name="_Toc363737696"/>
      <w:bookmarkStart w:id="157" w:name="_Toc8246"/>
      <w:r>
        <w:rPr>
          <w:rFonts w:hint="eastAsia" w:ascii="宋体" w:hAnsi="宋体" w:eastAsia="宋体" w:cs="宋体"/>
          <w:b/>
          <w:bCs/>
          <w:color w:val="auto"/>
          <w:sz w:val="24"/>
        </w:rPr>
        <w:t>竞争性磋商报价</w:t>
      </w:r>
      <w:bookmarkEnd w:id="152"/>
      <w:bookmarkEnd w:id="153"/>
      <w:bookmarkEnd w:id="154"/>
      <w:bookmarkEnd w:id="155"/>
      <w:bookmarkEnd w:id="156"/>
      <w:bookmarkEnd w:id="15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bookmarkStart w:id="158" w:name="_Toc315793468"/>
      <w:bookmarkStart w:id="159" w:name="_Toc320515032"/>
      <w:bookmarkStart w:id="160" w:name="_Toc322680358"/>
      <w:bookmarkStart w:id="161" w:name="_Toc323110991"/>
      <w:bookmarkStart w:id="162" w:name="_Toc320515081"/>
      <w:r>
        <w:rPr>
          <w:rFonts w:hint="eastAsia" w:ascii="宋体" w:hAnsi="宋体" w:eastAsia="宋体" w:cs="宋体"/>
          <w:color w:val="auto"/>
          <w:szCs w:val="21"/>
        </w:rPr>
        <w:t>供应商</w:t>
      </w:r>
      <w:r>
        <w:rPr>
          <w:rFonts w:hint="eastAsia" w:ascii="宋体" w:hAnsi="宋体" w:eastAsia="宋体" w:cs="宋体"/>
          <w:color w:val="auto"/>
          <w:szCs w:val="21"/>
          <w:lang w:eastAsia="zh-TW"/>
        </w:rPr>
        <w:t>人应按照“第</w:t>
      </w:r>
      <w:r>
        <w:rPr>
          <w:rFonts w:hint="eastAsia" w:ascii="宋体" w:hAnsi="宋体" w:eastAsia="宋体" w:cs="宋体"/>
          <w:color w:val="auto"/>
          <w:szCs w:val="21"/>
        </w:rPr>
        <w:t>三</w:t>
      </w:r>
      <w:r>
        <w:rPr>
          <w:rFonts w:hint="eastAsia" w:ascii="宋体" w:hAnsi="宋体" w:eastAsia="宋体" w:cs="宋体"/>
          <w:color w:val="auto"/>
          <w:szCs w:val="21"/>
          <w:lang w:eastAsia="zh-TW"/>
        </w:rPr>
        <w:t>章　</w:t>
      </w:r>
      <w:r>
        <w:rPr>
          <w:rFonts w:hint="eastAsia" w:ascii="宋体" w:hAnsi="宋体" w:eastAsia="宋体" w:cs="宋体"/>
          <w:color w:val="auto"/>
          <w:szCs w:val="21"/>
        </w:rPr>
        <w:t>采购人</w:t>
      </w:r>
      <w:r>
        <w:rPr>
          <w:rFonts w:hint="eastAsia" w:ascii="宋体" w:hAnsi="宋体" w:eastAsia="宋体" w:cs="宋体"/>
          <w:color w:val="auto"/>
          <w:szCs w:val="21"/>
          <w:lang w:eastAsia="zh-TW"/>
        </w:rPr>
        <w:t>需求</w:t>
      </w:r>
      <w:r>
        <w:rPr>
          <w:rFonts w:hint="eastAsia" w:ascii="宋体" w:hAnsi="宋体" w:eastAsia="宋体" w:cs="宋体"/>
          <w:color w:val="auto"/>
          <w:szCs w:val="21"/>
        </w:rPr>
        <w:t>书</w:t>
      </w:r>
      <w:r>
        <w:rPr>
          <w:rFonts w:hint="eastAsia" w:ascii="宋体" w:hAnsi="宋体" w:eastAsia="宋体" w:cs="宋体"/>
          <w:color w:val="auto"/>
          <w:szCs w:val="21"/>
          <w:lang w:eastAsia="zh-TW"/>
        </w:rPr>
        <w:t xml:space="preserve">” </w:t>
      </w:r>
      <w:r>
        <w:rPr>
          <w:rFonts w:hint="eastAsia" w:ascii="宋体" w:hAnsi="宋体" w:eastAsia="宋体" w:cs="宋体"/>
          <w:color w:val="auto"/>
          <w:szCs w:val="21"/>
        </w:rPr>
        <w:t>中</w:t>
      </w:r>
      <w:r>
        <w:rPr>
          <w:rFonts w:hint="eastAsia" w:ascii="宋体" w:hAnsi="宋体" w:eastAsia="宋体" w:cs="宋体"/>
          <w:color w:val="auto"/>
          <w:szCs w:val="21"/>
          <w:lang w:eastAsia="zh-TW"/>
        </w:rPr>
        <w:t>采购项目</w:t>
      </w:r>
      <w:r>
        <w:rPr>
          <w:rFonts w:hint="eastAsia" w:ascii="宋体" w:hAnsi="宋体" w:eastAsia="宋体" w:cs="宋体"/>
          <w:color w:val="auto"/>
          <w:szCs w:val="21"/>
        </w:rPr>
        <w:t>服务</w:t>
      </w:r>
      <w:r>
        <w:rPr>
          <w:rFonts w:hint="eastAsia" w:ascii="宋体" w:hAnsi="宋体" w:eastAsia="宋体" w:cs="宋体"/>
          <w:color w:val="auto"/>
          <w:szCs w:val="21"/>
          <w:lang w:eastAsia="zh-TW"/>
        </w:rPr>
        <w:t>要求规定的内容、责任范围进行报价。并按《</w:t>
      </w:r>
      <w:r>
        <w:rPr>
          <w:rFonts w:hint="eastAsia" w:ascii="宋体" w:hAnsi="宋体" w:eastAsia="宋体" w:cs="宋体"/>
          <w:color w:val="auto"/>
          <w:kern w:val="0"/>
          <w:szCs w:val="21"/>
        </w:rPr>
        <w:t>竞争性磋商函</w:t>
      </w:r>
      <w:r>
        <w:rPr>
          <w:rFonts w:hint="eastAsia" w:ascii="宋体" w:hAnsi="宋体" w:eastAsia="宋体" w:cs="宋体"/>
          <w:color w:val="auto"/>
          <w:szCs w:val="21"/>
          <w:lang w:eastAsia="zh-TW"/>
        </w:rPr>
        <w:t>》的</w:t>
      </w:r>
      <w:r>
        <w:rPr>
          <w:rFonts w:hint="eastAsia" w:ascii="宋体" w:hAnsi="宋体" w:eastAsia="宋体" w:cs="宋体"/>
          <w:color w:val="auto"/>
          <w:szCs w:val="21"/>
        </w:rPr>
        <w:t>要求</w:t>
      </w:r>
      <w:r>
        <w:rPr>
          <w:rFonts w:hint="eastAsia" w:ascii="宋体" w:hAnsi="宋体" w:eastAsia="宋体" w:cs="宋体"/>
          <w:color w:val="auto"/>
          <w:szCs w:val="21"/>
          <w:lang w:eastAsia="zh-TW"/>
        </w:rPr>
        <w:t>报出总价和分项价格。</w:t>
      </w:r>
      <w:r>
        <w:rPr>
          <w:rFonts w:hint="eastAsia" w:ascii="宋体" w:hAnsi="宋体" w:eastAsia="宋体" w:cs="宋体"/>
          <w:color w:val="auto"/>
          <w:szCs w:val="21"/>
        </w:rPr>
        <w:t>报价</w:t>
      </w:r>
      <w:r>
        <w:rPr>
          <w:rFonts w:hint="eastAsia" w:ascii="宋体" w:hAnsi="宋体" w:eastAsia="宋体" w:cs="宋体"/>
          <w:color w:val="auto"/>
          <w:szCs w:val="21"/>
          <w:lang w:eastAsia="zh-TW"/>
        </w:rPr>
        <w:t>总价中不得包含</w:t>
      </w:r>
      <w:r>
        <w:rPr>
          <w:rFonts w:hint="eastAsia" w:ascii="宋体" w:hAnsi="宋体" w:eastAsia="宋体" w:cs="宋体"/>
          <w:color w:val="auto"/>
          <w:szCs w:val="21"/>
        </w:rPr>
        <w:t>磋商</w:t>
      </w:r>
      <w:r>
        <w:rPr>
          <w:rFonts w:hint="eastAsia" w:ascii="宋体" w:hAnsi="宋体" w:eastAsia="宋体" w:cs="宋体"/>
          <w:color w:val="auto"/>
          <w:szCs w:val="21"/>
          <w:lang w:eastAsia="zh-TW"/>
        </w:rPr>
        <w:t>文件要求以外的内容，否则，在评标时不予核减。</w:t>
      </w:r>
      <w:r>
        <w:rPr>
          <w:rFonts w:hint="eastAsia" w:ascii="宋体" w:hAnsi="宋体" w:eastAsia="宋体" w:cs="宋体"/>
          <w:color w:val="auto"/>
          <w:szCs w:val="21"/>
        </w:rPr>
        <w:t>响应报价</w:t>
      </w:r>
      <w:r>
        <w:rPr>
          <w:rFonts w:hint="eastAsia" w:ascii="宋体" w:hAnsi="宋体" w:eastAsia="宋体" w:cs="宋体"/>
          <w:color w:val="auto"/>
          <w:szCs w:val="21"/>
          <w:lang w:eastAsia="zh-TW"/>
        </w:rPr>
        <w:t>总价中也不得缺漏</w:t>
      </w:r>
      <w:r>
        <w:rPr>
          <w:rFonts w:hint="eastAsia" w:ascii="宋体" w:hAnsi="宋体" w:eastAsia="宋体" w:cs="宋体"/>
          <w:color w:val="auto"/>
          <w:szCs w:val="21"/>
        </w:rPr>
        <w:t>磋商</w:t>
      </w:r>
      <w:r>
        <w:rPr>
          <w:rFonts w:hint="eastAsia" w:ascii="宋体" w:hAnsi="宋体" w:eastAsia="宋体" w:cs="宋体"/>
          <w:color w:val="auto"/>
          <w:szCs w:val="21"/>
          <w:lang w:eastAsia="zh-TW"/>
        </w:rPr>
        <w:t>文件所要求的内容，否则，被视为</w:t>
      </w:r>
      <w:r>
        <w:rPr>
          <w:rFonts w:hint="eastAsia" w:ascii="宋体" w:hAnsi="宋体" w:eastAsia="宋体" w:cs="宋体"/>
          <w:color w:val="auto"/>
          <w:szCs w:val="21"/>
        </w:rPr>
        <w:t>包含在报价中</w:t>
      </w:r>
      <w:r>
        <w:rPr>
          <w:rFonts w:hint="eastAsia" w:ascii="宋体" w:hAnsi="宋体" w:eastAsia="宋体" w:cs="宋体"/>
          <w:color w:val="auto"/>
          <w:szCs w:val="21"/>
          <w:lang w:eastAsia="zh-TW"/>
        </w:rPr>
        <w:t>。</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供应商的报价明显低于其他响应报价，使得其响应报价可能低于其个别成本的，有可能影响服务质量和不能诚信履约的，</w:t>
      </w:r>
      <w:r>
        <w:rPr>
          <w:rFonts w:hint="eastAsia" w:ascii="宋体" w:hAnsi="宋体" w:eastAsia="宋体" w:cs="宋体"/>
          <w:color w:val="auto"/>
          <w:szCs w:val="21"/>
          <w:shd w:val="clear" w:color="auto" w:fill="FFFFFF"/>
        </w:rPr>
        <w:t>应当要求其在评标现场合理的时间内提供书面说明，必要时提交相关证明材料；供应商不能证明其报价合理性的，磋商小组应当将其作为无效投标处理。</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TW"/>
        </w:rPr>
        <w:t>报价明细表</w:t>
      </w:r>
      <w:r>
        <w:rPr>
          <w:rFonts w:hint="eastAsia" w:ascii="宋体" w:hAnsi="宋体" w:eastAsia="宋体" w:cs="宋体"/>
          <w:color w:val="auto"/>
          <w:szCs w:val="21"/>
        </w:rPr>
        <w:t>内容应包含：</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竞争性磋商文件要求全部服务所需的费用；</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报价包含履行合同所有相关服务所需的费用；</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报价均应包含所有的税费；</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其他一切隐含及不可预见的费用；</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报价为本次采购内容的综合</w:t>
      </w:r>
      <w:r>
        <w:rPr>
          <w:rFonts w:hint="eastAsia" w:ascii="宋体" w:hAnsi="宋体" w:eastAsia="宋体" w:cs="宋体"/>
          <w:color w:val="auto"/>
          <w:szCs w:val="21"/>
          <w:lang w:val="en-US" w:eastAsia="zh-CN"/>
        </w:rPr>
        <w:t>总</w:t>
      </w:r>
      <w:r>
        <w:rPr>
          <w:rFonts w:hint="eastAsia" w:ascii="宋体" w:hAnsi="宋体" w:eastAsia="宋体" w:cs="宋体"/>
          <w:color w:val="auto"/>
          <w:szCs w:val="21"/>
        </w:rPr>
        <w:t>价包干响应报价即为合同价，不得在成交后提出任何增加费用要求，供应商在报价时应充分考虑相关风险性因素。</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供应商在获得成交资格并签署合同后，服务期限内出现的任何遗漏，均由成交供应商负责，采购人将不再支付任何费用。</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TW"/>
        </w:rPr>
        <w:t>所报的</w:t>
      </w:r>
      <w:r>
        <w:rPr>
          <w:rFonts w:hint="eastAsia" w:ascii="宋体" w:hAnsi="宋体" w:eastAsia="宋体" w:cs="宋体"/>
          <w:color w:val="auto"/>
          <w:szCs w:val="21"/>
        </w:rPr>
        <w:t>响应报</w:t>
      </w:r>
      <w:r>
        <w:rPr>
          <w:rFonts w:hint="eastAsia" w:ascii="宋体" w:hAnsi="宋体" w:eastAsia="宋体" w:cs="宋体"/>
          <w:color w:val="auto"/>
          <w:szCs w:val="21"/>
          <w:lang w:eastAsia="zh-TW"/>
        </w:rPr>
        <w:t>价在合同执行过程中是固定不变的</w:t>
      </w:r>
      <w:r>
        <w:rPr>
          <w:rFonts w:hint="eastAsia" w:ascii="宋体" w:hAnsi="宋体" w:eastAsia="宋体" w:cs="宋体"/>
          <w:color w:val="auto"/>
          <w:szCs w:val="21"/>
        </w:rPr>
        <w:t>，</w:t>
      </w:r>
      <w:r>
        <w:rPr>
          <w:rFonts w:hint="eastAsia" w:ascii="宋体" w:hAnsi="宋体" w:eastAsia="宋体" w:cs="宋体"/>
          <w:color w:val="auto"/>
          <w:szCs w:val="21"/>
          <w:lang w:eastAsia="zh-TW"/>
        </w:rPr>
        <w:t>不得以任何理由予以变更。任何包含价格调整要求的</w:t>
      </w:r>
      <w:r>
        <w:rPr>
          <w:rFonts w:hint="eastAsia" w:ascii="宋体" w:hAnsi="宋体" w:eastAsia="宋体" w:cs="宋体"/>
          <w:color w:val="auto"/>
          <w:szCs w:val="21"/>
        </w:rPr>
        <w:t>报价</w:t>
      </w:r>
      <w:r>
        <w:rPr>
          <w:rFonts w:hint="eastAsia" w:ascii="宋体" w:hAnsi="宋体" w:eastAsia="宋体" w:cs="宋体"/>
          <w:color w:val="auto"/>
          <w:szCs w:val="21"/>
          <w:lang w:eastAsia="zh-TW"/>
        </w:rPr>
        <w:t>被认为是非实质性响应而予以拒绝。</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除磋商文件中另有规定外，本次采购不接受选择性报价及备选方案。每次报价固定唯一，且没有超采购项目预算金额</w:t>
      </w:r>
      <w:r>
        <w:rPr>
          <w:rFonts w:hint="eastAsia" w:ascii="宋体" w:hAnsi="宋体" w:eastAsia="宋体" w:cs="宋体"/>
          <w:color w:val="auto"/>
          <w:szCs w:val="21"/>
        </w:rPr>
        <w:t>。</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63" w:name="_Toc475104484"/>
      <w:bookmarkStart w:id="164" w:name="_Toc6454"/>
      <w:bookmarkStart w:id="165" w:name="_Toc363737697"/>
      <w:bookmarkStart w:id="166" w:name="_Toc30409"/>
      <w:bookmarkStart w:id="167" w:name="_Toc15847"/>
      <w:r>
        <w:rPr>
          <w:rFonts w:hint="eastAsia" w:ascii="宋体" w:hAnsi="宋体" w:eastAsia="宋体" w:cs="宋体"/>
          <w:b/>
          <w:bCs/>
          <w:color w:val="auto"/>
          <w:sz w:val="24"/>
        </w:rPr>
        <w:t>证明供应商合格和资格的文件</w:t>
      </w:r>
      <w:bookmarkEnd w:id="158"/>
      <w:bookmarkEnd w:id="159"/>
      <w:bookmarkEnd w:id="160"/>
      <w:bookmarkEnd w:id="161"/>
      <w:bookmarkEnd w:id="162"/>
      <w:bookmarkEnd w:id="163"/>
      <w:bookmarkEnd w:id="164"/>
      <w:bookmarkEnd w:id="165"/>
      <w:bookmarkEnd w:id="166"/>
      <w:bookmarkEnd w:id="167"/>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供应商应提交证明其有资格参加磋商响应和获得成交资格后有能力履行合同的文件，并作为其磋商响应文件的一部分。</w:t>
      </w:r>
      <w:r>
        <w:rPr>
          <w:rFonts w:hint="eastAsia" w:ascii="宋体" w:hAnsi="宋体" w:eastAsia="宋体" w:cs="宋体"/>
          <w:color w:val="auto"/>
          <w:szCs w:val="21"/>
          <w:lang w:val="en-US" w:eastAsia="zh-CN"/>
        </w:rPr>
        <w:t>本项目不接受联合体投标</w:t>
      </w:r>
      <w:r>
        <w:rPr>
          <w:rFonts w:hint="eastAsia" w:ascii="宋体" w:hAnsi="宋体" w:eastAsia="宋体" w:cs="宋体"/>
          <w:color w:val="auto"/>
          <w:szCs w:val="21"/>
        </w:rPr>
        <w:t>。否则，将导致其响应无效。</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供应商提交的资格证明文件应证明其满足本须知定义的合格供应商。</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68" w:name="_Toc315793469"/>
      <w:bookmarkStart w:id="169" w:name="_Toc475104485"/>
      <w:bookmarkStart w:id="170" w:name="_Toc32684"/>
      <w:bookmarkStart w:id="171" w:name="_Toc32372"/>
      <w:bookmarkStart w:id="172" w:name="_Toc320515033"/>
      <w:bookmarkStart w:id="173" w:name="_Toc363737698"/>
      <w:bookmarkStart w:id="174" w:name="_Toc333236642"/>
      <w:bookmarkStart w:id="175" w:name="_Toc320515082"/>
      <w:bookmarkStart w:id="176" w:name="_Toc19973"/>
      <w:bookmarkStart w:id="177" w:name="_Toc323110993"/>
      <w:r>
        <w:rPr>
          <w:rFonts w:hint="eastAsia" w:ascii="宋体" w:hAnsi="宋体" w:eastAsia="宋体" w:cs="宋体"/>
          <w:b/>
          <w:bCs/>
          <w:color w:val="auto"/>
          <w:sz w:val="24"/>
        </w:rPr>
        <w:t>证明服务的合格性和符合磋商文件规定的文件</w:t>
      </w:r>
      <w:bookmarkEnd w:id="168"/>
      <w:bookmarkEnd w:id="169"/>
      <w:bookmarkEnd w:id="170"/>
      <w:bookmarkEnd w:id="171"/>
      <w:bookmarkEnd w:id="172"/>
      <w:bookmarkEnd w:id="173"/>
      <w:bookmarkEnd w:id="174"/>
      <w:bookmarkEnd w:id="175"/>
      <w:bookmarkEnd w:id="176"/>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color w:val="auto"/>
          <w:szCs w:val="21"/>
          <w:lang w:eastAsia="zh-TW"/>
        </w:rPr>
        <w:t>供应商应提交证明文件</w:t>
      </w:r>
      <w:r>
        <w:rPr>
          <w:rFonts w:hint="eastAsia" w:ascii="宋体" w:hAnsi="宋体" w:eastAsia="宋体" w:cs="宋体"/>
          <w:color w:val="auto"/>
          <w:szCs w:val="21"/>
        </w:rPr>
        <w:t>，</w:t>
      </w:r>
      <w:r>
        <w:rPr>
          <w:rFonts w:hint="eastAsia" w:ascii="宋体" w:hAnsi="宋体" w:eastAsia="宋体" w:cs="宋体"/>
          <w:color w:val="auto"/>
          <w:szCs w:val="21"/>
          <w:lang w:eastAsia="zh-TW"/>
        </w:rPr>
        <w:t>证明其拟</w:t>
      </w:r>
      <w:r>
        <w:rPr>
          <w:rFonts w:hint="eastAsia" w:ascii="宋体" w:hAnsi="宋体" w:eastAsia="宋体" w:cs="宋体"/>
          <w:color w:val="auto"/>
          <w:szCs w:val="21"/>
        </w:rPr>
        <w:t>报价</w:t>
      </w:r>
      <w:r>
        <w:rPr>
          <w:rFonts w:hint="eastAsia" w:ascii="宋体" w:hAnsi="宋体" w:eastAsia="宋体" w:cs="宋体"/>
          <w:color w:val="auto"/>
          <w:szCs w:val="21"/>
          <w:lang w:eastAsia="zh-TW"/>
        </w:rPr>
        <w:t>的服务的合格性符合</w:t>
      </w:r>
      <w:r>
        <w:rPr>
          <w:rFonts w:hint="eastAsia" w:ascii="宋体" w:hAnsi="宋体" w:eastAsia="宋体" w:cs="宋体"/>
          <w:color w:val="auto"/>
          <w:szCs w:val="21"/>
        </w:rPr>
        <w:t>竞争性磋商文件</w:t>
      </w:r>
      <w:r>
        <w:rPr>
          <w:rFonts w:hint="eastAsia" w:ascii="宋体" w:hAnsi="宋体" w:eastAsia="宋体" w:cs="宋体"/>
          <w:color w:val="auto"/>
          <w:szCs w:val="21"/>
          <w:lang w:eastAsia="zh-TW"/>
        </w:rPr>
        <w:t>规定。该证明文件作为</w:t>
      </w:r>
      <w:r>
        <w:rPr>
          <w:rFonts w:hint="eastAsia" w:ascii="宋体" w:hAnsi="宋体" w:eastAsia="宋体" w:cs="宋体"/>
          <w:color w:val="auto"/>
          <w:szCs w:val="21"/>
        </w:rPr>
        <w:t>磋商响应文件</w:t>
      </w:r>
      <w:r>
        <w:rPr>
          <w:rFonts w:hint="eastAsia" w:ascii="宋体" w:hAnsi="宋体" w:eastAsia="宋体" w:cs="宋体"/>
          <w:color w:val="auto"/>
          <w:szCs w:val="21"/>
          <w:lang w:eastAsia="zh-TW"/>
        </w:rPr>
        <w:t>的一部分。</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证明服务与</w:t>
      </w:r>
      <w:r>
        <w:rPr>
          <w:rFonts w:hint="eastAsia" w:ascii="宋体" w:hAnsi="宋体" w:eastAsia="宋体" w:cs="宋体"/>
          <w:color w:val="auto"/>
          <w:szCs w:val="21"/>
        </w:rPr>
        <w:t>竞争性磋商文件</w:t>
      </w:r>
      <w:r>
        <w:rPr>
          <w:rFonts w:hint="eastAsia" w:ascii="宋体" w:hAnsi="宋体" w:eastAsia="宋体" w:cs="宋体"/>
          <w:color w:val="auto"/>
          <w:szCs w:val="21"/>
          <w:lang w:eastAsia="zh-TW"/>
        </w:rPr>
        <w:t>的要求相一致的文件，可以是文字资料、图纸和数据，它包括：</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服务主要内容、方案、质量、标准指标等的详细说明；</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对照竞争性磋商文件服务内容与要求，逐条说明所提供服务已对磋商文件的服务内容与要求作出了实质性的响应，并申明与服务内容与要求条文的偏差和例外。特别对有具体参数要求的指标，供应商须提供所投服务的具体参数值。供应商在阐述时应注意竞争性磋商文件的服务内容、要求和标准，供应商在报价中要实质上满足或超过竞争性磋商文件的要求。</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78" w:name="_Toc16364"/>
      <w:bookmarkStart w:id="179" w:name="_Toc31496"/>
      <w:bookmarkStart w:id="180" w:name="_Toc23467"/>
      <w:bookmarkStart w:id="181" w:name="_Toc363737699"/>
      <w:r>
        <w:rPr>
          <w:rFonts w:hint="eastAsia" w:ascii="宋体" w:hAnsi="宋体" w:eastAsia="宋体" w:cs="宋体"/>
          <w:b/>
          <w:bCs/>
          <w:color w:val="auto"/>
          <w:sz w:val="24"/>
        </w:rPr>
        <w:t>磋商保证金</w:t>
      </w:r>
      <w:bookmarkEnd w:id="178"/>
      <w:bookmarkEnd w:id="179"/>
      <w:bookmarkEnd w:id="180"/>
    </w:p>
    <w:bookmarkEnd w:id="181"/>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color w:val="auto"/>
          <w:szCs w:val="21"/>
        </w:rPr>
      </w:pPr>
      <w:bookmarkStart w:id="182" w:name="_Toc11871"/>
      <w:bookmarkStart w:id="183" w:name="_Toc10403"/>
      <w:bookmarkStart w:id="184" w:name="_Toc20765"/>
      <w:r>
        <w:rPr>
          <w:rFonts w:hint="eastAsia" w:ascii="宋体" w:hAnsi="宋体" w:eastAsia="宋体" w:cs="宋体"/>
          <w:color w:val="auto"/>
          <w:szCs w:val="21"/>
        </w:rPr>
        <w:t>本项目不收取磋商保证金</w:t>
      </w:r>
      <w:bookmarkEnd w:id="182"/>
      <w:bookmarkEnd w:id="183"/>
      <w:bookmarkEnd w:id="184"/>
    </w:p>
    <w:bookmarkEnd w:id="177"/>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185" w:name="_Toc351550769"/>
      <w:bookmarkStart w:id="186" w:name="_Toc475104487"/>
      <w:bookmarkStart w:id="187" w:name="_Toc394926941"/>
      <w:bookmarkStart w:id="188" w:name="_Toc937"/>
      <w:bookmarkStart w:id="189" w:name="_Toc907"/>
      <w:bookmarkStart w:id="190" w:name="_Toc6132"/>
      <w:bookmarkStart w:id="191" w:name="_Toc315793471"/>
      <w:bookmarkStart w:id="192" w:name="_Toc320515084"/>
      <w:bookmarkStart w:id="193" w:name="_Toc323110994"/>
      <w:bookmarkStart w:id="194" w:name="_Toc322680361"/>
      <w:bookmarkStart w:id="195" w:name="_Toc363737700"/>
      <w:bookmarkStart w:id="196" w:name="_Toc320515035"/>
      <w:r>
        <w:rPr>
          <w:rFonts w:hint="eastAsia" w:ascii="宋体" w:hAnsi="宋体" w:eastAsia="宋体" w:cs="宋体"/>
          <w:b/>
          <w:bCs/>
          <w:color w:val="auto"/>
          <w:sz w:val="24"/>
        </w:rPr>
        <w:t>政府采购信用担保</w:t>
      </w:r>
      <w:bookmarkEnd w:id="185"/>
      <w:bookmarkEnd w:id="186"/>
      <w:bookmarkEnd w:id="187"/>
      <w:bookmarkEnd w:id="188"/>
      <w:bookmarkEnd w:id="189"/>
      <w:bookmarkEnd w:id="190"/>
    </w:p>
    <w:bookmarkEnd w:id="191"/>
    <w:bookmarkEnd w:id="192"/>
    <w:bookmarkEnd w:id="193"/>
    <w:bookmarkEnd w:id="194"/>
    <w:bookmarkEnd w:id="195"/>
    <w:bookmarkEnd w:id="196"/>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color w:val="auto"/>
          <w:szCs w:val="21"/>
        </w:rPr>
      </w:pPr>
      <w:bookmarkStart w:id="197" w:name="_Toc475104489"/>
      <w:bookmarkStart w:id="198" w:name="_Toc16214"/>
      <w:bookmarkStart w:id="199" w:name="_Toc13895"/>
      <w:bookmarkStart w:id="200" w:name="_Toc1752"/>
      <w:r>
        <w:rPr>
          <w:rFonts w:hint="eastAsia" w:ascii="宋体" w:hAnsi="宋体" w:eastAsia="宋体" w:cs="宋体"/>
          <w:color w:val="auto"/>
          <w:szCs w:val="21"/>
        </w:rPr>
        <w:t>履约担保，是指由专业担保机构为供应商支付履约保证金的义务向采购人提供的保证担保。供应商未按政府采购合同履行约定义务而应实际支付保证金的，由专业担保机构按照担保函约定履行担保责任。供应商可以自行选择是否采取履约担保函的形式交纳履约保证金。</w:t>
      </w:r>
      <w:bookmarkEnd w:id="197"/>
      <w:bookmarkEnd w:id="198"/>
      <w:bookmarkEnd w:id="199"/>
      <w:bookmarkEnd w:id="200"/>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color w:val="auto"/>
          <w:szCs w:val="21"/>
        </w:rPr>
      </w:pPr>
      <w:bookmarkStart w:id="201" w:name="_Toc315793300"/>
      <w:bookmarkStart w:id="202" w:name="_Toc17246"/>
      <w:bookmarkStart w:id="203" w:name="_Toc475104490"/>
      <w:bookmarkStart w:id="204" w:name="_Toc30442"/>
      <w:bookmarkStart w:id="205" w:name="_Toc21476"/>
      <w:r>
        <w:rPr>
          <w:rFonts w:hint="eastAsia" w:ascii="宋体" w:hAnsi="宋体" w:eastAsia="宋体" w:cs="宋体"/>
          <w:color w:val="auto"/>
          <w:szCs w:val="21"/>
        </w:rPr>
        <w:t>融资担保，是指由专业担保机构为供应商向银行融资提供的保证担保。供应商可以自愿选择是否采取融资担保的形式为政府采购履约进行融资。</w:t>
      </w:r>
      <w:bookmarkEnd w:id="201"/>
      <w:bookmarkEnd w:id="202"/>
      <w:bookmarkEnd w:id="203"/>
      <w:bookmarkEnd w:id="204"/>
      <w:bookmarkEnd w:id="205"/>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color w:val="auto"/>
          <w:szCs w:val="21"/>
        </w:rPr>
      </w:pPr>
      <w:bookmarkStart w:id="206" w:name="_Toc31292"/>
      <w:bookmarkStart w:id="207" w:name="_Toc7095"/>
      <w:bookmarkStart w:id="208" w:name="_Toc13256"/>
      <w:bookmarkStart w:id="209" w:name="_Toc475104493"/>
      <w:r>
        <w:rPr>
          <w:rFonts w:hint="eastAsia" w:ascii="宋体" w:hAnsi="宋体" w:eastAsia="宋体" w:cs="宋体"/>
          <w:color w:val="auto"/>
          <w:szCs w:val="21"/>
        </w:rPr>
        <w:t>专业担保机构的选择。供应商必须选定有合法资质的担保公司任一家作为专业担保机构。</w:t>
      </w:r>
      <w:bookmarkEnd w:id="206"/>
      <w:bookmarkEnd w:id="207"/>
      <w:bookmarkEnd w:id="208"/>
    </w:p>
    <w:bookmarkEnd w:id="209"/>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210" w:name="_Toc26784"/>
      <w:bookmarkStart w:id="211" w:name="_Toc4400"/>
      <w:bookmarkStart w:id="212" w:name="_Toc17006"/>
      <w:r>
        <w:rPr>
          <w:rFonts w:hint="eastAsia" w:ascii="宋体" w:hAnsi="宋体" w:eastAsia="宋体" w:cs="宋体"/>
          <w:b/>
          <w:bCs/>
          <w:color w:val="auto"/>
          <w:sz w:val="24"/>
        </w:rPr>
        <w:t>响应有效期</w:t>
      </w:r>
      <w:bookmarkEnd w:id="210"/>
      <w:bookmarkEnd w:id="211"/>
      <w:bookmarkEnd w:id="212"/>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从磋商响应文件递交截止日起，响应有效期为</w:t>
      </w:r>
      <w:r>
        <w:rPr>
          <w:rFonts w:hint="eastAsia" w:ascii="宋体" w:hAnsi="宋体" w:eastAsia="宋体" w:cs="宋体"/>
          <w:color w:val="auto"/>
          <w:sz w:val="2"/>
          <w:szCs w:val="2"/>
        </w:rPr>
        <w:t>UU</w:t>
      </w:r>
      <w:r>
        <w:rPr>
          <w:rFonts w:hint="eastAsia" w:ascii="宋体" w:hAnsi="宋体" w:eastAsia="宋体" w:cs="宋体"/>
          <w:color w:val="auto"/>
          <w:szCs w:val="21"/>
          <w:u w:val="single"/>
        </w:rPr>
        <w:t>90</w:t>
      </w:r>
      <w:r>
        <w:rPr>
          <w:rFonts w:hint="eastAsia" w:ascii="宋体" w:hAnsi="宋体" w:eastAsia="宋体" w:cs="宋体"/>
          <w:color w:val="auto"/>
          <w:sz w:val="2"/>
          <w:szCs w:val="2"/>
        </w:rPr>
        <w:t>UU</w:t>
      </w:r>
      <w:r>
        <w:rPr>
          <w:rFonts w:hint="eastAsia" w:ascii="宋体" w:hAnsi="宋体" w:eastAsia="宋体" w:cs="宋体"/>
          <w:color w:val="auto"/>
          <w:szCs w:val="21"/>
        </w:rPr>
        <w:t>天（日历天）。响应有效期不足的响应将被视为非实质性响应，视为无效响应。</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特殊情况下，在原响应有效期截止之前，政府采购代理机构可要求供应商延长响应有效期。这种要求与答复均应以书面形式提交。供应商可拒绝政府采购代理机构的这种要求，但其磋商响应在原响应有效期期满后将不再有效。同意延长响应有效期的供应商将不会被要求和允许修正其磋商响应</w:t>
      </w:r>
      <w:r>
        <w:rPr>
          <w:rFonts w:hint="eastAsia" w:ascii="宋体" w:hAnsi="宋体" w:eastAsia="宋体" w:cs="宋体"/>
          <w:color w:val="auto"/>
          <w:szCs w:val="21"/>
          <w:lang w:eastAsia="zh-TW"/>
        </w:rPr>
        <w:t>。</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outlineLvl w:val="0"/>
        <w:rPr>
          <w:rFonts w:hint="eastAsia" w:ascii="宋体" w:hAnsi="宋体" w:eastAsia="宋体" w:cs="宋体"/>
          <w:b/>
          <w:bCs/>
          <w:color w:val="auto"/>
          <w:sz w:val="24"/>
        </w:rPr>
      </w:pPr>
      <w:bookmarkStart w:id="213" w:name="_Toc16804"/>
      <w:bookmarkStart w:id="214" w:name="_Toc320515085"/>
      <w:bookmarkStart w:id="215" w:name="_Toc320515036"/>
      <w:bookmarkStart w:id="216" w:name="_Toc363737701"/>
      <w:bookmarkStart w:id="217" w:name="_Toc19550"/>
      <w:bookmarkStart w:id="218" w:name="_Toc475104494"/>
      <w:bookmarkStart w:id="219" w:name="_Toc315793472"/>
      <w:bookmarkStart w:id="220" w:name="_Toc16697"/>
      <w:bookmarkStart w:id="221" w:name="_Toc320515086"/>
      <w:bookmarkStart w:id="222" w:name="_Toc320515037"/>
      <w:bookmarkStart w:id="223" w:name="_Toc315793473"/>
      <w:bookmarkStart w:id="224" w:name="_Toc322680363"/>
      <w:bookmarkStart w:id="225" w:name="_Toc323110996"/>
      <w:r>
        <w:rPr>
          <w:rFonts w:hint="eastAsia" w:ascii="宋体" w:hAnsi="宋体" w:eastAsia="宋体" w:cs="宋体"/>
          <w:b/>
          <w:bCs/>
          <w:color w:val="auto"/>
          <w:sz w:val="24"/>
        </w:rPr>
        <w:t>磋商响应文件的式样和签署</w:t>
      </w:r>
      <w:bookmarkEnd w:id="213"/>
      <w:bookmarkEnd w:id="214"/>
      <w:bookmarkEnd w:id="215"/>
      <w:bookmarkEnd w:id="216"/>
      <w:bookmarkEnd w:id="217"/>
      <w:bookmarkEnd w:id="218"/>
      <w:bookmarkEnd w:id="219"/>
      <w:bookmarkEnd w:id="220"/>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全部</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w:t>
      </w:r>
      <w:r>
        <w:rPr>
          <w:rFonts w:hint="eastAsia" w:ascii="宋体" w:hAnsi="宋体" w:eastAsia="宋体" w:cs="宋体"/>
          <w:color w:val="auto"/>
          <w:szCs w:val="21"/>
        </w:rPr>
        <w:t>数量参看《竞争性磋商须知一览表》</w:t>
      </w:r>
      <w:r>
        <w:rPr>
          <w:rFonts w:hint="eastAsia" w:ascii="宋体" w:hAnsi="宋体" w:eastAsia="宋体" w:cs="宋体"/>
          <w:color w:val="auto"/>
          <w:szCs w:val="21"/>
          <w:lang w:eastAsia="zh-TW"/>
        </w:rPr>
        <w:t>，所有</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响应文件应用A4规格纸打印装订成册</w:t>
      </w:r>
      <w:r>
        <w:rPr>
          <w:rFonts w:hint="eastAsia" w:ascii="宋体" w:hAnsi="宋体" w:eastAsia="宋体" w:cs="宋体"/>
          <w:color w:val="auto"/>
          <w:szCs w:val="21"/>
        </w:rPr>
        <w:t>。于封面注明“正本”和“副本”。如果正本与副本不符，应以正本为准。所有不完整的磋商响应将被拒绝。无论磋商结果如何，供应商的全部磋商响应文件均不退回。</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响应文件的签署：</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磋商响应文件的正本需打印，磋商响应文件要求签名的由法定代表人或经其正式授权的代表签字，</w:t>
      </w:r>
      <w:r>
        <w:rPr>
          <w:rFonts w:hint="eastAsia" w:ascii="宋体" w:hAnsi="宋体" w:eastAsia="宋体" w:cs="宋体"/>
          <w:color w:val="auto"/>
          <w:sz w:val="2"/>
          <w:szCs w:val="2"/>
        </w:rPr>
        <w:t>UU</w:t>
      </w:r>
      <w:r>
        <w:rPr>
          <w:rFonts w:hint="eastAsia" w:ascii="宋体" w:hAnsi="宋体" w:eastAsia="宋体" w:cs="宋体"/>
          <w:b/>
          <w:color w:val="auto"/>
          <w:szCs w:val="21"/>
          <w:u w:val="single"/>
        </w:rPr>
        <w:t>磋商响应文件正本每一页均要求加盖供应商公章</w:t>
      </w:r>
      <w:r>
        <w:rPr>
          <w:rFonts w:hint="eastAsia" w:ascii="宋体" w:hAnsi="宋体" w:eastAsia="宋体" w:cs="宋体"/>
          <w:color w:val="auto"/>
          <w:sz w:val="2"/>
          <w:szCs w:val="2"/>
        </w:rPr>
        <w:t>UU</w:t>
      </w:r>
      <w:r>
        <w:rPr>
          <w:rFonts w:hint="eastAsia" w:ascii="宋体" w:hAnsi="宋体" w:eastAsia="宋体" w:cs="宋体"/>
          <w:color w:val="auto"/>
          <w:szCs w:val="21"/>
        </w:rPr>
        <w:t>，副本可以复印，与正本具有同等法律效力。授权代表须将以书面形式出具的《法定代表人授权委托书》附在磋商响应文件中。</w:t>
      </w:r>
    </w:p>
    <w:p>
      <w:pPr>
        <w:keepNext w:val="0"/>
        <w:keepLines w:val="0"/>
        <w:pageBreakBefore w:val="0"/>
        <w:numPr>
          <w:ilvl w:val="2"/>
          <w:numId w:val="4"/>
        </w:numPr>
        <w:tabs>
          <w:tab w:val="left" w:pos="851"/>
        </w:tabs>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hint="eastAsia" w:ascii="宋体" w:hAnsi="宋体" w:eastAsia="宋体" w:cs="宋体"/>
          <w:b/>
          <w:color w:val="auto"/>
          <w:sz w:val="28"/>
          <w:szCs w:val="28"/>
          <w:lang w:eastAsia="zh-TW"/>
        </w:rPr>
      </w:pPr>
      <w:bookmarkStart w:id="226" w:name="_Toc17063"/>
      <w:bookmarkStart w:id="227" w:name="_Toc475104495"/>
      <w:bookmarkStart w:id="228" w:name="_Toc25165"/>
      <w:bookmarkStart w:id="229" w:name="_Toc363737702"/>
      <w:bookmarkStart w:id="230" w:name="_Toc25493"/>
      <w:r>
        <w:rPr>
          <w:rFonts w:hint="eastAsia" w:ascii="宋体" w:hAnsi="宋体" w:eastAsia="宋体" w:cs="宋体"/>
          <w:b/>
          <w:color w:val="auto"/>
          <w:sz w:val="28"/>
          <w:szCs w:val="28"/>
          <w:lang w:eastAsia="zh-TW"/>
        </w:rPr>
        <w:t>磋商响应文件的递交</w:t>
      </w:r>
      <w:bookmarkEnd w:id="221"/>
      <w:bookmarkEnd w:id="222"/>
      <w:bookmarkEnd w:id="223"/>
      <w:bookmarkEnd w:id="224"/>
      <w:bookmarkEnd w:id="225"/>
      <w:bookmarkEnd w:id="226"/>
      <w:bookmarkEnd w:id="227"/>
      <w:bookmarkEnd w:id="228"/>
      <w:bookmarkEnd w:id="229"/>
      <w:bookmarkEnd w:id="230"/>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31" w:name="_Toc315793474"/>
      <w:bookmarkStart w:id="232" w:name="_Toc31841"/>
      <w:bookmarkStart w:id="233" w:name="_Toc475104496"/>
      <w:bookmarkStart w:id="234" w:name="_Toc320515038"/>
      <w:bookmarkStart w:id="235" w:name="_Toc320515087"/>
      <w:bookmarkStart w:id="236" w:name="_Toc12415"/>
      <w:bookmarkStart w:id="237" w:name="_Toc363737703"/>
      <w:bookmarkStart w:id="238" w:name="_Toc9583"/>
      <w:r>
        <w:rPr>
          <w:rFonts w:hint="eastAsia" w:ascii="宋体" w:hAnsi="宋体" w:eastAsia="宋体" w:cs="宋体"/>
          <w:b/>
          <w:bCs/>
          <w:color w:val="auto"/>
          <w:sz w:val="24"/>
        </w:rPr>
        <w:t>磋商响应文件的密封和标记</w:t>
      </w:r>
      <w:bookmarkEnd w:id="231"/>
      <w:bookmarkEnd w:id="232"/>
      <w:bookmarkEnd w:id="233"/>
      <w:bookmarkEnd w:id="234"/>
      <w:bookmarkEnd w:id="235"/>
      <w:bookmarkEnd w:id="236"/>
      <w:bookmarkEnd w:id="237"/>
      <w:bookmarkEnd w:id="238"/>
    </w:p>
    <w:p>
      <w:pPr>
        <w:numPr>
          <w:ilvl w:val="1"/>
          <w:numId w:val="4"/>
        </w:numPr>
        <w:autoSpaceDE w:val="0"/>
        <w:autoSpaceDN w:val="0"/>
        <w:adjustRightInd w:val="0"/>
        <w:snapToGrid w:val="0"/>
        <w:spacing w:line="360" w:lineRule="auto"/>
        <w:rPr>
          <w:rFonts w:hint="eastAsia" w:ascii="宋体" w:hAnsi="宋体" w:eastAsia="宋体" w:cs="宋体"/>
          <w:b/>
          <w:bCs/>
          <w:dstrike/>
          <w:color w:val="auto"/>
          <w:szCs w:val="21"/>
        </w:rPr>
      </w:pPr>
      <w:r>
        <w:rPr>
          <w:rFonts w:hint="eastAsia" w:ascii="宋体" w:hAnsi="宋体" w:eastAsia="宋体" w:cs="宋体"/>
          <w:color w:val="auto"/>
          <w:szCs w:val="21"/>
        </w:rPr>
        <w:t>报价信封的密封和标记：</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b/>
          <w:bCs/>
          <w:dstrike/>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TW"/>
        </w:rPr>
        <w:t>应将</w:t>
      </w:r>
      <w:r>
        <w:rPr>
          <w:rFonts w:hint="eastAsia" w:ascii="宋体" w:hAnsi="宋体" w:eastAsia="宋体" w:cs="宋体"/>
          <w:color w:val="auto"/>
          <w:kern w:val="0"/>
          <w:szCs w:val="21"/>
        </w:rPr>
        <w:t>竞争性磋商函</w:t>
      </w:r>
      <w:r>
        <w:rPr>
          <w:rFonts w:hint="eastAsia" w:ascii="宋体" w:hAnsi="宋体" w:eastAsia="宋体" w:cs="宋体"/>
          <w:color w:val="auto"/>
          <w:szCs w:val="21"/>
        </w:rPr>
        <w:t>和电子文件</w:t>
      </w:r>
      <w:r>
        <w:rPr>
          <w:rFonts w:hint="eastAsia" w:ascii="宋体" w:hAnsi="宋体" w:eastAsia="宋体" w:cs="宋体"/>
          <w:color w:val="auto"/>
          <w:szCs w:val="21"/>
          <w:lang w:eastAsia="zh-TW"/>
        </w:rPr>
        <w:t>单独</w:t>
      </w:r>
      <w:r>
        <w:rPr>
          <w:rFonts w:hint="eastAsia" w:ascii="宋体" w:hAnsi="宋体" w:eastAsia="宋体" w:cs="宋体"/>
          <w:color w:val="auto"/>
          <w:szCs w:val="21"/>
        </w:rPr>
        <w:t>一起</w:t>
      </w:r>
      <w:r>
        <w:rPr>
          <w:rFonts w:hint="eastAsia" w:ascii="宋体" w:hAnsi="宋体" w:eastAsia="宋体" w:cs="宋体"/>
          <w:color w:val="auto"/>
          <w:szCs w:val="21"/>
          <w:lang w:eastAsia="zh-TW"/>
        </w:rPr>
        <w:t>密封提交</w:t>
      </w:r>
      <w:r>
        <w:rPr>
          <w:rFonts w:hint="eastAsia" w:ascii="宋体" w:hAnsi="宋体" w:eastAsia="宋体" w:cs="宋体"/>
          <w:color w:val="auto"/>
          <w:szCs w:val="21"/>
        </w:rPr>
        <w:t>，</w:t>
      </w:r>
      <w:r>
        <w:rPr>
          <w:rFonts w:hint="eastAsia" w:ascii="宋体" w:hAnsi="宋体" w:eastAsia="宋体" w:cs="宋体"/>
          <w:color w:val="auto"/>
          <w:szCs w:val="21"/>
          <w:lang w:eastAsia="zh-TW"/>
        </w:rPr>
        <w:t>并在信封上标明</w:t>
      </w:r>
      <w:r>
        <w:rPr>
          <w:rFonts w:hint="eastAsia" w:ascii="宋体" w:hAnsi="宋体" w:eastAsia="宋体" w:cs="宋体"/>
          <w:color w:val="auto"/>
          <w:szCs w:val="21"/>
        </w:rPr>
        <w:t>“报价信封”的</w:t>
      </w:r>
      <w:r>
        <w:rPr>
          <w:rFonts w:hint="eastAsia" w:ascii="宋体" w:hAnsi="宋体" w:eastAsia="宋体" w:cs="宋体"/>
          <w:color w:val="auto"/>
          <w:szCs w:val="21"/>
          <w:lang w:eastAsia="zh-TW"/>
        </w:rPr>
        <w:t>字样。</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磋商响应文件递交及封装：</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（3）密封不严、册装不整的。</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正</w:t>
      </w:r>
      <w:r>
        <w:rPr>
          <w:rFonts w:hint="eastAsia" w:ascii="宋体" w:hAnsi="宋体" w:eastAsia="宋体" w:cs="宋体"/>
          <w:color w:val="auto"/>
          <w:szCs w:val="21"/>
          <w:lang w:eastAsia="zh-CN"/>
        </w:rPr>
        <w:t>、</w:t>
      </w:r>
      <w:r>
        <w:rPr>
          <w:rFonts w:hint="eastAsia" w:ascii="宋体" w:hAnsi="宋体" w:eastAsia="宋体" w:cs="宋体"/>
          <w:color w:val="auto"/>
          <w:szCs w:val="21"/>
        </w:rPr>
        <w:t>副本全部一起封装，报价信封单独封装，封套表面标明</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磋商投标文件</w:t>
      </w:r>
      <w:r>
        <w:rPr>
          <w:rFonts w:hint="eastAsia" w:ascii="宋体" w:hAnsi="宋体" w:eastAsia="宋体" w:cs="宋体"/>
          <w:color w:val="auto"/>
          <w:szCs w:val="21"/>
          <w:lang w:eastAsia="zh-CN"/>
        </w:rPr>
        <w:t>”</w:t>
      </w:r>
      <w:r>
        <w:rPr>
          <w:rFonts w:hint="eastAsia" w:ascii="宋体" w:hAnsi="宋体" w:eastAsia="宋体" w:cs="宋体"/>
          <w:color w:val="auto"/>
          <w:szCs w:val="21"/>
        </w:rPr>
        <w:t>或“报价信封”字样。在每一封套上按以下顺序标明如下字样，注明竞争性磋商邀请中指明的项目名称、项目编号和“在(竞争性磋商文件中规定的磋商响应文件递交截止时间)之前不得启封”的字样，如：</w:t>
      </w:r>
    </w:p>
    <w:tbl>
      <w:tblPr>
        <w:tblStyle w:val="88"/>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收件人名称：成致项目管理有限公司</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项目编号：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项目名称：</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包装内容：磋商响应文件/报价信封</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供应商名称：</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供应商地址：</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 系 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传真电话：</w:t>
            </w:r>
          </w:p>
          <w:p>
            <w:pPr>
              <w:tabs>
                <w:tab w:val="left" w:pos="851"/>
              </w:tabs>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在规定的磋商时间202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年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日前不得启封</w:t>
            </w:r>
          </w:p>
        </w:tc>
      </w:tr>
    </w:tbl>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TW"/>
        </w:rPr>
        <w:t>如果未按本须知</w:t>
      </w:r>
      <w:r>
        <w:rPr>
          <w:rFonts w:hint="eastAsia" w:ascii="宋体" w:hAnsi="宋体" w:eastAsia="宋体" w:cs="宋体"/>
          <w:color w:val="auto"/>
          <w:szCs w:val="21"/>
        </w:rPr>
        <w:t>上款</w:t>
      </w:r>
      <w:r>
        <w:rPr>
          <w:rFonts w:hint="eastAsia" w:ascii="宋体" w:hAnsi="宋体" w:eastAsia="宋体" w:cs="宋体"/>
          <w:color w:val="auto"/>
          <w:szCs w:val="21"/>
          <w:lang w:eastAsia="zh-TW"/>
        </w:rPr>
        <w:t>要求加写标记和</w:t>
      </w:r>
      <w:r>
        <w:rPr>
          <w:rFonts w:hint="eastAsia" w:ascii="宋体" w:hAnsi="宋体" w:eastAsia="宋体" w:cs="宋体"/>
          <w:color w:val="auto"/>
          <w:szCs w:val="21"/>
        </w:rPr>
        <w:t>密封，</w:t>
      </w:r>
      <w:r>
        <w:rPr>
          <w:rFonts w:hint="eastAsia" w:ascii="宋体" w:hAnsi="宋体" w:eastAsia="宋体" w:cs="宋体"/>
          <w:color w:val="auto"/>
          <w:szCs w:val="21"/>
          <w:lang w:eastAsia="zh-TW"/>
        </w:rPr>
        <w:t>政府采购代理机构对误投或提前启封概不负责</w:t>
      </w:r>
      <w:r>
        <w:rPr>
          <w:rFonts w:hint="eastAsia" w:ascii="宋体" w:hAnsi="宋体" w:eastAsia="宋体" w:cs="宋体"/>
          <w:color w:val="auto"/>
          <w:szCs w:val="21"/>
        </w:rPr>
        <w:t>。</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39" w:name="_Toc23629"/>
      <w:bookmarkStart w:id="240" w:name="_Toc31851"/>
      <w:bookmarkStart w:id="241" w:name="_Toc14184"/>
      <w:bookmarkStart w:id="242" w:name="_Toc322680366"/>
      <w:bookmarkStart w:id="243" w:name="_Toc320515089"/>
      <w:bookmarkStart w:id="244" w:name="_Toc315793476"/>
      <w:bookmarkStart w:id="245" w:name="_Toc320515040"/>
      <w:bookmarkStart w:id="246" w:name="_Toc323110999"/>
      <w:r>
        <w:rPr>
          <w:rFonts w:hint="eastAsia" w:ascii="宋体" w:hAnsi="宋体" w:eastAsia="宋体" w:cs="宋体"/>
          <w:b/>
          <w:bCs/>
          <w:color w:val="auto"/>
          <w:sz w:val="24"/>
        </w:rPr>
        <w:t>磋商响应文件递交截止期</w:t>
      </w:r>
      <w:bookmarkEnd w:id="239"/>
      <w:bookmarkEnd w:id="240"/>
      <w:bookmarkEnd w:id="241"/>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TW"/>
        </w:rPr>
        <w:t>应在不迟于</w:t>
      </w:r>
      <w:r>
        <w:rPr>
          <w:rFonts w:hint="eastAsia" w:ascii="宋体" w:hAnsi="宋体" w:eastAsia="宋体" w:cs="宋体"/>
          <w:color w:val="auto"/>
          <w:szCs w:val="21"/>
        </w:rPr>
        <w:t>竞争性磋商文件</w:t>
      </w:r>
      <w:r>
        <w:rPr>
          <w:rFonts w:hint="eastAsia" w:ascii="宋体" w:hAnsi="宋体" w:eastAsia="宋体" w:cs="宋体"/>
          <w:color w:val="auto"/>
          <w:szCs w:val="21"/>
          <w:lang w:eastAsia="zh-TW"/>
        </w:rPr>
        <w:t>规定的</w:t>
      </w:r>
      <w:r>
        <w:rPr>
          <w:rFonts w:hint="eastAsia" w:ascii="宋体" w:hAnsi="宋体" w:eastAsia="宋体" w:cs="宋体"/>
          <w:color w:val="auto"/>
          <w:szCs w:val="21"/>
        </w:rPr>
        <w:t>磋商响应文件递交截止时间</w:t>
      </w:r>
      <w:r>
        <w:rPr>
          <w:rFonts w:hint="eastAsia" w:ascii="宋体" w:hAnsi="宋体" w:eastAsia="宋体" w:cs="宋体"/>
          <w:color w:val="auto"/>
          <w:szCs w:val="21"/>
          <w:lang w:eastAsia="zh-TW"/>
        </w:rPr>
        <w:t>将</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响应文件递交至政府采购代理机构</w:t>
      </w:r>
      <w:r>
        <w:rPr>
          <w:rFonts w:hint="eastAsia" w:ascii="宋体" w:hAnsi="宋体" w:eastAsia="宋体" w:cs="宋体"/>
          <w:color w:val="auto"/>
          <w:szCs w:val="21"/>
        </w:rPr>
        <w:t>，</w:t>
      </w:r>
      <w:r>
        <w:rPr>
          <w:rFonts w:hint="eastAsia" w:ascii="宋体" w:hAnsi="宋体" w:eastAsia="宋体" w:cs="宋体"/>
          <w:color w:val="auto"/>
          <w:szCs w:val="21"/>
          <w:lang w:eastAsia="zh-TW"/>
        </w:rPr>
        <w:t>递交地点应是</w:t>
      </w:r>
      <w:r>
        <w:rPr>
          <w:rFonts w:hint="eastAsia" w:ascii="宋体" w:hAnsi="宋体" w:eastAsia="宋体" w:cs="宋体"/>
          <w:color w:val="auto"/>
          <w:szCs w:val="21"/>
        </w:rPr>
        <w:t>竞争性磋商文件</w:t>
      </w:r>
      <w:r>
        <w:rPr>
          <w:rFonts w:hint="eastAsia" w:ascii="宋体" w:hAnsi="宋体" w:eastAsia="宋体" w:cs="宋体"/>
          <w:color w:val="auto"/>
          <w:szCs w:val="21"/>
          <w:lang w:eastAsia="zh-TW"/>
        </w:rPr>
        <w:t>中指明的地址。</w:t>
      </w:r>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采购代理机构将拒绝在规定的</w:t>
      </w:r>
      <w:r>
        <w:rPr>
          <w:rFonts w:hint="eastAsia" w:ascii="宋体" w:hAnsi="宋体" w:eastAsia="宋体" w:cs="宋体"/>
          <w:color w:val="auto"/>
          <w:szCs w:val="21"/>
        </w:rPr>
        <w:t>磋商响应文件递交截止时间</w:t>
      </w:r>
      <w:r>
        <w:rPr>
          <w:rFonts w:hint="eastAsia" w:ascii="宋体" w:hAnsi="宋体" w:eastAsia="宋体" w:cs="宋体"/>
          <w:color w:val="auto"/>
          <w:szCs w:val="21"/>
          <w:lang w:eastAsia="zh-TW"/>
        </w:rPr>
        <w:t>后收到的任何</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w:t>
      </w:r>
    </w:p>
    <w:bookmarkEnd w:id="242"/>
    <w:bookmarkEnd w:id="243"/>
    <w:bookmarkEnd w:id="244"/>
    <w:bookmarkEnd w:id="245"/>
    <w:bookmarkEnd w:id="246"/>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47" w:name="_Toc475104498"/>
      <w:bookmarkStart w:id="248" w:name="_Toc2602"/>
      <w:bookmarkStart w:id="249" w:name="_Toc655"/>
      <w:bookmarkStart w:id="250" w:name="_Toc363737705"/>
      <w:bookmarkStart w:id="251" w:name="_Toc25521"/>
      <w:bookmarkStart w:id="252" w:name="_Toc323111000"/>
      <w:r>
        <w:rPr>
          <w:rFonts w:hint="eastAsia" w:ascii="宋体" w:hAnsi="宋体" w:eastAsia="宋体" w:cs="宋体"/>
          <w:b/>
          <w:bCs/>
          <w:color w:val="auto"/>
          <w:sz w:val="24"/>
        </w:rPr>
        <w:t>磋商响应文件的修改和撤回</w:t>
      </w:r>
      <w:bookmarkEnd w:id="247"/>
      <w:bookmarkEnd w:id="248"/>
      <w:bookmarkEnd w:id="249"/>
      <w:bookmarkEnd w:id="250"/>
      <w:bookmarkEnd w:id="251"/>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TW"/>
        </w:rPr>
        <w:t>在</w:t>
      </w:r>
      <w:r>
        <w:rPr>
          <w:rFonts w:hint="eastAsia" w:ascii="宋体" w:hAnsi="宋体" w:eastAsia="宋体" w:cs="宋体"/>
          <w:color w:val="auto"/>
        </w:rPr>
        <w:t>磋商响应文件递交截止时间</w:t>
      </w:r>
      <w:r>
        <w:rPr>
          <w:rFonts w:hint="eastAsia" w:ascii="宋体" w:hAnsi="宋体" w:eastAsia="宋体" w:cs="宋体"/>
          <w:color w:val="auto"/>
          <w:szCs w:val="21"/>
          <w:lang w:eastAsia="zh-TW"/>
        </w:rPr>
        <w:t>前，可以对所递交的</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响应文件进行补充、修改或者撤回，并书面通知</w:t>
      </w:r>
      <w:r>
        <w:rPr>
          <w:rFonts w:hint="eastAsia" w:ascii="宋体" w:hAnsi="宋体" w:eastAsia="宋体" w:cs="宋体"/>
          <w:color w:val="auto"/>
          <w:szCs w:val="21"/>
        </w:rPr>
        <w:t>采购代理机构</w:t>
      </w:r>
      <w:r>
        <w:rPr>
          <w:rFonts w:hint="eastAsia" w:ascii="宋体" w:hAnsi="宋体" w:eastAsia="宋体" w:cs="宋体"/>
          <w:color w:val="auto"/>
          <w:szCs w:val="21"/>
          <w:lang w:eastAsia="zh-TW"/>
        </w:rPr>
        <w:t>。补充、修改的内容应当按竞争性磋商文件要求签署、盖章</w:t>
      </w:r>
      <w:r>
        <w:rPr>
          <w:rFonts w:hint="eastAsia" w:ascii="宋体" w:hAnsi="宋体" w:eastAsia="宋体" w:cs="宋体"/>
          <w:color w:val="auto"/>
          <w:szCs w:val="21"/>
        </w:rPr>
        <w:t>和密封</w:t>
      </w:r>
      <w:r>
        <w:rPr>
          <w:rFonts w:hint="eastAsia" w:ascii="宋体" w:hAnsi="宋体" w:eastAsia="宋体" w:cs="宋体"/>
          <w:color w:val="auto"/>
          <w:szCs w:val="21"/>
          <w:lang w:eastAsia="zh-TW"/>
        </w:rPr>
        <w:t>，</w:t>
      </w:r>
      <w:r>
        <w:rPr>
          <w:rFonts w:hint="eastAsia" w:ascii="宋体" w:hAnsi="宋体" w:eastAsia="宋体" w:cs="宋体"/>
          <w:color w:val="auto"/>
          <w:szCs w:val="21"/>
        </w:rPr>
        <w:t>在磋商响应文件递交截止时间前密封好提交，</w:t>
      </w:r>
      <w:r>
        <w:rPr>
          <w:rFonts w:hint="eastAsia" w:ascii="宋体" w:hAnsi="宋体" w:eastAsia="宋体" w:cs="宋体"/>
          <w:color w:val="auto"/>
          <w:szCs w:val="21"/>
          <w:lang w:eastAsia="zh-TW"/>
        </w:rPr>
        <w:t>并作为</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响应文件的组成部分。补充、修改的内容与响应文件不一致的，以补充、修改的内容为准。在</w:t>
      </w:r>
      <w:r>
        <w:rPr>
          <w:rFonts w:hint="eastAsia" w:ascii="宋体" w:hAnsi="宋体" w:eastAsia="宋体" w:cs="宋体"/>
          <w:color w:val="auto"/>
        </w:rPr>
        <w:t>磋商响应文件递交截止时间</w:t>
      </w:r>
      <w:r>
        <w:rPr>
          <w:rFonts w:hint="eastAsia" w:ascii="宋体" w:hAnsi="宋体" w:eastAsia="宋体" w:cs="宋体"/>
          <w:color w:val="auto"/>
          <w:szCs w:val="21"/>
          <w:lang w:eastAsia="zh-TW"/>
        </w:rPr>
        <w:t>后，</w:t>
      </w:r>
      <w:r>
        <w:rPr>
          <w:rFonts w:hint="eastAsia" w:ascii="宋体" w:hAnsi="宋体" w:eastAsia="宋体" w:cs="宋体"/>
          <w:color w:val="auto"/>
          <w:szCs w:val="21"/>
        </w:rPr>
        <w:t>供应商</w:t>
      </w:r>
      <w:r>
        <w:rPr>
          <w:rFonts w:hint="eastAsia" w:ascii="宋体" w:hAnsi="宋体" w:eastAsia="宋体" w:cs="宋体"/>
          <w:color w:val="auto"/>
          <w:szCs w:val="21"/>
          <w:lang w:eastAsia="zh-TW"/>
        </w:rPr>
        <w:t>不得对其</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响应文件做任何修改和补充。</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hint="eastAsia" w:ascii="宋体" w:hAnsi="宋体" w:eastAsia="宋体" w:cs="宋体"/>
          <w:b/>
          <w:color w:val="auto"/>
          <w:sz w:val="28"/>
          <w:szCs w:val="28"/>
          <w:lang w:eastAsia="zh-TW"/>
        </w:rPr>
      </w:pPr>
      <w:bookmarkStart w:id="253" w:name="_Toc475104499"/>
      <w:bookmarkStart w:id="254" w:name="_Toc13750"/>
      <w:bookmarkStart w:id="255" w:name="_Toc6764"/>
      <w:bookmarkStart w:id="256" w:name="_Toc363737706"/>
      <w:bookmarkStart w:id="257" w:name="_Toc3399"/>
      <w:r>
        <w:rPr>
          <w:rFonts w:hint="eastAsia" w:ascii="宋体" w:hAnsi="宋体" w:eastAsia="宋体" w:cs="宋体"/>
          <w:b/>
          <w:color w:val="auto"/>
          <w:sz w:val="28"/>
          <w:szCs w:val="28"/>
        </w:rPr>
        <w:t>竞争性磋商流程</w:t>
      </w:r>
      <w:bookmarkEnd w:id="252"/>
      <w:bookmarkEnd w:id="253"/>
      <w:bookmarkEnd w:id="254"/>
      <w:bookmarkEnd w:id="255"/>
      <w:bookmarkEnd w:id="256"/>
      <w:bookmarkEnd w:id="257"/>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58" w:name="_Toc323111001"/>
      <w:bookmarkStart w:id="259" w:name="_Toc428"/>
      <w:bookmarkStart w:id="260" w:name="_Toc363737707"/>
      <w:bookmarkStart w:id="261" w:name="_Toc475104500"/>
      <w:bookmarkStart w:id="262" w:name="_Toc15634"/>
      <w:bookmarkStart w:id="263" w:name="_Toc23779"/>
      <w:r>
        <w:rPr>
          <w:rFonts w:hint="eastAsia" w:ascii="宋体" w:hAnsi="宋体" w:eastAsia="宋体" w:cs="宋体"/>
          <w:b/>
          <w:bCs/>
          <w:color w:val="auto"/>
          <w:sz w:val="24"/>
        </w:rPr>
        <w:t>磋商及抽取磋商顺序</w:t>
      </w:r>
      <w:bookmarkEnd w:id="258"/>
      <w:bookmarkEnd w:id="259"/>
      <w:bookmarkEnd w:id="260"/>
      <w:bookmarkEnd w:id="261"/>
      <w:bookmarkEnd w:id="262"/>
      <w:bookmarkEnd w:id="263"/>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磋商在竞争性磋商文件确定的</w:t>
      </w:r>
      <w:r>
        <w:rPr>
          <w:rFonts w:hint="eastAsia" w:ascii="宋体" w:hAnsi="宋体" w:eastAsia="宋体" w:cs="宋体"/>
          <w:color w:val="auto"/>
          <w:szCs w:val="21"/>
        </w:rPr>
        <w:t>磋商响应</w:t>
      </w:r>
      <w:r>
        <w:rPr>
          <w:rFonts w:hint="eastAsia" w:ascii="宋体" w:hAnsi="宋体" w:eastAsia="宋体" w:cs="宋体"/>
          <w:color w:val="auto"/>
          <w:szCs w:val="21"/>
          <w:lang w:eastAsia="zh-TW"/>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TW"/>
        </w:rPr>
        <w:t>磋商由</w:t>
      </w:r>
      <w:r>
        <w:rPr>
          <w:rFonts w:hint="eastAsia" w:ascii="宋体" w:hAnsi="宋体" w:eastAsia="宋体" w:cs="宋体"/>
          <w:color w:val="auto"/>
          <w:szCs w:val="21"/>
        </w:rPr>
        <w:t>采购人或</w:t>
      </w:r>
      <w:r>
        <w:rPr>
          <w:rFonts w:hint="eastAsia" w:ascii="宋体" w:hAnsi="宋体" w:eastAsia="宋体" w:cs="宋体"/>
          <w:color w:val="auto"/>
          <w:szCs w:val="21"/>
          <w:lang w:eastAsia="zh-TW"/>
        </w:rPr>
        <w:t>采购代理机构主持，</w:t>
      </w:r>
      <w:r>
        <w:rPr>
          <w:rFonts w:hint="eastAsia" w:ascii="宋体" w:hAnsi="宋体" w:eastAsia="宋体" w:cs="宋体"/>
          <w:b/>
          <w:color w:val="auto"/>
          <w:szCs w:val="21"/>
          <w:lang w:eastAsia="zh-TW"/>
        </w:rPr>
        <w:t>邀请所有供应商代表持本人身份证原件</w:t>
      </w:r>
      <w:r>
        <w:rPr>
          <w:rFonts w:hint="eastAsia" w:ascii="宋体" w:hAnsi="宋体" w:eastAsia="宋体" w:cs="宋体"/>
          <w:b/>
          <w:color w:val="auto"/>
          <w:szCs w:val="21"/>
        </w:rPr>
        <w:t>、法定代表人证明书、法定代表人授权书（如适用）参加。</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在竞争性磋商文件规定的</w:t>
      </w:r>
      <w:r>
        <w:rPr>
          <w:rFonts w:hint="eastAsia" w:ascii="宋体" w:hAnsi="宋体" w:eastAsia="宋体" w:cs="宋体"/>
          <w:color w:val="auto"/>
        </w:rPr>
        <w:t>磋商响应文件递交</w:t>
      </w:r>
      <w:r>
        <w:rPr>
          <w:rFonts w:hint="eastAsia" w:ascii="宋体" w:hAnsi="宋体" w:eastAsia="宋体" w:cs="宋体"/>
          <w:color w:val="auto"/>
          <w:szCs w:val="21"/>
        </w:rPr>
        <w:t>截止时间到点时，主持人应当宣布</w:t>
      </w:r>
      <w:r>
        <w:rPr>
          <w:rFonts w:hint="eastAsia" w:ascii="宋体" w:hAnsi="宋体" w:eastAsia="宋体" w:cs="宋体"/>
          <w:color w:val="auto"/>
        </w:rPr>
        <w:t>磋商响应文件递交截止时间</w:t>
      </w:r>
      <w:r>
        <w:rPr>
          <w:rFonts w:hint="eastAsia" w:ascii="宋体" w:hAnsi="宋体" w:eastAsia="宋体" w:cs="宋体"/>
          <w:color w:val="auto"/>
          <w:szCs w:val="21"/>
        </w:rPr>
        <w:t>已到，以后递交的磋商响应文件一律不予接受。</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主持人宣读磋商大会会场纪律。</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TW"/>
        </w:rPr>
        <w:t>在</w:t>
      </w:r>
      <w:r>
        <w:rPr>
          <w:rFonts w:hint="eastAsia" w:ascii="宋体" w:hAnsi="宋体" w:eastAsia="宋体" w:cs="宋体"/>
          <w:color w:val="auto"/>
          <w:szCs w:val="21"/>
        </w:rPr>
        <w:t>磋商响应文件递交截止时间</w:t>
      </w:r>
      <w:r>
        <w:rPr>
          <w:rFonts w:hint="eastAsia" w:ascii="宋体" w:hAnsi="宋体" w:eastAsia="宋体" w:cs="宋体"/>
          <w:color w:val="auto"/>
          <w:szCs w:val="21"/>
          <w:lang w:eastAsia="zh-TW"/>
        </w:rPr>
        <w:t>前收到的所有经检查合格的</w:t>
      </w:r>
      <w:r>
        <w:rPr>
          <w:rFonts w:hint="eastAsia" w:ascii="宋体" w:hAnsi="宋体" w:eastAsia="宋体" w:cs="宋体"/>
          <w:color w:val="auto"/>
          <w:szCs w:val="21"/>
        </w:rPr>
        <w:t>磋商响应文件</w:t>
      </w:r>
      <w:r>
        <w:rPr>
          <w:rFonts w:hint="eastAsia" w:ascii="宋体" w:hAnsi="宋体" w:eastAsia="宋体" w:cs="宋体"/>
          <w:color w:val="auto"/>
          <w:szCs w:val="21"/>
          <w:lang w:eastAsia="zh-TW"/>
        </w:rPr>
        <w:t>，磋商时，</w:t>
      </w:r>
      <w:r>
        <w:rPr>
          <w:rFonts w:hint="eastAsia" w:ascii="宋体" w:hAnsi="宋体" w:eastAsia="宋体" w:cs="宋体"/>
          <w:color w:val="auto"/>
          <w:kern w:val="0"/>
          <w:szCs w:val="21"/>
        </w:rPr>
        <w:t>由递交</w:t>
      </w:r>
      <w:r>
        <w:rPr>
          <w:rFonts w:hint="eastAsia" w:ascii="宋体" w:hAnsi="宋体" w:eastAsia="宋体" w:cs="宋体"/>
          <w:color w:val="auto"/>
          <w:szCs w:val="21"/>
        </w:rPr>
        <w:t>磋商</w:t>
      </w:r>
      <w:r>
        <w:rPr>
          <w:rFonts w:hint="eastAsia" w:ascii="宋体" w:hAnsi="宋体" w:eastAsia="宋体" w:cs="宋体"/>
          <w:color w:val="auto"/>
          <w:kern w:val="0"/>
          <w:szCs w:val="21"/>
        </w:rPr>
        <w:t>响应文件的前三名</w:t>
      </w:r>
      <w:r>
        <w:rPr>
          <w:rFonts w:hint="eastAsia" w:ascii="宋体" w:hAnsi="宋体" w:eastAsia="宋体" w:cs="宋体"/>
          <w:color w:val="auto"/>
          <w:szCs w:val="21"/>
        </w:rPr>
        <w:t>供应商</w:t>
      </w:r>
      <w:r>
        <w:rPr>
          <w:rFonts w:hint="eastAsia" w:ascii="宋体" w:hAnsi="宋体" w:eastAsia="宋体" w:cs="宋体"/>
          <w:color w:val="auto"/>
          <w:kern w:val="0"/>
          <w:szCs w:val="21"/>
        </w:rPr>
        <w:t>授权代表作为全体</w:t>
      </w:r>
      <w:r>
        <w:rPr>
          <w:rFonts w:hint="eastAsia" w:ascii="宋体" w:hAnsi="宋体" w:eastAsia="宋体" w:cs="宋体"/>
          <w:color w:val="auto"/>
          <w:szCs w:val="21"/>
        </w:rPr>
        <w:t>供应商</w:t>
      </w:r>
      <w:r>
        <w:rPr>
          <w:rFonts w:hint="eastAsia" w:ascii="宋体" w:hAnsi="宋体" w:eastAsia="宋体" w:cs="宋体"/>
          <w:color w:val="auto"/>
          <w:kern w:val="0"/>
          <w:szCs w:val="21"/>
        </w:rPr>
        <w:t>推选的代表就全部</w:t>
      </w:r>
      <w:r>
        <w:rPr>
          <w:rFonts w:hint="eastAsia" w:ascii="宋体" w:hAnsi="宋体" w:eastAsia="宋体" w:cs="宋体"/>
          <w:color w:val="auto"/>
          <w:szCs w:val="21"/>
        </w:rPr>
        <w:t>磋商</w:t>
      </w:r>
      <w:r>
        <w:rPr>
          <w:rFonts w:hint="eastAsia" w:ascii="宋体" w:hAnsi="宋体" w:eastAsia="宋体" w:cs="宋体"/>
          <w:color w:val="auto"/>
          <w:kern w:val="0"/>
          <w:szCs w:val="21"/>
        </w:rPr>
        <w:t>响应文件的密封情况进行检查，也可以由采购人委托的公证机构检查并公证；经确认无误后，由</w:t>
      </w:r>
      <w:r>
        <w:rPr>
          <w:rFonts w:hint="eastAsia" w:ascii="宋体" w:hAnsi="宋体" w:eastAsia="宋体" w:cs="宋体"/>
          <w:color w:val="auto"/>
          <w:szCs w:val="21"/>
        </w:rPr>
        <w:t>磋商</w:t>
      </w:r>
      <w:r>
        <w:rPr>
          <w:rFonts w:hint="eastAsia" w:ascii="宋体" w:hAnsi="宋体" w:eastAsia="宋体" w:cs="宋体"/>
          <w:color w:val="auto"/>
          <w:kern w:val="0"/>
          <w:szCs w:val="21"/>
        </w:rPr>
        <w:t>工作人员当众拆封，宣读</w:t>
      </w:r>
      <w:r>
        <w:rPr>
          <w:rFonts w:hint="eastAsia" w:ascii="宋体" w:hAnsi="宋体" w:eastAsia="宋体" w:cs="宋体"/>
          <w:color w:val="auto"/>
          <w:szCs w:val="21"/>
        </w:rPr>
        <w:t>供应商</w:t>
      </w:r>
      <w:r>
        <w:rPr>
          <w:rFonts w:hint="eastAsia" w:ascii="宋体" w:hAnsi="宋体" w:eastAsia="宋体" w:cs="宋体"/>
          <w:color w:val="auto"/>
          <w:kern w:val="0"/>
          <w:szCs w:val="21"/>
        </w:rPr>
        <w:t>名称、法定代表人证明书、法定代表人授权书（如适用）、磋商响应文件份数的其他主要内容</w:t>
      </w:r>
      <w:r>
        <w:rPr>
          <w:rFonts w:hint="eastAsia" w:ascii="宋体" w:hAnsi="宋体" w:eastAsia="宋体" w:cs="宋体"/>
          <w:color w:val="auto"/>
          <w:szCs w:val="21"/>
          <w:lang w:eastAsia="zh-TW"/>
        </w:rPr>
        <w:t>。</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TW"/>
        </w:rPr>
        <w:t>磋商会记录人应在磋商记录表上记录唱标内容，并当场公示。</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代理机构组织供应商抽签决定磋商顺序。</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64" w:name="_Toc1978"/>
      <w:bookmarkStart w:id="265" w:name="_Toc323111002"/>
      <w:bookmarkStart w:id="266" w:name="_Toc10231"/>
      <w:bookmarkStart w:id="267" w:name="_Toc475104501"/>
      <w:bookmarkStart w:id="268" w:name="_Toc363737708"/>
      <w:bookmarkStart w:id="269" w:name="_Toc21811"/>
      <w:r>
        <w:rPr>
          <w:rFonts w:hint="eastAsia" w:ascii="宋体" w:hAnsi="宋体" w:eastAsia="宋体" w:cs="宋体"/>
          <w:b/>
          <w:bCs/>
          <w:color w:val="auto"/>
          <w:sz w:val="24"/>
        </w:rPr>
        <w:t>磋商小组</w:t>
      </w:r>
      <w:bookmarkEnd w:id="264"/>
      <w:bookmarkEnd w:id="265"/>
      <w:bookmarkEnd w:id="266"/>
      <w:bookmarkEnd w:id="267"/>
      <w:bookmarkEnd w:id="268"/>
      <w:bookmarkEnd w:id="269"/>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bookmarkStart w:id="270" w:name="_Toc320515093"/>
      <w:bookmarkStart w:id="271" w:name="_Toc363737709"/>
      <w:bookmarkStart w:id="272" w:name="_Toc320515044"/>
      <w:bookmarkStart w:id="273" w:name="_Toc323111003"/>
      <w:bookmarkStart w:id="274" w:name="_Toc315793480"/>
      <w:bookmarkStart w:id="275" w:name="_Toc322680370"/>
      <w:bookmarkStart w:id="276" w:name="_Toc475104502"/>
      <w:r>
        <w:rPr>
          <w:rFonts w:hint="eastAsia" w:ascii="宋体" w:hAnsi="宋体" w:eastAsia="宋体" w:cs="宋体"/>
          <w:color w:val="auto"/>
          <w:szCs w:val="21"/>
        </w:rPr>
        <w:t>磋商由依照政府采购法律、法规、规章、政策的规定组建的磋商小组负责。磋商小组由采购人代表和评审专家组成，其中评审专家人数不得少于磋商小组成员总数的2/3。</w:t>
      </w:r>
      <w:r>
        <w:rPr>
          <w:rFonts w:hint="eastAsia" w:ascii="宋体" w:hAnsi="宋体"/>
          <w:color w:val="auto"/>
          <w:kern w:val="0"/>
          <w:szCs w:val="21"/>
        </w:rPr>
        <w:t>评审专家依法从专家库中随机抽取</w:t>
      </w:r>
      <w:r>
        <w:rPr>
          <w:rFonts w:hint="eastAsia" w:ascii="宋体" w:hAnsi="宋体" w:eastAsia="宋体" w:cs="宋体"/>
          <w:color w:val="auto"/>
          <w:szCs w:val="21"/>
        </w:rPr>
        <w:t>。</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磋商小组</w:t>
      </w:r>
      <w:r>
        <w:rPr>
          <w:rFonts w:hint="eastAsia" w:ascii="宋体" w:hAnsi="宋体" w:eastAsia="宋体" w:cs="宋体"/>
          <w:color w:val="auto"/>
          <w:szCs w:val="21"/>
          <w:lang w:eastAsia="zh-TW"/>
        </w:rPr>
        <w:t>名单在</w:t>
      </w:r>
      <w:r>
        <w:rPr>
          <w:rFonts w:hint="eastAsia" w:ascii="宋体" w:hAnsi="宋体" w:eastAsia="宋体" w:cs="宋体"/>
          <w:color w:val="auto"/>
          <w:szCs w:val="21"/>
        </w:rPr>
        <w:t>磋商</w:t>
      </w:r>
      <w:r>
        <w:rPr>
          <w:rFonts w:hint="eastAsia" w:ascii="宋体" w:hAnsi="宋体" w:eastAsia="宋体" w:cs="宋体"/>
          <w:color w:val="auto"/>
          <w:szCs w:val="21"/>
          <w:lang w:eastAsia="zh-TW"/>
        </w:rPr>
        <w:t>结果确定前严格保密。评审专家（含采购人代表）</w:t>
      </w:r>
      <w:r>
        <w:rPr>
          <w:rFonts w:hint="eastAsia" w:ascii="宋体" w:hAnsi="宋体" w:eastAsia="宋体" w:cs="宋体"/>
          <w:color w:val="auto"/>
          <w:szCs w:val="21"/>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eastAsia="宋体" w:cs="宋体"/>
          <w:color w:val="auto"/>
          <w:szCs w:val="21"/>
          <w:lang w:eastAsia="zh-TW"/>
        </w:rPr>
        <w:t xml:space="preserve">： </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本人、配偶或直系亲属3年内曾在参加该采购项目的供应商中任职（包括一般工作）或担任顾问，或参与该采购项目的供应商发生过法律纠纷；</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任职单位与采购人或参加该采购项目供应商存在行政隶属关系；</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曾经参加过该采购项目的进口产品或</w:t>
      </w:r>
      <w:r>
        <w:rPr>
          <w:rFonts w:hint="eastAsia" w:ascii="宋体" w:hAnsi="宋体" w:eastAsia="宋体" w:cs="宋体"/>
          <w:bCs/>
          <w:color w:val="auto"/>
          <w:szCs w:val="21"/>
        </w:rPr>
        <w:t>竞争性磋商文件</w:t>
      </w:r>
      <w:r>
        <w:rPr>
          <w:rFonts w:hint="eastAsia" w:ascii="宋体" w:hAnsi="宋体" w:eastAsia="宋体" w:cs="宋体"/>
          <w:color w:val="auto"/>
          <w:szCs w:val="21"/>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是参加该采购项目供应商的上级主管部门、控股或参股单位的工作人员、或与该供应商存在其他经济利益关系；</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磋商小组成员之间具有配偶、近亲属关系；</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同一单位的评审专家在同一项目磋商小组成员中超过两名；</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与供应商的法定代表人或者负责人有夫妻、直系血亲、三代以内旁系血亲或者近姻亲关系；</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其他可能影响评审工作公正性情形。</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77" w:name="_Toc18777"/>
      <w:bookmarkStart w:id="278" w:name="_Toc4631"/>
      <w:bookmarkStart w:id="279" w:name="_Toc10049"/>
      <w:r>
        <w:rPr>
          <w:rFonts w:hint="eastAsia" w:ascii="宋体" w:hAnsi="宋体" w:eastAsia="宋体" w:cs="宋体"/>
          <w:b/>
          <w:bCs/>
          <w:color w:val="auto"/>
          <w:sz w:val="24"/>
        </w:rPr>
        <w:t>磋商响应文件的</w:t>
      </w:r>
      <w:bookmarkEnd w:id="270"/>
      <w:bookmarkEnd w:id="271"/>
      <w:bookmarkEnd w:id="272"/>
      <w:bookmarkEnd w:id="273"/>
      <w:bookmarkEnd w:id="274"/>
      <w:bookmarkEnd w:id="275"/>
      <w:r>
        <w:rPr>
          <w:rFonts w:hint="eastAsia" w:ascii="宋体" w:hAnsi="宋体" w:eastAsia="宋体" w:cs="宋体"/>
          <w:b/>
          <w:bCs/>
          <w:color w:val="auto"/>
          <w:sz w:val="24"/>
        </w:rPr>
        <w:t>资格性审查及符合性检查</w:t>
      </w:r>
      <w:bookmarkEnd w:id="276"/>
      <w:bookmarkEnd w:id="277"/>
      <w:bookmarkEnd w:id="278"/>
      <w:bookmarkEnd w:id="279"/>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磋商小组</w:t>
      </w:r>
      <w:r>
        <w:rPr>
          <w:rFonts w:hint="eastAsia" w:ascii="宋体" w:hAnsi="宋体" w:eastAsia="宋体" w:cs="宋体"/>
          <w:color w:val="auto"/>
          <w:szCs w:val="21"/>
          <w:lang w:eastAsia="zh-TW"/>
        </w:rPr>
        <w:t>将根据</w:t>
      </w:r>
      <w:r>
        <w:rPr>
          <w:rFonts w:hint="eastAsia" w:ascii="宋体" w:hAnsi="宋体" w:eastAsia="宋体" w:cs="宋体"/>
          <w:color w:val="auto"/>
          <w:szCs w:val="21"/>
        </w:rPr>
        <w:t>竞争性磋商文件</w:t>
      </w:r>
      <w:r>
        <w:rPr>
          <w:rFonts w:hint="eastAsia" w:ascii="宋体" w:hAnsi="宋体" w:eastAsia="宋体" w:cs="宋体"/>
          <w:color w:val="auto"/>
          <w:szCs w:val="21"/>
          <w:lang w:eastAsia="zh-TW"/>
        </w:rPr>
        <w:t>的规定，对各</w:t>
      </w:r>
      <w:r>
        <w:rPr>
          <w:rFonts w:hint="eastAsia" w:ascii="宋体" w:hAnsi="宋体" w:eastAsia="宋体" w:cs="宋体"/>
          <w:color w:val="auto"/>
          <w:szCs w:val="21"/>
        </w:rPr>
        <w:t>磋商响应文件</w:t>
      </w:r>
      <w:r>
        <w:rPr>
          <w:rFonts w:hint="eastAsia" w:ascii="宋体" w:hAnsi="宋体" w:eastAsia="宋体" w:cs="宋体"/>
          <w:color w:val="auto"/>
          <w:szCs w:val="21"/>
          <w:lang w:eastAsia="zh-TW"/>
        </w:rPr>
        <w:t>进行资格性审查及符合性检查</w:t>
      </w:r>
      <w:r>
        <w:rPr>
          <w:rFonts w:hint="eastAsia" w:ascii="宋体" w:hAnsi="宋体" w:eastAsia="宋体" w:cs="宋体"/>
          <w:color w:val="auto"/>
          <w:szCs w:val="21"/>
        </w:rPr>
        <w:t>。磋商响应文件</w:t>
      </w:r>
      <w:r>
        <w:rPr>
          <w:rFonts w:hint="eastAsia" w:ascii="宋体" w:hAnsi="宋体" w:eastAsia="宋体" w:cs="宋体"/>
          <w:color w:val="auto"/>
          <w:szCs w:val="21"/>
          <w:lang w:eastAsia="zh-TW"/>
        </w:rPr>
        <w:t>出现下列情况之一时将被认定为</w:t>
      </w:r>
      <w:r>
        <w:rPr>
          <w:rFonts w:hint="eastAsia" w:ascii="宋体" w:hAnsi="宋体" w:eastAsia="宋体" w:cs="宋体"/>
          <w:color w:val="auto"/>
          <w:szCs w:val="21"/>
        </w:rPr>
        <w:t>采购响应无效</w:t>
      </w:r>
      <w:r>
        <w:rPr>
          <w:rFonts w:hint="eastAsia" w:ascii="宋体" w:hAnsi="宋体" w:eastAsia="宋体" w:cs="宋体"/>
          <w:color w:val="auto"/>
          <w:szCs w:val="21"/>
          <w:lang w:eastAsia="zh-TW"/>
        </w:rPr>
        <w:t>：</w:t>
      </w:r>
    </w:p>
    <w:p>
      <w:pPr>
        <w:autoSpaceDE w:val="0"/>
        <w:autoSpaceDN w:val="0"/>
        <w:adjustRightInd w:val="0"/>
        <w:snapToGrid w:val="0"/>
        <w:spacing w:line="360" w:lineRule="auto"/>
        <w:ind w:firstLine="525" w:firstLineChars="250"/>
        <w:jc w:val="left"/>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供应商</w:t>
      </w:r>
      <w:r>
        <w:rPr>
          <w:rFonts w:hint="eastAsia" w:ascii="宋体" w:hAnsi="宋体" w:eastAsia="宋体" w:cs="宋体"/>
          <w:bCs/>
          <w:color w:val="auto"/>
          <w:szCs w:val="21"/>
        </w:rPr>
        <w:t>不具备《中华人民共和国政府采购法》第二十二条规定条件；</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磋商</w:t>
      </w:r>
      <w:r>
        <w:rPr>
          <w:rFonts w:hint="eastAsia" w:ascii="宋体" w:hAnsi="宋体" w:eastAsia="宋体" w:cs="宋体"/>
          <w:color w:val="auto"/>
          <w:kern w:val="0"/>
          <w:szCs w:val="21"/>
        </w:rPr>
        <w:t>响应文件没有</w:t>
      </w:r>
      <w:r>
        <w:rPr>
          <w:rFonts w:hint="eastAsia" w:ascii="宋体" w:hAnsi="宋体" w:eastAsia="宋体" w:cs="宋体"/>
          <w:color w:val="auto"/>
          <w:szCs w:val="21"/>
        </w:rPr>
        <w:t>供应商</w:t>
      </w:r>
      <w:r>
        <w:rPr>
          <w:rFonts w:hint="eastAsia" w:ascii="宋体" w:hAnsi="宋体" w:eastAsia="宋体" w:cs="宋体"/>
          <w:color w:val="auto"/>
          <w:kern w:val="0"/>
          <w:szCs w:val="21"/>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供应商</w:t>
      </w:r>
      <w:r>
        <w:rPr>
          <w:rFonts w:hint="eastAsia" w:ascii="宋体" w:hAnsi="宋体" w:eastAsia="宋体" w:cs="宋体"/>
          <w:color w:val="auto"/>
          <w:kern w:val="0"/>
          <w:szCs w:val="21"/>
        </w:rPr>
        <w:t>不符合资格条件；</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zCs w:val="21"/>
        </w:rPr>
        <w:t>磋商</w:t>
      </w:r>
      <w:r>
        <w:rPr>
          <w:rFonts w:hint="eastAsia" w:ascii="宋体" w:hAnsi="宋体" w:eastAsia="宋体" w:cs="宋体"/>
          <w:color w:val="auto"/>
          <w:kern w:val="0"/>
          <w:szCs w:val="21"/>
        </w:rPr>
        <w:t>响应文件提供虚假材料；</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5）</w:t>
      </w:r>
      <w:r>
        <w:rPr>
          <w:rFonts w:hint="eastAsia" w:ascii="宋体" w:hAnsi="宋体" w:eastAsia="宋体" w:cs="宋体"/>
          <w:color w:val="auto"/>
          <w:szCs w:val="21"/>
        </w:rPr>
        <w:t>磋商</w:t>
      </w:r>
      <w:r>
        <w:rPr>
          <w:rFonts w:hint="eastAsia" w:ascii="宋体" w:hAnsi="宋体" w:eastAsia="宋体" w:cs="宋体"/>
          <w:color w:val="auto"/>
          <w:kern w:val="0"/>
          <w:szCs w:val="21"/>
        </w:rPr>
        <w:t>响应文件未完全满足竞争性磋商文件中带“★”号的条款或指标；</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zCs w:val="21"/>
        </w:rPr>
        <w:t>供应商</w:t>
      </w:r>
      <w:r>
        <w:rPr>
          <w:rFonts w:hint="eastAsia" w:ascii="宋体" w:hAnsi="宋体" w:eastAsia="宋体" w:cs="宋体"/>
          <w:color w:val="auto"/>
          <w:kern w:val="0"/>
          <w:szCs w:val="21"/>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hint="eastAsia" w:ascii="宋体" w:hAnsi="宋体" w:eastAsia="宋体" w:cs="宋体"/>
          <w:bCs/>
          <w:color w:val="auto"/>
          <w:szCs w:val="21"/>
        </w:rPr>
      </w:pPr>
      <w:r>
        <w:rPr>
          <w:rFonts w:hint="eastAsia" w:ascii="宋体" w:hAnsi="宋体" w:eastAsia="宋体" w:cs="宋体"/>
          <w:bCs/>
          <w:color w:val="auto"/>
          <w:szCs w:val="21"/>
        </w:rPr>
        <w:t>7）</w:t>
      </w:r>
      <w:r>
        <w:rPr>
          <w:rFonts w:hint="eastAsia" w:ascii="宋体" w:hAnsi="宋体" w:eastAsia="宋体" w:cs="宋体"/>
          <w:color w:val="auto"/>
          <w:kern w:val="0"/>
          <w:szCs w:val="21"/>
        </w:rPr>
        <w:t>除磋商文件中另有规定外，本次采购不接受选择性报价及备选方案。每次报价固定唯一，且没有超采购项目预算金额；</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8）最终响应报价不确定或超过竞争性磋商文件中列出的采购预算（最高限价）的；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9) 恶意竞争低于成本价的</w:t>
      </w:r>
      <w:r>
        <w:rPr>
          <w:rFonts w:hint="eastAsia" w:ascii="宋体" w:hAnsi="宋体" w:cs="宋体"/>
          <w:color w:val="auto"/>
          <w:kern w:val="0"/>
          <w:szCs w:val="21"/>
          <w:lang w:eastAsia="zh-CN"/>
        </w:rPr>
        <w:t>（</w:t>
      </w:r>
      <w:r>
        <w:rPr>
          <w:rFonts w:hint="eastAsia" w:ascii="宋体" w:hAnsi="宋体" w:cs="宋体"/>
          <w:color w:val="auto"/>
          <w:szCs w:val="21"/>
          <w:highlight w:val="none"/>
          <w:lang w:eastAsia="zh-CN"/>
        </w:rPr>
        <w:t>投标人有效报价不得低于招标控制价的</w:t>
      </w:r>
      <w:r>
        <w:rPr>
          <w:rFonts w:hint="eastAsia" w:ascii="宋体" w:hAnsi="宋体" w:cs="宋体"/>
          <w:color w:val="auto"/>
          <w:szCs w:val="21"/>
          <w:highlight w:val="none"/>
          <w:lang w:val="en-US" w:eastAsia="zh-CN"/>
        </w:rPr>
        <w:t>20%</w:t>
      </w:r>
      <w:r>
        <w:rPr>
          <w:rFonts w:hint="eastAsia" w:ascii="宋体" w:hAnsi="宋体" w:cs="宋体"/>
          <w:color w:val="auto"/>
          <w:kern w:val="0"/>
          <w:szCs w:val="21"/>
          <w:lang w:eastAsia="zh-CN"/>
        </w:rPr>
        <w:t>）</w:t>
      </w:r>
      <w:r>
        <w:rPr>
          <w:rFonts w:hint="eastAsia" w:ascii="宋体" w:hAnsi="宋体" w:eastAsia="宋体" w:cs="宋体"/>
          <w:color w:val="auto"/>
          <w:kern w:val="0"/>
          <w:szCs w:val="21"/>
        </w:rPr>
        <w:t>；</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bCs/>
          <w:color w:val="auto"/>
          <w:szCs w:val="21"/>
        </w:rPr>
        <w:t>10）</w:t>
      </w:r>
      <w:r>
        <w:rPr>
          <w:rFonts w:hint="eastAsia" w:ascii="宋体" w:hAnsi="宋体" w:eastAsia="宋体" w:cs="宋体"/>
          <w:color w:val="auto"/>
          <w:szCs w:val="21"/>
        </w:rPr>
        <w:t>磋商</w:t>
      </w:r>
      <w:r>
        <w:rPr>
          <w:rFonts w:hint="eastAsia" w:ascii="宋体" w:hAnsi="宋体" w:eastAsia="宋体" w:cs="宋体"/>
          <w:color w:val="auto"/>
          <w:kern w:val="0"/>
          <w:szCs w:val="21"/>
        </w:rPr>
        <w:t>期间，</w:t>
      </w:r>
      <w:r>
        <w:rPr>
          <w:rFonts w:hint="eastAsia" w:ascii="宋体" w:hAnsi="宋体" w:eastAsia="宋体" w:cs="宋体"/>
          <w:color w:val="auto"/>
          <w:szCs w:val="21"/>
        </w:rPr>
        <w:t>供应商</w:t>
      </w:r>
      <w:r>
        <w:rPr>
          <w:rFonts w:hint="eastAsia" w:ascii="宋体" w:hAnsi="宋体" w:eastAsia="宋体" w:cs="宋体"/>
          <w:color w:val="auto"/>
          <w:kern w:val="0"/>
          <w:szCs w:val="21"/>
        </w:rPr>
        <w:t>没有按</w:t>
      </w:r>
      <w:r>
        <w:rPr>
          <w:rFonts w:hint="eastAsia" w:ascii="宋体" w:hAnsi="宋体" w:eastAsia="宋体" w:cs="宋体"/>
          <w:color w:val="auto"/>
          <w:szCs w:val="21"/>
        </w:rPr>
        <w:t>磋商</w:t>
      </w:r>
      <w:r>
        <w:rPr>
          <w:rFonts w:hint="eastAsia" w:ascii="宋体" w:hAnsi="宋体" w:eastAsia="宋体" w:cs="宋体"/>
          <w:color w:val="auto"/>
          <w:kern w:val="0"/>
          <w:szCs w:val="21"/>
        </w:rPr>
        <w:t>小组的要求提交经授权代表签字的澄清、说明、补正或改变了</w:t>
      </w:r>
      <w:r>
        <w:rPr>
          <w:rFonts w:hint="eastAsia" w:ascii="宋体" w:hAnsi="宋体" w:eastAsia="宋体" w:cs="宋体"/>
          <w:color w:val="auto"/>
          <w:szCs w:val="21"/>
        </w:rPr>
        <w:t>磋商</w:t>
      </w:r>
      <w:r>
        <w:rPr>
          <w:rFonts w:hint="eastAsia" w:ascii="宋体" w:hAnsi="宋体" w:eastAsia="宋体" w:cs="宋体"/>
          <w:color w:val="auto"/>
          <w:kern w:val="0"/>
          <w:szCs w:val="21"/>
        </w:rPr>
        <w:t>响应文件的实质性内容；</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11）</w:t>
      </w:r>
      <w:r>
        <w:rPr>
          <w:rFonts w:hint="eastAsia" w:ascii="宋体" w:hAnsi="宋体" w:eastAsia="宋体" w:cs="宋体"/>
          <w:color w:val="auto"/>
          <w:szCs w:val="21"/>
        </w:rPr>
        <w:t>供应商</w:t>
      </w:r>
      <w:r>
        <w:rPr>
          <w:rFonts w:hint="eastAsia" w:ascii="宋体" w:hAnsi="宋体" w:eastAsia="宋体" w:cs="宋体"/>
          <w:color w:val="auto"/>
          <w:kern w:val="0"/>
          <w:szCs w:val="21"/>
        </w:rPr>
        <w:t>对采购人、采购代理机构、</w:t>
      </w:r>
      <w:r>
        <w:rPr>
          <w:rFonts w:hint="eastAsia" w:ascii="宋体" w:hAnsi="宋体" w:eastAsia="宋体" w:cs="宋体"/>
          <w:color w:val="auto"/>
          <w:szCs w:val="21"/>
        </w:rPr>
        <w:t>磋商</w:t>
      </w:r>
      <w:r>
        <w:rPr>
          <w:rFonts w:hint="eastAsia" w:ascii="宋体" w:hAnsi="宋体" w:eastAsia="宋体" w:cs="宋体"/>
          <w:color w:val="auto"/>
          <w:kern w:val="0"/>
          <w:szCs w:val="21"/>
        </w:rPr>
        <w:t>小组及其工作人员施加影响，有碍公平、公正；</w:t>
      </w:r>
    </w:p>
    <w:p>
      <w:pPr>
        <w:autoSpaceDE w:val="0"/>
        <w:autoSpaceDN w:val="0"/>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12）法律、法规、规章规定属于报价无效的其他情形。</w:t>
      </w:r>
    </w:p>
    <w:p>
      <w:pPr>
        <w:spacing w:line="360" w:lineRule="auto"/>
        <w:ind w:left="420" w:leftChars="200" w:firstLine="315" w:firstLineChars="150"/>
        <w:jc w:val="left"/>
        <w:rPr>
          <w:rFonts w:hint="eastAsia" w:ascii="宋体" w:hAnsi="宋体" w:eastAsia="宋体" w:cs="宋体"/>
          <w:color w:val="auto"/>
          <w:szCs w:val="21"/>
        </w:rPr>
      </w:pPr>
      <w:bookmarkStart w:id="280" w:name="_Toc323111004"/>
      <w:bookmarkStart w:id="281" w:name="_Toc363737710"/>
      <w:bookmarkStart w:id="282" w:name="_Toc475104503"/>
      <w:bookmarkStart w:id="283" w:name="_Toc351716665"/>
      <w:bookmarkStart w:id="284" w:name="_Toc322680372"/>
      <w:bookmarkStart w:id="285" w:name="_Toc320515047"/>
      <w:bookmarkStart w:id="286" w:name="_Toc323111005"/>
      <w:bookmarkStart w:id="287" w:name="_Toc315793483"/>
      <w:bookmarkStart w:id="288" w:name="_Toc320515096"/>
      <w:r>
        <w:rPr>
          <w:rFonts w:hint="eastAsia" w:ascii="宋体" w:hAnsi="宋体" w:eastAsia="宋体" w:cs="宋体"/>
          <w:color w:val="auto"/>
          <w:szCs w:val="21"/>
        </w:rPr>
        <w:t>磋商</w:t>
      </w:r>
      <w:r>
        <w:rPr>
          <w:rFonts w:hint="eastAsia" w:ascii="宋体" w:hAnsi="宋体" w:eastAsia="宋体" w:cs="宋体"/>
          <w:bCs/>
          <w:color w:val="auto"/>
          <w:szCs w:val="21"/>
        </w:rPr>
        <w:t>小组进行资格性、符合性检查时发现</w:t>
      </w:r>
      <w:r>
        <w:rPr>
          <w:rFonts w:hint="eastAsia" w:ascii="宋体" w:hAnsi="宋体" w:eastAsia="宋体" w:cs="宋体"/>
          <w:color w:val="auto"/>
          <w:szCs w:val="21"/>
        </w:rPr>
        <w:t>供应商</w:t>
      </w:r>
      <w:r>
        <w:rPr>
          <w:rFonts w:hint="eastAsia" w:ascii="宋体" w:hAnsi="宋体" w:eastAsia="宋体" w:cs="宋体"/>
          <w:bCs/>
          <w:color w:val="auto"/>
          <w:szCs w:val="21"/>
        </w:rPr>
        <w:t>有实质性不响应</w:t>
      </w:r>
      <w:r>
        <w:rPr>
          <w:rFonts w:hint="eastAsia" w:ascii="宋体" w:hAnsi="宋体" w:eastAsia="宋体" w:cs="宋体"/>
          <w:color w:val="auto"/>
          <w:kern w:val="0"/>
          <w:szCs w:val="21"/>
        </w:rPr>
        <w:t>竞争性磋商文件</w:t>
      </w:r>
      <w:r>
        <w:rPr>
          <w:rFonts w:hint="eastAsia" w:ascii="宋体" w:hAnsi="宋体" w:eastAsia="宋体" w:cs="宋体"/>
          <w:bCs/>
          <w:color w:val="auto"/>
          <w:szCs w:val="21"/>
        </w:rPr>
        <w:t>的，即现场告知</w:t>
      </w:r>
      <w:r>
        <w:rPr>
          <w:rFonts w:hint="eastAsia" w:ascii="宋体" w:hAnsi="宋体" w:eastAsia="宋体" w:cs="宋体"/>
          <w:color w:val="auto"/>
          <w:szCs w:val="21"/>
        </w:rPr>
        <w:t>供应商</w:t>
      </w:r>
      <w:r>
        <w:rPr>
          <w:rFonts w:hint="eastAsia" w:ascii="宋体" w:hAnsi="宋体" w:eastAsia="宋体" w:cs="宋体"/>
          <w:bCs/>
          <w:color w:val="auto"/>
          <w:szCs w:val="21"/>
        </w:rPr>
        <w:t>并说明理由。如其</w:t>
      </w:r>
      <w:r>
        <w:rPr>
          <w:rFonts w:hint="eastAsia" w:ascii="宋体" w:hAnsi="宋体" w:eastAsia="宋体" w:cs="宋体"/>
          <w:color w:val="auto"/>
          <w:szCs w:val="21"/>
        </w:rPr>
        <w:t>磋商</w:t>
      </w:r>
      <w:r>
        <w:rPr>
          <w:rFonts w:hint="eastAsia" w:ascii="宋体" w:hAnsi="宋体" w:eastAsia="宋体" w:cs="宋体"/>
          <w:bCs/>
          <w:color w:val="auto"/>
          <w:szCs w:val="21"/>
        </w:rPr>
        <w:t>响应文件</w:t>
      </w:r>
      <w:r>
        <w:rPr>
          <w:rFonts w:hint="eastAsia" w:ascii="宋体" w:hAnsi="宋体" w:eastAsia="宋体" w:cs="宋体"/>
          <w:color w:val="auto"/>
          <w:szCs w:val="21"/>
          <w:lang w:eastAsia="zh-TW"/>
        </w:rPr>
        <w:t>被认定为无效</w:t>
      </w:r>
      <w:r>
        <w:rPr>
          <w:rFonts w:hint="eastAsia" w:ascii="宋体" w:hAnsi="宋体" w:eastAsia="宋体" w:cs="宋体"/>
          <w:color w:val="auto"/>
          <w:szCs w:val="21"/>
        </w:rPr>
        <w:t>报价</w:t>
      </w:r>
      <w:r>
        <w:rPr>
          <w:rFonts w:hint="eastAsia" w:ascii="宋体" w:hAnsi="宋体" w:eastAsia="宋体" w:cs="宋体"/>
          <w:bCs/>
          <w:color w:val="auto"/>
          <w:szCs w:val="21"/>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89" w:name="_Toc31522"/>
      <w:bookmarkStart w:id="290" w:name="_Toc24785"/>
      <w:bookmarkStart w:id="291" w:name="_Toc20646"/>
      <w:r>
        <w:rPr>
          <w:rFonts w:hint="eastAsia" w:ascii="宋体" w:hAnsi="宋体" w:eastAsia="宋体" w:cs="宋体"/>
          <w:b/>
          <w:bCs/>
          <w:color w:val="auto"/>
          <w:sz w:val="24"/>
        </w:rPr>
        <w:t>磋商响应文件的详细评审</w:t>
      </w:r>
      <w:bookmarkEnd w:id="280"/>
      <w:r>
        <w:rPr>
          <w:rFonts w:hint="eastAsia" w:ascii="宋体" w:hAnsi="宋体" w:eastAsia="宋体" w:cs="宋体"/>
          <w:b/>
          <w:bCs/>
          <w:color w:val="auto"/>
          <w:sz w:val="24"/>
        </w:rPr>
        <w:t>及谈判</w:t>
      </w:r>
      <w:bookmarkEnd w:id="281"/>
      <w:bookmarkEnd w:id="282"/>
      <w:bookmarkEnd w:id="283"/>
      <w:bookmarkEnd w:id="289"/>
      <w:bookmarkEnd w:id="290"/>
      <w:bookmarkEnd w:id="291"/>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bookmarkStart w:id="292" w:name="_Toc475104505"/>
      <w:bookmarkStart w:id="293" w:name="_Toc363737712"/>
      <w:r>
        <w:rPr>
          <w:rFonts w:hint="eastAsia" w:ascii="宋体" w:hAnsi="宋体" w:eastAsia="宋体" w:cs="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磋商小组将对供应商磋商响应文件进行审查，审查磋商响应文件是否对竞争性磋商文件作出实质性的响应。对未作出实质性响应的供应商应实行现场告知，以让其核证、澄清事实。</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小组所有成员集中将逐一与通过符合性审（检）查的供应商（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供应商的服务、价格和其他任何信息。</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对</w:t>
      </w:r>
      <w:r>
        <w:rPr>
          <w:rFonts w:hint="eastAsia" w:ascii="宋体" w:hAnsi="宋体" w:eastAsia="宋体" w:cs="宋体"/>
          <w:color w:val="auto"/>
          <w:szCs w:val="21"/>
        </w:rPr>
        <w:t>磋商</w:t>
      </w:r>
      <w:r>
        <w:rPr>
          <w:rFonts w:hint="eastAsia" w:ascii="宋体" w:hAnsi="宋体" w:eastAsia="宋体" w:cs="宋体"/>
          <w:color w:val="auto"/>
          <w:szCs w:val="21"/>
          <w:lang w:eastAsia="zh-TW"/>
        </w:rPr>
        <w:t>文件作出的实质性变动是</w:t>
      </w:r>
      <w:r>
        <w:rPr>
          <w:rFonts w:hint="eastAsia" w:ascii="宋体" w:hAnsi="宋体" w:eastAsia="宋体" w:cs="宋体"/>
          <w:color w:val="auto"/>
          <w:szCs w:val="21"/>
        </w:rPr>
        <w:t>磋商</w:t>
      </w:r>
      <w:r>
        <w:rPr>
          <w:rFonts w:hint="eastAsia" w:ascii="宋体" w:hAnsi="宋体" w:eastAsia="宋体" w:cs="宋体"/>
          <w:color w:val="auto"/>
          <w:szCs w:val="21"/>
          <w:lang w:eastAsia="zh-TW"/>
        </w:rPr>
        <w:t>文件的有效组成部分，</w:t>
      </w:r>
      <w:r>
        <w:rPr>
          <w:rFonts w:hint="eastAsia" w:ascii="宋体" w:hAnsi="宋体" w:eastAsia="宋体" w:cs="宋体"/>
          <w:color w:val="auto"/>
          <w:szCs w:val="21"/>
        </w:rPr>
        <w:t>磋商</w:t>
      </w:r>
      <w:r>
        <w:rPr>
          <w:rFonts w:hint="eastAsia" w:ascii="宋体" w:hAnsi="宋体" w:eastAsia="宋体" w:cs="宋体"/>
          <w:color w:val="auto"/>
          <w:szCs w:val="21"/>
          <w:lang w:eastAsia="zh-TW"/>
        </w:rPr>
        <w:t>小组应当及时以书面形式同时通知所有参加</w:t>
      </w:r>
      <w:r>
        <w:rPr>
          <w:rFonts w:hint="eastAsia" w:ascii="宋体" w:hAnsi="宋体" w:eastAsia="宋体" w:cs="宋体"/>
          <w:color w:val="auto"/>
          <w:szCs w:val="21"/>
        </w:rPr>
        <w:t>磋商</w:t>
      </w:r>
      <w:r>
        <w:rPr>
          <w:rFonts w:hint="eastAsia" w:ascii="宋体" w:hAnsi="宋体" w:eastAsia="宋体" w:cs="宋体"/>
          <w:color w:val="auto"/>
          <w:szCs w:val="21"/>
          <w:lang w:eastAsia="zh-TW"/>
        </w:rPr>
        <w:t>的</w:t>
      </w:r>
      <w:r>
        <w:rPr>
          <w:rFonts w:hint="eastAsia" w:ascii="宋体" w:hAnsi="宋体" w:eastAsia="宋体" w:cs="宋体"/>
          <w:color w:val="auto"/>
          <w:szCs w:val="21"/>
        </w:rPr>
        <w:t>报价人</w:t>
      </w:r>
      <w:r>
        <w:rPr>
          <w:rFonts w:hint="eastAsia" w:ascii="宋体" w:hAnsi="宋体" w:eastAsia="宋体" w:cs="宋体"/>
          <w:color w:val="auto"/>
          <w:szCs w:val="21"/>
          <w:lang w:eastAsia="zh-TW"/>
        </w:rPr>
        <w:t>。</w:t>
      </w:r>
    </w:p>
    <w:p>
      <w:pPr>
        <w:numPr>
          <w:ilvl w:val="2"/>
          <w:numId w:val="4"/>
        </w:numPr>
        <w:tabs>
          <w:tab w:val="left" w:pos="851"/>
        </w:tabs>
        <w:autoSpaceDE w:val="0"/>
        <w:autoSpaceDN w:val="0"/>
        <w:adjustRightInd w:val="0"/>
        <w:snapToGrid w:val="0"/>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报价人</w:t>
      </w:r>
      <w:r>
        <w:rPr>
          <w:rFonts w:hint="eastAsia" w:ascii="宋体" w:hAnsi="宋体" w:eastAsia="宋体" w:cs="宋体"/>
          <w:color w:val="auto"/>
          <w:szCs w:val="21"/>
          <w:lang w:eastAsia="zh-TW"/>
        </w:rPr>
        <w:t>应当按照</w:t>
      </w:r>
      <w:r>
        <w:rPr>
          <w:rFonts w:hint="eastAsia" w:ascii="宋体" w:hAnsi="宋体" w:eastAsia="宋体" w:cs="宋体"/>
          <w:color w:val="auto"/>
          <w:szCs w:val="21"/>
        </w:rPr>
        <w:t>磋商</w:t>
      </w:r>
      <w:r>
        <w:rPr>
          <w:rFonts w:hint="eastAsia" w:ascii="宋体" w:hAnsi="宋体" w:eastAsia="宋体" w:cs="宋体"/>
          <w:color w:val="auto"/>
          <w:szCs w:val="21"/>
          <w:lang w:eastAsia="zh-TW"/>
        </w:rPr>
        <w:t>文件的变动情况和</w:t>
      </w:r>
      <w:r>
        <w:rPr>
          <w:rFonts w:hint="eastAsia" w:ascii="宋体" w:hAnsi="宋体" w:eastAsia="宋体" w:cs="宋体"/>
          <w:color w:val="auto"/>
          <w:szCs w:val="21"/>
        </w:rPr>
        <w:t>磋商</w:t>
      </w:r>
      <w:r>
        <w:rPr>
          <w:rFonts w:hint="eastAsia" w:ascii="宋体" w:hAnsi="宋体" w:eastAsia="宋体" w:cs="宋体"/>
          <w:color w:val="auto"/>
          <w:szCs w:val="21"/>
          <w:lang w:eastAsia="zh-TW"/>
        </w:rPr>
        <w:t>小组的要求重新提交响应文件，并由其法定代表人或授权代表签字或者加盖公章。由授权代表签字的，应当附法定代表人授权书。</w:t>
      </w:r>
      <w:r>
        <w:rPr>
          <w:rFonts w:hint="eastAsia" w:ascii="宋体" w:hAnsi="宋体" w:eastAsia="宋体" w:cs="宋体"/>
          <w:color w:val="auto"/>
          <w:szCs w:val="21"/>
        </w:rPr>
        <w:t>报价人</w:t>
      </w:r>
      <w:r>
        <w:rPr>
          <w:rFonts w:hint="eastAsia" w:ascii="宋体" w:hAnsi="宋体" w:eastAsia="宋体" w:cs="宋体"/>
          <w:color w:val="auto"/>
          <w:szCs w:val="21"/>
          <w:lang w:eastAsia="zh-TW"/>
        </w:rPr>
        <w:t>为自然人的，应当由本人签字并附身份证明。</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竞争性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磋商小组在谈判结束后，要求所有参加磋商的供应商在规定的时间内集中密封提交最后报价（最后报价时间视磋商进程由磋商小组决定）及作出有关承诺。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在磋商过程中，供应商提交的澄清文件和最后报价文件，由供应商法人代表或其授权代表签字或加盖公章后生效。供应商为自然人的，应当由本人签字并附身份证明。供应商应受其约束。</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经磋商确定最终采购需求和提交最后报价的供应商后，由磋商小组采用综合评分法对提交最后报价的供应商的响应文件和最后报价进行综合评分。</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294" w:name="_Toc475104504"/>
      <w:bookmarkStart w:id="295" w:name="_Toc363737711"/>
      <w:bookmarkStart w:id="296" w:name="_Toc9218"/>
      <w:bookmarkStart w:id="297" w:name="_Toc884"/>
      <w:bookmarkStart w:id="298" w:name="_Toc351716666"/>
      <w:bookmarkStart w:id="299" w:name="_Toc27976"/>
      <w:r>
        <w:rPr>
          <w:rFonts w:hint="eastAsia" w:ascii="宋体" w:hAnsi="宋体" w:eastAsia="宋体" w:cs="宋体"/>
          <w:b/>
          <w:bCs/>
          <w:color w:val="auto"/>
          <w:sz w:val="24"/>
        </w:rPr>
        <w:t>评定成交的评审方法和标准</w:t>
      </w:r>
      <w:bookmarkEnd w:id="294"/>
      <w:bookmarkEnd w:id="295"/>
      <w:bookmarkEnd w:id="296"/>
      <w:bookmarkEnd w:id="297"/>
      <w:bookmarkEnd w:id="298"/>
      <w:bookmarkEnd w:id="299"/>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竞争性磋商</w:t>
      </w:r>
      <w:r>
        <w:rPr>
          <w:rFonts w:hint="eastAsia" w:ascii="宋体" w:hAnsi="宋体" w:eastAsia="宋体" w:cs="宋体"/>
          <w:color w:val="auto"/>
        </w:rPr>
        <w:t>报告应当由磋商小组全体人员签字认可。磋商小组成员对</w:t>
      </w:r>
      <w:r>
        <w:rPr>
          <w:rFonts w:hint="eastAsia" w:ascii="宋体" w:hAnsi="宋体" w:eastAsia="宋体" w:cs="宋体"/>
          <w:color w:val="auto"/>
          <w:szCs w:val="21"/>
        </w:rPr>
        <w:t>竞争性磋商</w:t>
      </w:r>
      <w:r>
        <w:rPr>
          <w:rFonts w:hint="eastAsia" w:ascii="宋体" w:hAnsi="宋体" w:eastAsia="宋体" w:cs="宋体"/>
          <w:color w:val="auto"/>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eastAsia="宋体" w:cs="宋体"/>
          <w:color w:val="auto"/>
          <w:szCs w:val="21"/>
        </w:rPr>
        <w:t>竞争性磋商</w:t>
      </w:r>
      <w:r>
        <w:rPr>
          <w:rFonts w:hint="eastAsia" w:ascii="宋体" w:hAnsi="宋体" w:eastAsia="宋体" w:cs="宋体"/>
          <w:color w:val="auto"/>
        </w:rPr>
        <w:t>报告。</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综合评分=技术得分+商务得分+价格得分。</w:t>
      </w:r>
    </w:p>
    <w:p>
      <w:pPr>
        <w:numPr>
          <w:ilvl w:val="1"/>
          <w:numId w:val="4"/>
        </w:num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bookmarkEnd w:id="292"/>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00" w:name="_Toc18784"/>
      <w:bookmarkStart w:id="301" w:name="_Toc2110"/>
      <w:bookmarkStart w:id="302" w:name="_Toc475104507"/>
      <w:bookmarkStart w:id="303" w:name="_Toc10673"/>
      <w:r>
        <w:rPr>
          <w:rFonts w:hint="eastAsia" w:ascii="宋体" w:hAnsi="宋体" w:eastAsia="宋体" w:cs="宋体"/>
          <w:b/>
          <w:bCs/>
          <w:color w:val="auto"/>
          <w:sz w:val="24"/>
        </w:rPr>
        <w:t>定标原则与授标</w:t>
      </w:r>
      <w:bookmarkEnd w:id="284"/>
      <w:bookmarkEnd w:id="285"/>
      <w:bookmarkEnd w:id="286"/>
      <w:bookmarkEnd w:id="287"/>
      <w:bookmarkEnd w:id="288"/>
      <w:bookmarkEnd w:id="293"/>
      <w:bookmarkEnd w:id="300"/>
      <w:bookmarkEnd w:id="301"/>
      <w:bookmarkEnd w:id="302"/>
      <w:bookmarkEnd w:id="303"/>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bookmarkStart w:id="304" w:name="_Toc475104508"/>
      <w:bookmarkStart w:id="305" w:name="_Toc320515048"/>
      <w:bookmarkStart w:id="306" w:name="_Toc363737713"/>
      <w:bookmarkStart w:id="307" w:name="_Toc315793484"/>
      <w:bookmarkStart w:id="308" w:name="_Toc320515097"/>
      <w:bookmarkStart w:id="309" w:name="_Toc322680374"/>
      <w:bookmarkStart w:id="310" w:name="_Toc323111007"/>
      <w:r>
        <w:rPr>
          <w:rFonts w:hint="eastAsia" w:ascii="宋体" w:hAnsi="宋体" w:eastAsia="宋体" w:cs="宋体"/>
          <w:color w:val="auto"/>
          <w:szCs w:val="21"/>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小组提交竞争性磋商报告和推荐成交意见报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发布成交公告。不在成交名单之列者即为</w:t>
      </w:r>
      <w:r>
        <w:rPr>
          <w:rFonts w:hint="eastAsia" w:ascii="宋体" w:hAnsi="宋体" w:eastAsia="宋体" w:cs="宋体"/>
          <w:color w:val="auto"/>
          <w:szCs w:val="21"/>
          <w:shd w:val="clear" w:color="auto" w:fill="FFFFFF"/>
        </w:rPr>
        <w:t>未能中标/成交</w:t>
      </w:r>
      <w:r>
        <w:rPr>
          <w:rFonts w:hint="eastAsia" w:ascii="宋体" w:hAnsi="宋体" w:eastAsia="宋体" w:cs="宋体"/>
          <w:color w:val="auto"/>
          <w:szCs w:val="21"/>
        </w:rPr>
        <w:t>供应商，</w:t>
      </w:r>
      <w:r>
        <w:rPr>
          <w:rFonts w:hint="eastAsia" w:ascii="宋体" w:hAnsi="宋体" w:eastAsia="宋体" w:cs="宋体"/>
          <w:color w:val="auto"/>
          <w:szCs w:val="21"/>
          <w:shd w:val="clear" w:color="auto" w:fill="FFFFFF"/>
        </w:rPr>
        <w:t>投标供应商未能中标/成交，采购代理机构将以书面形式告知其原因。</w:t>
      </w:r>
    </w:p>
    <w:p>
      <w:pPr>
        <w:numPr>
          <w:ilvl w:val="1"/>
          <w:numId w:val="4"/>
        </w:numPr>
        <w:shd w:val="clear" w:color="auto" w:fill="FFFFFF"/>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rPr>
        <w:t>政府购买服务项目（含政府和社会资本合作项目），在采购过程中符合要求的</w:t>
      </w:r>
      <w:r>
        <w:rPr>
          <w:rFonts w:hint="eastAsia" w:ascii="宋体" w:hAnsi="宋体" w:eastAsia="宋体" w:cs="宋体"/>
          <w:bCs/>
          <w:color w:val="auto"/>
        </w:rPr>
        <w:t>供应商</w:t>
      </w:r>
      <w:r>
        <w:rPr>
          <w:rFonts w:hint="eastAsia" w:ascii="宋体" w:hAnsi="宋体" w:eastAsia="宋体" w:cs="宋体"/>
          <w:color w:val="auto"/>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hint="eastAsia" w:ascii="宋体" w:hAnsi="宋体" w:eastAsia="宋体" w:cs="宋体"/>
          <w:color w:val="auto"/>
        </w:rPr>
      </w:pPr>
      <w:bookmarkStart w:id="311" w:name="_Toc6609"/>
      <w:bookmarkStart w:id="312" w:name="_Toc29513"/>
      <w:bookmarkStart w:id="313" w:name="_Toc11221"/>
      <w:r>
        <w:rPr>
          <w:rFonts w:hint="eastAsia" w:ascii="宋体" w:hAnsi="宋体" w:eastAsia="宋体" w:cs="宋体"/>
          <w:color w:val="auto"/>
          <w:szCs w:val="21"/>
        </w:rPr>
        <w:t>27.5.</w:t>
      </w:r>
      <w:r>
        <w:rPr>
          <w:rFonts w:hint="eastAsia" w:ascii="宋体" w:hAnsi="宋体" w:eastAsia="宋体" w:cs="宋体"/>
          <w:color w:val="auto"/>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bookmarkEnd w:id="311"/>
      <w:bookmarkEnd w:id="312"/>
      <w:bookmarkEnd w:id="313"/>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14" w:name="_Toc32370"/>
      <w:bookmarkStart w:id="315" w:name="_Toc4919"/>
      <w:bookmarkStart w:id="316" w:name="_Toc28542"/>
      <w:r>
        <w:rPr>
          <w:rFonts w:hint="eastAsia" w:ascii="宋体" w:hAnsi="宋体" w:eastAsia="宋体" w:cs="宋体"/>
          <w:b/>
          <w:bCs/>
          <w:color w:val="auto"/>
          <w:sz w:val="24"/>
        </w:rPr>
        <w:t>质疑与回复</w:t>
      </w:r>
      <w:bookmarkEnd w:id="304"/>
      <w:bookmarkEnd w:id="305"/>
      <w:bookmarkEnd w:id="306"/>
      <w:bookmarkEnd w:id="307"/>
      <w:bookmarkEnd w:id="308"/>
      <w:bookmarkEnd w:id="314"/>
      <w:bookmarkEnd w:id="315"/>
      <w:bookmarkEnd w:id="316"/>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质疑书应当包括下列主要内容：</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供应商的姓名或者名称、地址、邮编、联系人及联系电话；</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质疑项目的名称、编号；</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具体、明确的质疑事项和与质疑事项相关的请求；</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事实依据；</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必要的法律依据；</w:t>
      </w:r>
    </w:p>
    <w:p>
      <w:pPr>
        <w:numPr>
          <w:ilvl w:val="2"/>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提出质疑的日期。</w:t>
      </w:r>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质疑书应当署名。供应商为自然人的，应当由本人签字；供应商为法人或者其他组织的，应当由法定代表人、主要负责人，或者其授权代表签字或者盖章，并加盖公章。</w:t>
      </w:r>
    </w:p>
    <w:p>
      <w:pPr>
        <w:numPr>
          <w:ilvl w:val="1"/>
          <w:numId w:val="4"/>
        </w:numPr>
        <w:autoSpaceDE w:val="0"/>
        <w:autoSpaceDN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bCs/>
          <w:color w:val="auto"/>
        </w:rPr>
        <w:t>供应商</w:t>
      </w:r>
      <w:r>
        <w:rPr>
          <w:rFonts w:hint="eastAsia" w:ascii="宋体" w:hAnsi="宋体" w:eastAsia="宋体" w:cs="宋体"/>
          <w:color w:val="auto"/>
          <w:szCs w:val="21"/>
        </w:rPr>
        <w:t>认为竞争性磋商文件的内容损害其权益的，应当以书面形式（加盖</w:t>
      </w:r>
      <w:r>
        <w:rPr>
          <w:rFonts w:hint="eastAsia" w:ascii="宋体" w:hAnsi="宋体" w:eastAsia="宋体" w:cs="宋体"/>
          <w:bCs/>
          <w:color w:val="auto"/>
        </w:rPr>
        <w:t>供应商</w:t>
      </w:r>
      <w:r>
        <w:rPr>
          <w:rFonts w:hint="eastAsia" w:ascii="宋体" w:hAnsi="宋体" w:eastAsia="宋体" w:cs="宋体"/>
          <w:color w:val="auto"/>
          <w:szCs w:val="21"/>
        </w:rPr>
        <w:t>公章）在竞争性磋商文件公示期间或者自期满之日起7个工作日内向政府采购代理机构提交质疑书，逾期质疑无效。</w:t>
      </w:r>
      <w:r>
        <w:rPr>
          <w:rFonts w:hint="eastAsia" w:ascii="宋体" w:hAnsi="宋体" w:eastAsia="宋体" w:cs="宋体"/>
          <w:bCs/>
          <w:color w:val="auto"/>
        </w:rPr>
        <w:t>供应商</w:t>
      </w:r>
      <w:r>
        <w:rPr>
          <w:rFonts w:hint="eastAsia" w:ascii="宋体" w:hAnsi="宋体" w:eastAsia="宋体" w:cs="宋体"/>
          <w:color w:val="auto"/>
          <w:szCs w:val="21"/>
        </w:rPr>
        <w:t>以电话、传真或电邮形式提交的质疑属于无效质疑。</w:t>
      </w:r>
    </w:p>
    <w:p>
      <w:pPr>
        <w:numPr>
          <w:ilvl w:val="1"/>
          <w:numId w:val="4"/>
        </w:numPr>
        <w:autoSpaceDE w:val="0"/>
        <w:autoSpaceDN w:val="0"/>
        <w:adjustRightInd w:val="0"/>
        <w:snapToGrid w:val="0"/>
        <w:spacing w:line="360" w:lineRule="auto"/>
        <w:jc w:val="left"/>
        <w:rPr>
          <w:rFonts w:hint="eastAsia" w:ascii="宋体" w:hAnsi="宋体" w:eastAsia="宋体" w:cs="宋体"/>
          <w:bCs/>
          <w:color w:val="auto"/>
          <w:szCs w:val="21"/>
        </w:rPr>
      </w:pPr>
      <w:r>
        <w:rPr>
          <w:rFonts w:hint="eastAsia" w:ascii="宋体" w:hAnsi="宋体" w:eastAsia="宋体" w:cs="宋体"/>
          <w:bCs/>
          <w:color w:val="auto"/>
        </w:rPr>
        <w:t>供应商</w:t>
      </w:r>
      <w:r>
        <w:rPr>
          <w:rFonts w:hint="eastAsia" w:ascii="宋体" w:hAnsi="宋体" w:eastAsia="宋体" w:cs="宋体"/>
          <w:bCs/>
          <w:color w:val="auto"/>
          <w:szCs w:val="21"/>
        </w:rPr>
        <w:t>认为采购过程和</w:t>
      </w:r>
      <w:r>
        <w:rPr>
          <w:rFonts w:hint="eastAsia" w:ascii="宋体" w:hAnsi="宋体" w:eastAsia="宋体" w:cs="宋体"/>
          <w:color w:val="auto"/>
          <w:szCs w:val="21"/>
        </w:rPr>
        <w:t>成交</w:t>
      </w:r>
      <w:r>
        <w:rPr>
          <w:rFonts w:hint="eastAsia" w:ascii="宋体" w:hAnsi="宋体" w:eastAsia="宋体" w:cs="宋体"/>
          <w:bCs/>
          <w:color w:val="auto"/>
          <w:szCs w:val="21"/>
        </w:rPr>
        <w:t>结果使自己的权益受到损害的，应当以书面形式（加盖</w:t>
      </w:r>
      <w:r>
        <w:rPr>
          <w:rFonts w:hint="eastAsia" w:ascii="宋体" w:hAnsi="宋体" w:eastAsia="宋体" w:cs="宋体"/>
          <w:bCs/>
          <w:color w:val="auto"/>
        </w:rPr>
        <w:t>供应商</w:t>
      </w:r>
      <w:r>
        <w:rPr>
          <w:rFonts w:hint="eastAsia" w:ascii="宋体" w:hAnsi="宋体" w:eastAsia="宋体" w:cs="宋体"/>
          <w:bCs/>
          <w:color w:val="auto"/>
          <w:szCs w:val="21"/>
        </w:rPr>
        <w:t>公章）在知道或者应知其权益受到损害之日起7个工作日内向政府采购代理机构提交质疑书，逾期质疑无效。</w:t>
      </w:r>
      <w:r>
        <w:rPr>
          <w:rFonts w:hint="eastAsia" w:ascii="宋体" w:hAnsi="宋体" w:eastAsia="宋体" w:cs="宋体"/>
          <w:bCs/>
          <w:color w:val="auto"/>
        </w:rPr>
        <w:t>供应商</w:t>
      </w:r>
      <w:r>
        <w:rPr>
          <w:rFonts w:hint="eastAsia" w:ascii="宋体" w:hAnsi="宋体" w:eastAsia="宋体" w:cs="宋体"/>
          <w:bCs/>
          <w:color w:val="auto"/>
          <w:szCs w:val="21"/>
        </w:rPr>
        <w:t>以电话、传真或电邮形式提交的质疑属于无效质疑。</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eastAsia="宋体" w:cs="宋体"/>
          <w:bCs/>
          <w:color w:val="auto"/>
        </w:rPr>
        <w:t>供应商</w:t>
      </w:r>
      <w:r>
        <w:rPr>
          <w:rFonts w:hint="eastAsia" w:ascii="宋体" w:hAnsi="宋体" w:eastAsia="宋体" w:cs="宋体"/>
          <w:color w:val="auto"/>
          <w:szCs w:val="21"/>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政府采购代理机构在收到</w:t>
      </w:r>
      <w:r>
        <w:rPr>
          <w:rFonts w:hint="eastAsia" w:ascii="宋体" w:hAnsi="宋体" w:eastAsia="宋体" w:cs="宋体"/>
          <w:bCs/>
          <w:color w:val="auto"/>
        </w:rPr>
        <w:t>供应商</w:t>
      </w:r>
      <w:r>
        <w:rPr>
          <w:rFonts w:hint="eastAsia" w:ascii="宋体" w:hAnsi="宋体" w:eastAsia="宋体" w:cs="宋体"/>
          <w:color w:val="auto"/>
          <w:szCs w:val="21"/>
        </w:rPr>
        <w:t>的有效书面质疑后七个工作日内作出答复，但答复的内容不涉及商业秘密，质疑</w:t>
      </w:r>
      <w:r>
        <w:rPr>
          <w:rFonts w:hint="eastAsia" w:ascii="宋体" w:hAnsi="宋体" w:eastAsia="宋体" w:cs="宋体"/>
          <w:bCs/>
          <w:color w:val="auto"/>
        </w:rPr>
        <w:t>供应商</w:t>
      </w:r>
      <w:r>
        <w:rPr>
          <w:rFonts w:hint="eastAsia" w:ascii="宋体" w:hAnsi="宋体" w:eastAsia="宋体" w:cs="宋体"/>
          <w:color w:val="auto"/>
          <w:szCs w:val="21"/>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质疑</w:t>
      </w:r>
      <w:r>
        <w:rPr>
          <w:rFonts w:hint="eastAsia" w:ascii="宋体" w:hAnsi="宋体" w:eastAsia="宋体" w:cs="宋体"/>
          <w:bCs/>
          <w:color w:val="auto"/>
        </w:rPr>
        <w:t>供应商</w:t>
      </w:r>
      <w:r>
        <w:rPr>
          <w:rFonts w:hint="eastAsia" w:ascii="宋体" w:hAnsi="宋体" w:eastAsia="宋体" w:cs="宋体"/>
          <w:color w:val="auto"/>
          <w:szCs w:val="21"/>
        </w:rPr>
        <w:t>需要修改、补充质疑函的，应当在质疑有效期内提交修改或补充材料。质疑函收到日期以提交修改或补充的质疑函之日计算。</w:t>
      </w:r>
    </w:p>
    <w:bookmarkEnd w:id="309"/>
    <w:bookmarkEnd w:id="310"/>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17" w:name="_Toc8661"/>
      <w:bookmarkStart w:id="318" w:name="_Toc3704"/>
      <w:bookmarkStart w:id="319" w:name="_Toc13747"/>
      <w:bookmarkStart w:id="320" w:name="_Toc363737714"/>
      <w:bookmarkStart w:id="321" w:name="_Toc475104509"/>
      <w:r>
        <w:rPr>
          <w:rFonts w:hint="eastAsia" w:ascii="宋体" w:hAnsi="宋体" w:eastAsia="宋体" w:cs="宋体"/>
          <w:b/>
          <w:bCs/>
          <w:color w:val="auto"/>
          <w:sz w:val="24"/>
        </w:rPr>
        <w:t>供应商询问的途径、接收质疑函的方式：</w:t>
      </w:r>
      <w:bookmarkEnd w:id="317"/>
      <w:bookmarkEnd w:id="318"/>
      <w:bookmarkEnd w:id="319"/>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询问和质疑接收机构名称：成致项目管理有限公司</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询问和质疑接收机构地址：广州市天河区黄埔大道中122号（伟腾商务中心）412室</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询问和质疑接收部门联系人：招标代理部</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询问和质疑接收机构电话：020-87578511（工作/接收时间：9：00-17：00）</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22" w:name="_Toc9558"/>
      <w:bookmarkStart w:id="323" w:name="_Toc13815"/>
      <w:bookmarkStart w:id="324" w:name="_Toc8499"/>
      <w:r>
        <w:rPr>
          <w:rFonts w:hint="eastAsia" w:ascii="宋体" w:hAnsi="宋体" w:eastAsia="宋体" w:cs="宋体"/>
          <w:b/>
          <w:bCs/>
          <w:color w:val="auto"/>
          <w:sz w:val="24"/>
        </w:rPr>
        <w:t>中标通知书</w:t>
      </w:r>
      <w:bookmarkEnd w:id="320"/>
      <w:bookmarkEnd w:id="321"/>
      <w:bookmarkEnd w:id="322"/>
      <w:bookmarkEnd w:id="323"/>
      <w:bookmarkEnd w:id="324"/>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成交供应商确定后</w:t>
      </w:r>
      <w:r>
        <w:rPr>
          <w:rFonts w:hint="eastAsia" w:ascii="宋体" w:hAnsi="宋体" w:eastAsia="宋体" w:cs="宋体"/>
          <w:color w:val="auto"/>
          <w:szCs w:val="21"/>
        </w:rPr>
        <w:t>，</w:t>
      </w:r>
      <w:r>
        <w:rPr>
          <w:rFonts w:hint="eastAsia" w:ascii="宋体" w:hAnsi="宋体" w:eastAsia="宋体" w:cs="宋体"/>
          <w:color w:val="auto"/>
          <w:szCs w:val="21"/>
          <w:lang w:eastAsia="zh-TW"/>
        </w:rPr>
        <w:t>政府采购代理机构将在政府采购监督管理部门</w:t>
      </w:r>
      <w:r>
        <w:rPr>
          <w:rFonts w:hint="eastAsia" w:ascii="宋体" w:hAnsi="宋体" w:eastAsia="宋体" w:cs="宋体"/>
          <w:color w:val="auto"/>
          <w:szCs w:val="21"/>
        </w:rPr>
        <w:t>法定</w:t>
      </w:r>
      <w:r>
        <w:rPr>
          <w:rFonts w:hint="eastAsia" w:ascii="宋体" w:hAnsi="宋体" w:eastAsia="宋体" w:cs="宋体"/>
          <w:color w:val="auto"/>
          <w:szCs w:val="21"/>
          <w:lang w:eastAsia="zh-TW"/>
        </w:rPr>
        <w:t>的媒体上发布</w:t>
      </w:r>
      <w:r>
        <w:rPr>
          <w:rFonts w:hint="eastAsia" w:ascii="宋体" w:hAnsi="宋体" w:eastAsia="宋体" w:cs="宋体"/>
          <w:color w:val="auto"/>
          <w:szCs w:val="21"/>
        </w:rPr>
        <w:t>成交结果公告</w:t>
      </w:r>
      <w:r>
        <w:rPr>
          <w:rFonts w:hint="eastAsia" w:ascii="宋体" w:hAnsi="宋体" w:eastAsia="宋体" w:cs="宋体"/>
          <w:color w:val="auto"/>
          <w:szCs w:val="21"/>
          <w:lang w:eastAsia="zh-TW"/>
        </w:rPr>
        <w:t>，并向成交供应商发出《中标通知书》</w:t>
      </w:r>
      <w:r>
        <w:rPr>
          <w:rFonts w:hint="eastAsia" w:ascii="宋体" w:hAnsi="宋体" w:eastAsia="宋体" w:cs="宋体"/>
          <w:color w:val="auto"/>
          <w:szCs w:val="21"/>
        </w:rPr>
        <w:t>，</w:t>
      </w:r>
      <w:r>
        <w:rPr>
          <w:rFonts w:hint="eastAsia" w:ascii="宋体" w:hAnsi="宋体" w:eastAsia="宋体" w:cs="宋体"/>
          <w:color w:val="auto"/>
          <w:szCs w:val="21"/>
          <w:lang w:eastAsia="zh-TW"/>
        </w:rPr>
        <w:t>《中标通知书》对成交供应商和采购人具有同等法律效力。</w:t>
      </w:r>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TW"/>
        </w:rPr>
        <w:t>中标</w:t>
      </w:r>
      <w:r>
        <w:rPr>
          <w:rFonts w:hint="eastAsia" w:ascii="宋体" w:hAnsi="宋体" w:eastAsia="宋体" w:cs="宋体"/>
          <w:color w:val="auto"/>
          <w:szCs w:val="21"/>
        </w:rPr>
        <w:t>通知书》将作为授予合同资格的合法依据，是合同的一个组成部分。</w:t>
      </w:r>
    </w:p>
    <w:p>
      <w:pPr>
        <w:numPr>
          <w:ilvl w:val="0"/>
          <w:numId w:val="3"/>
        </w:numPr>
        <w:autoSpaceDE w:val="0"/>
        <w:autoSpaceDN w:val="0"/>
        <w:adjustRightInd w:val="0"/>
        <w:snapToGrid w:val="0"/>
        <w:spacing w:before="240" w:beforeLines="100" w:after="240" w:afterLines="100" w:line="360" w:lineRule="auto"/>
        <w:ind w:left="601" w:hanging="601"/>
        <w:jc w:val="center"/>
        <w:outlineLvl w:val="0"/>
        <w:rPr>
          <w:rFonts w:hint="eastAsia" w:ascii="宋体" w:hAnsi="宋体" w:eastAsia="宋体" w:cs="宋体"/>
          <w:b/>
          <w:color w:val="auto"/>
          <w:sz w:val="28"/>
          <w:szCs w:val="28"/>
          <w:lang w:eastAsia="zh-TW"/>
        </w:rPr>
      </w:pPr>
      <w:bookmarkStart w:id="325" w:name="_Toc26702"/>
      <w:bookmarkStart w:id="326" w:name="_Toc14748"/>
      <w:bookmarkStart w:id="327" w:name="_Toc315793486"/>
      <w:bookmarkStart w:id="328" w:name="_Toc320515050"/>
      <w:bookmarkStart w:id="329" w:name="_Toc363737715"/>
      <w:bookmarkStart w:id="330" w:name="_Toc475104510"/>
      <w:bookmarkStart w:id="331" w:name="_Toc320515099"/>
      <w:bookmarkStart w:id="332" w:name="_Toc3913"/>
      <w:bookmarkStart w:id="333" w:name="_Toc28489462"/>
      <w:bookmarkStart w:id="334" w:name="_Toc14450813"/>
      <w:r>
        <w:rPr>
          <w:rFonts w:hint="eastAsia" w:ascii="宋体" w:hAnsi="宋体" w:eastAsia="宋体" w:cs="宋体"/>
          <w:b/>
          <w:color w:val="auto"/>
          <w:sz w:val="28"/>
          <w:szCs w:val="28"/>
          <w:lang w:eastAsia="zh-TW"/>
        </w:rPr>
        <w:t>授予合同</w:t>
      </w:r>
      <w:bookmarkEnd w:id="325"/>
      <w:bookmarkEnd w:id="326"/>
      <w:bookmarkEnd w:id="327"/>
      <w:bookmarkEnd w:id="328"/>
      <w:bookmarkEnd w:id="329"/>
      <w:bookmarkEnd w:id="330"/>
      <w:bookmarkEnd w:id="331"/>
      <w:bookmarkEnd w:id="332"/>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35" w:name="_Toc320515051"/>
      <w:bookmarkStart w:id="336" w:name="_Toc14596"/>
      <w:bookmarkStart w:id="337" w:name="_Toc320515100"/>
      <w:bookmarkStart w:id="338" w:name="_Toc315793487"/>
      <w:bookmarkStart w:id="339" w:name="_Toc363737716"/>
      <w:bookmarkStart w:id="340" w:name="_Toc10520"/>
      <w:bookmarkStart w:id="341" w:name="_Toc475104511"/>
      <w:bookmarkStart w:id="342" w:name="_Toc12918"/>
      <w:r>
        <w:rPr>
          <w:rFonts w:hint="eastAsia" w:ascii="宋体" w:hAnsi="宋体" w:eastAsia="宋体" w:cs="宋体"/>
          <w:b/>
          <w:bCs/>
          <w:color w:val="auto"/>
          <w:sz w:val="24"/>
        </w:rPr>
        <w:t>合同的订立</w:t>
      </w:r>
      <w:bookmarkEnd w:id="335"/>
      <w:bookmarkEnd w:id="336"/>
      <w:bookmarkEnd w:id="337"/>
      <w:bookmarkEnd w:id="338"/>
      <w:bookmarkEnd w:id="339"/>
      <w:bookmarkEnd w:id="340"/>
      <w:bookmarkEnd w:id="341"/>
      <w:bookmarkEnd w:id="342"/>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bookmarkStart w:id="343" w:name="_Toc320515052"/>
      <w:bookmarkStart w:id="344" w:name="_Toc315793488"/>
      <w:bookmarkStart w:id="345" w:name="_Toc320515101"/>
      <w:bookmarkStart w:id="346" w:name="_Toc363737717"/>
      <w:bookmarkStart w:id="347" w:name="_Toc475104512"/>
      <w:r>
        <w:rPr>
          <w:rFonts w:hint="eastAsia" w:ascii="宋体" w:hAnsi="宋体" w:eastAsia="宋体" w:cs="宋体"/>
          <w:color w:val="auto"/>
          <w:szCs w:val="21"/>
          <w:lang w:eastAsia="zh-TW"/>
        </w:rPr>
        <w:t>采购单位原则上应在中标（成交）通知书发出之日起</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TW"/>
        </w:rPr>
        <w:t>0日内和中标（成交）供应商签订政府采购合同，无正当理由不得拒绝或者拖延合同签订。所签订的合同不得对竞争性磋商文件和成交供应商</w:t>
      </w:r>
      <w:r>
        <w:rPr>
          <w:rFonts w:hint="eastAsia" w:ascii="宋体" w:hAnsi="宋体" w:eastAsia="宋体" w:cs="宋体"/>
          <w:color w:val="auto"/>
          <w:szCs w:val="21"/>
        </w:rPr>
        <w:t>磋商</w:t>
      </w:r>
      <w:r>
        <w:rPr>
          <w:rFonts w:hint="eastAsia" w:ascii="宋体" w:hAnsi="宋体" w:eastAsia="宋体" w:cs="宋体"/>
          <w:color w:val="auto"/>
          <w:szCs w:val="21"/>
          <w:lang w:eastAsia="zh-TW"/>
        </w:rPr>
        <w:t>响应文件作实质性修改</w:t>
      </w:r>
      <w:r>
        <w:rPr>
          <w:rFonts w:hint="eastAsia" w:ascii="宋体" w:hAnsi="宋体" w:eastAsia="宋体" w:cs="宋体"/>
          <w:color w:val="auto"/>
          <w:szCs w:val="21"/>
        </w:rPr>
        <w:t>。</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招标采购单位不得向成交供应商提出任何不合理的要求，作为签订合同的条件，不得与成交供应商私下订立背离合同实质性内容的协议。 </w:t>
      </w:r>
    </w:p>
    <w:p>
      <w:pPr>
        <w:numPr>
          <w:ilvl w:val="1"/>
          <w:numId w:val="4"/>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TW"/>
        </w:rPr>
        <w:t>签订政府采购合同后</w:t>
      </w:r>
      <w:r>
        <w:rPr>
          <w:rFonts w:hint="eastAsia" w:ascii="宋体" w:hAnsi="宋体" w:eastAsia="宋体" w:cs="宋体"/>
          <w:color w:val="auto"/>
          <w:szCs w:val="21"/>
        </w:rPr>
        <w:t>七</w:t>
      </w:r>
      <w:r>
        <w:rPr>
          <w:rFonts w:hint="eastAsia" w:ascii="宋体" w:hAnsi="宋体" w:eastAsia="宋体" w:cs="宋体"/>
          <w:color w:val="auto"/>
          <w:szCs w:val="21"/>
          <w:lang w:eastAsia="zh-TW"/>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48" w:name="_Toc13281"/>
      <w:bookmarkStart w:id="349" w:name="_Toc28909"/>
      <w:bookmarkStart w:id="350" w:name="_Toc17172"/>
      <w:r>
        <w:rPr>
          <w:rFonts w:hint="eastAsia" w:ascii="宋体" w:hAnsi="宋体" w:eastAsia="宋体" w:cs="宋体"/>
          <w:b/>
          <w:bCs/>
          <w:color w:val="auto"/>
          <w:sz w:val="24"/>
        </w:rPr>
        <w:t>合同的履行</w:t>
      </w:r>
      <w:bookmarkEnd w:id="343"/>
      <w:bookmarkEnd w:id="344"/>
      <w:bookmarkEnd w:id="345"/>
      <w:bookmarkEnd w:id="346"/>
      <w:bookmarkEnd w:id="347"/>
      <w:bookmarkEnd w:id="348"/>
      <w:bookmarkEnd w:id="349"/>
      <w:bookmarkEnd w:id="350"/>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eastAsia="宋体" w:cs="宋体"/>
          <w:color w:val="auto"/>
          <w:szCs w:val="21"/>
        </w:rPr>
        <w:t>部门</w:t>
      </w:r>
      <w:r>
        <w:rPr>
          <w:rFonts w:hint="eastAsia" w:ascii="宋体" w:hAnsi="宋体" w:eastAsia="宋体" w:cs="宋体"/>
          <w:color w:val="auto"/>
          <w:szCs w:val="21"/>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szCs w:val="21"/>
        </w:rPr>
        <w:t>部门</w:t>
      </w:r>
      <w:r>
        <w:rPr>
          <w:rFonts w:hint="eastAsia" w:ascii="宋体" w:hAnsi="宋体" w:eastAsia="宋体" w:cs="宋体"/>
          <w:color w:val="auto"/>
          <w:szCs w:val="21"/>
          <w:lang w:eastAsia="zh-TW"/>
        </w:rPr>
        <w:t>备案。</w:t>
      </w:r>
    </w:p>
    <w:p>
      <w:pPr>
        <w:numPr>
          <w:ilvl w:val="1"/>
          <w:numId w:val="4"/>
        </w:numPr>
        <w:autoSpaceDE w:val="0"/>
        <w:autoSpaceDN w:val="0"/>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color w:val="auto"/>
          <w:szCs w:val="21"/>
          <w:lang w:eastAsia="zh-TW"/>
        </w:rPr>
        <w:t>政府采购合同履行中，采购人需追加与合同标的相同的货物、工程或者服务的，在不改变合同其他条款的前提下，可以与</w:t>
      </w:r>
      <w:r>
        <w:rPr>
          <w:rFonts w:hint="eastAsia" w:ascii="宋体" w:hAnsi="宋体" w:eastAsia="宋体" w:cs="宋体"/>
          <w:color w:val="auto"/>
          <w:szCs w:val="21"/>
        </w:rPr>
        <w:t>成交</w:t>
      </w:r>
      <w:r>
        <w:rPr>
          <w:rFonts w:hint="eastAsia" w:ascii="宋体" w:hAnsi="宋体" w:eastAsia="宋体" w:cs="宋体"/>
          <w:color w:val="auto"/>
          <w:szCs w:val="21"/>
          <w:lang w:eastAsia="zh-TW"/>
        </w:rPr>
        <w:t>供应商签订补充合同，但所补充合同的采购金额不得超过原</w:t>
      </w:r>
      <w:r>
        <w:rPr>
          <w:rFonts w:hint="eastAsia" w:ascii="宋体" w:hAnsi="宋体" w:eastAsia="宋体" w:cs="宋体"/>
          <w:color w:val="auto"/>
          <w:szCs w:val="21"/>
        </w:rPr>
        <w:t>合同</w:t>
      </w:r>
      <w:r>
        <w:rPr>
          <w:rFonts w:hint="eastAsia" w:ascii="宋体" w:hAnsi="宋体" w:eastAsia="宋体" w:cs="宋体"/>
          <w:color w:val="auto"/>
          <w:szCs w:val="21"/>
          <w:lang w:eastAsia="zh-TW"/>
        </w:rPr>
        <w:t>采购金额的百分之十。签订补充合同的必须按规定备案。</w:t>
      </w:r>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51" w:name="_Toc7032"/>
      <w:bookmarkStart w:id="352" w:name="_Toc17667"/>
      <w:bookmarkStart w:id="353" w:name="_Toc20415"/>
      <w:r>
        <w:rPr>
          <w:rFonts w:hint="eastAsia" w:ascii="宋体" w:hAnsi="宋体" w:eastAsia="宋体" w:cs="宋体"/>
          <w:b/>
          <w:bCs/>
          <w:color w:val="auto"/>
          <w:sz w:val="24"/>
        </w:rPr>
        <w:t>采购代理服务费</w:t>
      </w:r>
      <w:bookmarkEnd w:id="351"/>
      <w:bookmarkEnd w:id="352"/>
      <w:bookmarkEnd w:id="353"/>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354" w:name="_Toc475104515"/>
      <w:bookmarkStart w:id="355" w:name="_Toc15025"/>
      <w:bookmarkStart w:id="356" w:name="_Toc363737720"/>
      <w:bookmarkStart w:id="357" w:name="_Toc7285"/>
      <w:bookmarkStart w:id="358" w:name="_Toc18822"/>
      <w:r>
        <w:rPr>
          <w:rFonts w:hint="eastAsia" w:ascii="宋体" w:hAnsi="宋体" w:eastAsia="宋体" w:cs="宋体"/>
          <w:color w:val="auto"/>
          <w:szCs w:val="21"/>
        </w:rPr>
        <w:t>成交服务费按采购代理服务费收费依据及方法按《竞争性磋商须知一览表》中规定执行。</w:t>
      </w:r>
      <w:bookmarkEnd w:id="354"/>
      <w:bookmarkEnd w:id="355"/>
      <w:bookmarkEnd w:id="356"/>
      <w:bookmarkEnd w:id="357"/>
      <w:bookmarkEnd w:id="358"/>
    </w:p>
    <w:p>
      <w:pPr>
        <w:numPr>
          <w:ilvl w:val="0"/>
          <w:numId w:val="4"/>
        </w:numPr>
        <w:autoSpaceDE w:val="0"/>
        <w:autoSpaceDN w:val="0"/>
        <w:adjustRightInd w:val="0"/>
        <w:snapToGrid w:val="0"/>
        <w:spacing w:line="360" w:lineRule="auto"/>
        <w:outlineLvl w:val="0"/>
        <w:rPr>
          <w:rFonts w:hint="eastAsia" w:ascii="宋体" w:hAnsi="宋体" w:eastAsia="宋体" w:cs="宋体"/>
          <w:b/>
          <w:bCs/>
          <w:color w:val="auto"/>
          <w:sz w:val="24"/>
        </w:rPr>
      </w:pPr>
      <w:bookmarkStart w:id="359" w:name="_Toc17492"/>
      <w:bookmarkStart w:id="360" w:name="_Toc26055"/>
      <w:bookmarkStart w:id="361" w:name="_Toc22495"/>
      <w:bookmarkStart w:id="362" w:name="_Toc363737723"/>
      <w:bookmarkStart w:id="363" w:name="_Toc475104518"/>
      <w:r>
        <w:rPr>
          <w:rFonts w:hint="eastAsia" w:ascii="宋体" w:hAnsi="宋体" w:eastAsia="宋体" w:cs="宋体"/>
          <w:b/>
          <w:bCs/>
          <w:color w:val="auto"/>
          <w:sz w:val="24"/>
        </w:rPr>
        <w:t>政府采购合同融资相关政策</w:t>
      </w:r>
      <w:bookmarkEnd w:id="359"/>
      <w:bookmarkEnd w:id="360"/>
      <w:bookmarkEnd w:id="361"/>
      <w:r>
        <w:rPr>
          <w:rFonts w:hint="eastAsia" w:ascii="宋体" w:hAnsi="宋体" w:eastAsia="宋体" w:cs="宋体"/>
          <w:b/>
          <w:bCs/>
          <w:color w:val="auto"/>
          <w:sz w:val="24"/>
        </w:rPr>
        <w:t xml:space="preserve"> </w:t>
      </w:r>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364" w:name="_Toc5598"/>
      <w:bookmarkStart w:id="365" w:name="_Toc23122"/>
      <w:bookmarkStart w:id="366" w:name="_Toc26810"/>
      <w:r>
        <w:rPr>
          <w:rFonts w:hint="eastAsia" w:ascii="宋体" w:hAnsi="宋体" w:eastAsia="宋体" w:cs="宋体"/>
          <w:color w:val="auto"/>
          <w:szCs w:val="21"/>
        </w:rPr>
        <w:t>包括但不限于以下文件，若涉及到国家或地方政策变动，按国家或地方最新政策执行。</w:t>
      </w:r>
      <w:bookmarkEnd w:id="364"/>
      <w:bookmarkEnd w:id="365"/>
      <w:bookmarkEnd w:id="366"/>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367" w:name="_Toc3258"/>
      <w:bookmarkStart w:id="368" w:name="_Toc11324"/>
      <w:bookmarkStart w:id="369" w:name="_Toc12832"/>
      <w:r>
        <w:rPr>
          <w:rFonts w:hint="eastAsia" w:ascii="宋体" w:hAnsi="宋体" w:eastAsia="宋体" w:cs="宋体"/>
          <w:color w:val="auto"/>
          <w:szCs w:val="21"/>
        </w:rPr>
        <w:t>（1）《关于进一步深化小微企业金融服务的意见》（银发〔2018〕162号）</w:t>
      </w:r>
      <w:bookmarkEnd w:id="367"/>
      <w:bookmarkEnd w:id="368"/>
      <w:bookmarkEnd w:id="369"/>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370" w:name="_Toc12570"/>
      <w:bookmarkStart w:id="371" w:name="_Toc21728"/>
      <w:bookmarkStart w:id="372" w:name="_Toc4856"/>
      <w:r>
        <w:rPr>
          <w:rFonts w:hint="eastAsia" w:ascii="宋体" w:hAnsi="宋体" w:eastAsia="宋体" w:cs="宋体"/>
          <w:color w:val="auto"/>
          <w:szCs w:val="21"/>
        </w:rPr>
        <w:t>（2）《广东省支持中小企业融资的若干政策措施》（粤金监〔2019〕58号）</w:t>
      </w:r>
      <w:bookmarkEnd w:id="370"/>
      <w:bookmarkEnd w:id="371"/>
      <w:bookmarkEnd w:id="372"/>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373" w:name="_Toc12715"/>
      <w:bookmarkStart w:id="374" w:name="_Toc3611"/>
      <w:bookmarkStart w:id="375" w:name="_Toc26243"/>
      <w:r>
        <w:rPr>
          <w:rFonts w:hint="eastAsia" w:ascii="宋体" w:hAnsi="宋体" w:eastAsia="宋体" w:cs="宋体"/>
          <w:color w:val="auto"/>
          <w:szCs w:val="21"/>
        </w:rPr>
        <w:t>（3）《关于开展省级政府采购合同融资工作的通知》（粤财采购〔2020〕6号）</w:t>
      </w:r>
      <w:bookmarkEnd w:id="373"/>
      <w:bookmarkEnd w:id="374"/>
      <w:bookmarkEnd w:id="375"/>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376" w:name="_Toc25064"/>
      <w:bookmarkStart w:id="377" w:name="_Toc2389"/>
      <w:bookmarkStart w:id="378" w:name="_Toc16922"/>
      <w:r>
        <w:rPr>
          <w:rFonts w:hint="eastAsia" w:ascii="宋体" w:hAnsi="宋体" w:eastAsia="宋体" w:cs="宋体"/>
          <w:color w:val="auto"/>
          <w:szCs w:val="21"/>
        </w:rPr>
        <w:t>（4）《广州市财政局 中国人民银行广州分行营业管理部关于开展广州市政府采购合同线上融资业务的通知》（穗财采[2020]9号）</w:t>
      </w:r>
      <w:bookmarkEnd w:id="376"/>
      <w:bookmarkEnd w:id="377"/>
      <w:bookmarkEnd w:id="378"/>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379" w:name="_Toc2693"/>
      <w:bookmarkStart w:id="380" w:name="_Toc8614"/>
      <w:bookmarkStart w:id="381" w:name="_Toc17251"/>
      <w:r>
        <w:rPr>
          <w:rFonts w:hint="eastAsia" w:ascii="宋体" w:hAnsi="宋体" w:eastAsia="宋体" w:cs="宋体"/>
          <w:color w:val="auto"/>
          <w:szCs w:val="21"/>
        </w:rPr>
        <w:t>（5）《广州市财政局关于进一步做好已融资政府采购合同支付工作的通知》</w:t>
      </w:r>
      <w:bookmarkEnd w:id="379"/>
      <w:bookmarkEnd w:id="380"/>
      <w:bookmarkEnd w:id="381"/>
    </w:p>
    <w:p>
      <w:pPr>
        <w:numPr>
          <w:ilvl w:val="0"/>
          <w:numId w:val="4"/>
        </w:numPr>
        <w:autoSpaceDE w:val="0"/>
        <w:autoSpaceDN w:val="0"/>
        <w:adjustRightInd w:val="0"/>
        <w:snapToGrid w:val="0"/>
        <w:spacing w:line="360" w:lineRule="auto"/>
        <w:outlineLvl w:val="0"/>
        <w:rPr>
          <w:rFonts w:hint="eastAsia" w:ascii="宋体" w:hAnsi="宋体" w:eastAsia="宋体" w:cs="宋体"/>
          <w:b/>
          <w:color w:val="auto"/>
          <w:sz w:val="24"/>
        </w:rPr>
      </w:pPr>
      <w:bookmarkStart w:id="382" w:name="_Toc32378"/>
      <w:bookmarkStart w:id="383" w:name="_Toc14161"/>
      <w:bookmarkStart w:id="384" w:name="_Toc32588"/>
      <w:r>
        <w:rPr>
          <w:rFonts w:hint="eastAsia" w:ascii="宋体" w:hAnsi="宋体" w:eastAsia="宋体" w:cs="宋体"/>
          <w:b/>
          <w:color w:val="auto"/>
          <w:sz w:val="24"/>
        </w:rPr>
        <w:t>分包和转包</w:t>
      </w:r>
      <w:bookmarkEnd w:id="382"/>
      <w:bookmarkEnd w:id="383"/>
      <w:bookmarkEnd w:id="384"/>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385" w:name="_Toc17657"/>
      <w:bookmarkStart w:id="386" w:name="_Toc11157"/>
      <w:bookmarkStart w:id="387" w:name="_Toc22643"/>
      <w:r>
        <w:rPr>
          <w:rFonts w:hint="eastAsia" w:ascii="宋体" w:hAnsi="宋体" w:eastAsia="宋体" w:cs="宋体"/>
          <w:color w:val="auto"/>
          <w:szCs w:val="21"/>
          <w:lang w:val="en-US" w:eastAsia="zh-CN"/>
        </w:rPr>
        <w:t>本项目不允许</w:t>
      </w:r>
      <w:r>
        <w:rPr>
          <w:rFonts w:hint="eastAsia" w:ascii="宋体" w:hAnsi="宋体" w:eastAsia="宋体" w:cs="宋体"/>
          <w:color w:val="auto"/>
          <w:szCs w:val="21"/>
        </w:rPr>
        <w:t>全部或任何部分分包和转包给他人。</w:t>
      </w:r>
      <w:bookmarkEnd w:id="385"/>
      <w:bookmarkEnd w:id="386"/>
      <w:bookmarkEnd w:id="387"/>
    </w:p>
    <w:p>
      <w:pPr>
        <w:numPr>
          <w:ilvl w:val="0"/>
          <w:numId w:val="4"/>
        </w:numPr>
        <w:autoSpaceDE w:val="0"/>
        <w:autoSpaceDN w:val="0"/>
        <w:adjustRightInd w:val="0"/>
        <w:snapToGrid w:val="0"/>
        <w:spacing w:line="360" w:lineRule="auto"/>
        <w:outlineLvl w:val="0"/>
        <w:rPr>
          <w:rFonts w:hint="eastAsia" w:ascii="宋体" w:hAnsi="宋体" w:eastAsia="宋体" w:cs="宋体"/>
          <w:b/>
          <w:color w:val="auto"/>
          <w:sz w:val="24"/>
        </w:rPr>
      </w:pPr>
      <w:bookmarkStart w:id="388" w:name="_Toc31409"/>
      <w:bookmarkStart w:id="389" w:name="_Toc2060"/>
      <w:bookmarkStart w:id="390" w:name="_Toc460"/>
      <w:r>
        <w:rPr>
          <w:rFonts w:hint="eastAsia" w:ascii="宋体" w:hAnsi="宋体" w:eastAsia="宋体" w:cs="宋体"/>
          <w:b/>
          <w:color w:val="auto"/>
          <w:sz w:val="24"/>
        </w:rPr>
        <w:t>其他</w:t>
      </w:r>
      <w:bookmarkEnd w:id="362"/>
      <w:bookmarkEnd w:id="363"/>
      <w:bookmarkEnd w:id="388"/>
      <w:bookmarkEnd w:id="389"/>
      <w:bookmarkEnd w:id="390"/>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391" w:name="_Toc26246"/>
      <w:bookmarkStart w:id="392" w:name="_Toc363737724"/>
      <w:bookmarkStart w:id="393" w:name="_Toc16929"/>
      <w:bookmarkStart w:id="394" w:name="_Toc475104519"/>
      <w:bookmarkStart w:id="395" w:name="_Toc5379"/>
      <w:r>
        <w:rPr>
          <w:rFonts w:hint="eastAsia" w:ascii="宋体" w:hAnsi="宋体" w:eastAsia="宋体" w:cs="宋体"/>
          <w:color w:val="auto"/>
          <w:szCs w:val="21"/>
        </w:rPr>
        <w:t>本项目相关公告在以下媒体发布：中国采购与招标网（网址：</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"http://www.chinabidding.com.cn）、广州市信怡招标代理有限公司网站（www.gzxyzb.com）和广东省前沿动物保健有限公司网站（"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www.chinabidding.com.cn）、成致项目管理有限公司网站（www.gdchengzhi.com/）和广州市荔湾区人民政府网站（http://www.lw.gov.cn/）</w:t>
      </w:r>
      <w:r>
        <w:rPr>
          <w:rFonts w:hint="eastAsia" w:ascii="宋体" w:hAnsi="宋体" w:eastAsia="宋体" w:cs="宋体"/>
          <w:color w:val="auto"/>
          <w:szCs w:val="21"/>
        </w:rPr>
        <w:fldChar w:fldCharType="end"/>
      </w:r>
      <w:r>
        <w:rPr>
          <w:rFonts w:hint="eastAsia" w:ascii="宋体" w:hAnsi="宋体" w:eastAsia="宋体" w:cs="宋体"/>
          <w:color w:val="auto"/>
          <w:szCs w:val="21"/>
        </w:rPr>
        <w:t>。相关公告在法定媒体上公布之日即视为有效送达，不再另行通知。</w:t>
      </w:r>
      <w:bookmarkEnd w:id="391"/>
      <w:bookmarkEnd w:id="392"/>
      <w:bookmarkEnd w:id="393"/>
      <w:bookmarkEnd w:id="394"/>
      <w:bookmarkEnd w:id="395"/>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396" w:name="_Toc363737725"/>
      <w:bookmarkStart w:id="397" w:name="_Toc475104520"/>
      <w:bookmarkStart w:id="398" w:name="_Toc16950"/>
      <w:bookmarkStart w:id="399" w:name="_Toc29606"/>
      <w:bookmarkStart w:id="400" w:name="_Toc25738"/>
      <w:r>
        <w:rPr>
          <w:rFonts w:hint="eastAsia" w:ascii="宋体" w:hAnsi="宋体" w:eastAsia="宋体" w:cs="宋体"/>
          <w:color w:val="auto"/>
          <w:szCs w:val="21"/>
        </w:rPr>
        <w:t>其他未尽事宜，依照《中华人民共和国政府采购法》、《政府采购竞争性磋商采购方式管理暂行办法》和省市相关法律、法规执行。</w:t>
      </w:r>
      <w:bookmarkEnd w:id="396"/>
      <w:bookmarkEnd w:id="397"/>
      <w:bookmarkEnd w:id="398"/>
      <w:bookmarkEnd w:id="399"/>
      <w:bookmarkEnd w:id="400"/>
    </w:p>
    <w:p>
      <w:pPr>
        <w:numPr>
          <w:ilvl w:val="1"/>
          <w:numId w:val="4"/>
        </w:numPr>
        <w:autoSpaceDE w:val="0"/>
        <w:autoSpaceDN w:val="0"/>
        <w:adjustRightInd w:val="0"/>
        <w:snapToGrid w:val="0"/>
        <w:spacing w:line="360" w:lineRule="auto"/>
        <w:outlineLvl w:val="0"/>
        <w:rPr>
          <w:rFonts w:hint="eastAsia" w:ascii="宋体" w:hAnsi="宋体" w:eastAsia="宋体" w:cs="宋体"/>
          <w:color w:val="auto"/>
          <w:szCs w:val="21"/>
        </w:rPr>
      </w:pPr>
      <w:bookmarkStart w:id="401" w:name="_Toc17082"/>
      <w:bookmarkStart w:id="402" w:name="_Toc4489"/>
      <w:bookmarkStart w:id="403" w:name="_Toc30111"/>
      <w:r>
        <w:rPr>
          <w:rFonts w:hint="eastAsia" w:ascii="宋体" w:hAnsi="宋体" w:eastAsia="宋体" w:cs="宋体"/>
          <w:color w:val="auto"/>
          <w:szCs w:val="21"/>
        </w:rPr>
        <w:t>询问函、质疑函格式</w:t>
      </w:r>
      <w:bookmarkEnd w:id="401"/>
      <w:bookmarkEnd w:id="402"/>
      <w:bookmarkEnd w:id="403"/>
    </w:p>
    <w:p>
      <w:pPr>
        <w:snapToGrid w:val="0"/>
        <w:spacing w:line="360" w:lineRule="auto"/>
        <w:ind w:firstLine="424" w:firstLineChars="201"/>
        <w:rPr>
          <w:rFonts w:hint="eastAsia" w:ascii="宋体" w:hAnsi="宋体" w:eastAsia="宋体" w:cs="宋体"/>
          <w:b/>
          <w:color w:val="auto"/>
          <w:szCs w:val="21"/>
        </w:rPr>
      </w:pPr>
      <w:r>
        <w:rPr>
          <w:rFonts w:hint="eastAsia" w:ascii="宋体" w:hAnsi="宋体" w:eastAsia="宋体" w:cs="宋体"/>
          <w:b/>
          <w:color w:val="auto"/>
          <w:szCs w:val="21"/>
        </w:rPr>
        <w:t>说明：本部分格式为投标人提交询问函、质疑函时使用，不属于响应文件格式的组成部分。</w:t>
      </w:r>
    </w:p>
    <w:p>
      <w:pPr>
        <w:jc w:val="cente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询  问  函</w:t>
      </w:r>
    </w:p>
    <w:p>
      <w:pPr>
        <w:widowControl/>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lang w:eastAsia="zh-CN"/>
        </w:rPr>
        <w:t>广州市荔湾区道路扩建工程办公室</w:t>
      </w:r>
      <w:r>
        <w:rPr>
          <w:rFonts w:hint="eastAsia" w:ascii="宋体" w:hAnsi="宋体" w:eastAsia="宋体" w:cs="宋体"/>
          <w:b/>
          <w:color w:val="auto"/>
          <w:szCs w:val="21"/>
        </w:rPr>
        <w:t>：</w:t>
      </w:r>
    </w:p>
    <w:p>
      <w:pPr>
        <w:widowControl/>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成致项目管理有限公司：</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我单位已报名并准备参与</w:t>
      </w:r>
      <w:r>
        <w:rPr>
          <w:rFonts w:hint="eastAsia" w:ascii="宋体" w:hAnsi="宋体" w:eastAsia="宋体" w:cs="宋体"/>
          <w:color w:val="auto"/>
          <w:szCs w:val="21"/>
          <w:u w:val="single"/>
        </w:rPr>
        <w:t>（项目名称）</w:t>
      </w:r>
      <w:r>
        <w:rPr>
          <w:rFonts w:hint="eastAsia" w:ascii="宋体" w:hAnsi="宋体" w:eastAsia="宋体" w:cs="宋体"/>
          <w:color w:val="auto"/>
          <w:szCs w:val="21"/>
        </w:rPr>
        <w:t>项目（项目采购编号：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一、_____________________（事项一）</w:t>
      </w:r>
      <w:r>
        <w:rPr>
          <w:rFonts w:hint="eastAsia" w:ascii="宋体" w:hAnsi="宋体" w:eastAsia="宋体" w:cs="宋体"/>
          <w:color w:val="auto"/>
          <w:szCs w:val="21"/>
        </w:rPr>
        <w:tab/>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（1）____________________（问题或条款内容）</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（2）____________________（说明疑问或无法理解原因）</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（3）____________________（建议）</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二、_____________________（事项二）</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随附相关证明材料如下：（目录）。</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询问人全称（加盖公章）:</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法定代表或其授权代表(签字或签章)：</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地址/邮编：</w:t>
      </w:r>
    </w:p>
    <w:p>
      <w:pPr>
        <w:widowControl/>
        <w:tabs>
          <w:tab w:val="left" w:pos="6300"/>
        </w:tabs>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电话/传真：</w:t>
      </w:r>
    </w:p>
    <w:p>
      <w:pPr>
        <w:widowControl/>
        <w:tabs>
          <w:tab w:val="left" w:pos="6300"/>
        </w:tabs>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 xml:space="preserve">日    期：     年   月  </w:t>
      </w:r>
      <w:r>
        <w:rPr>
          <w:rFonts w:hint="eastAsia" w:ascii="宋体" w:hAnsi="宋体" w:eastAsia="宋体" w:cs="宋体"/>
          <w:bCs/>
          <w:color w:val="auto"/>
          <w:szCs w:val="21"/>
        </w:rPr>
        <w:t xml:space="preserve"> 日</w:t>
      </w:r>
    </w:p>
    <w:p>
      <w:pPr>
        <w:snapToGrid w:val="0"/>
        <w:spacing w:line="360" w:lineRule="auto"/>
        <w:ind w:firstLine="422" w:firstLineChars="201"/>
        <w:rPr>
          <w:rFonts w:hint="eastAsia" w:ascii="宋体" w:hAnsi="宋体" w:eastAsia="宋体" w:cs="宋体"/>
          <w:color w:val="auto"/>
          <w:szCs w:val="21"/>
        </w:rPr>
      </w:pPr>
    </w:p>
    <w:p>
      <w:pPr>
        <w:pStyle w:val="99"/>
        <w:rPr>
          <w:rFonts w:hint="eastAsia" w:ascii="宋体" w:hAnsi="宋体" w:eastAsia="宋体" w:cs="宋体"/>
          <w:color w:val="auto"/>
        </w:rPr>
      </w:pPr>
    </w:p>
    <w:p>
      <w:pPr>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质  疑  函</w:t>
      </w:r>
    </w:p>
    <w:p>
      <w:pPr>
        <w:widowControl/>
        <w:spacing w:line="360" w:lineRule="auto"/>
        <w:jc w:val="center"/>
        <w:rPr>
          <w:rFonts w:hint="eastAsia" w:ascii="宋体" w:hAnsi="宋体" w:eastAsia="宋体" w:cs="宋体"/>
          <w:b/>
          <w:bCs/>
          <w:color w:val="auto"/>
          <w:spacing w:val="10"/>
          <w:szCs w:val="21"/>
        </w:rPr>
      </w:pPr>
      <w:r>
        <w:rPr>
          <w:rFonts w:hint="eastAsia" w:ascii="宋体" w:hAnsi="宋体" w:eastAsia="宋体" w:cs="宋体"/>
          <w:color w:val="auto"/>
          <w:spacing w:val="10"/>
          <w:szCs w:val="21"/>
        </w:rPr>
        <w:t xml:space="preserve"> (可根据质疑内容增加或删减)</w:t>
      </w:r>
    </w:p>
    <w:p>
      <w:pPr>
        <w:widowControl/>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lang w:eastAsia="zh-CN"/>
        </w:rPr>
        <w:t>广州市荔湾区道路扩建工程办公室</w:t>
      </w:r>
      <w:r>
        <w:rPr>
          <w:rFonts w:hint="eastAsia" w:ascii="宋体" w:hAnsi="宋体" w:eastAsia="宋体" w:cs="宋体"/>
          <w:b/>
          <w:color w:val="auto"/>
          <w:szCs w:val="21"/>
        </w:rPr>
        <w:t>：</w:t>
      </w:r>
    </w:p>
    <w:p>
      <w:pPr>
        <w:widowControl/>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成致项目管理有限公司：</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我公司依法参与了</w:t>
      </w:r>
      <w:r>
        <w:rPr>
          <w:rFonts w:hint="eastAsia" w:ascii="宋体" w:hAnsi="宋体" w:eastAsia="宋体" w:cs="宋体"/>
          <w:color w:val="auto"/>
          <w:szCs w:val="21"/>
          <w:u w:val="single"/>
        </w:rPr>
        <w:t>（采购代理机构或采购人）</w:t>
      </w:r>
      <w:r>
        <w:rPr>
          <w:rFonts w:hint="eastAsia" w:ascii="宋体" w:hAnsi="宋体" w:eastAsia="宋体" w:cs="宋体"/>
          <w:color w:val="auto"/>
          <w:szCs w:val="21"/>
        </w:rPr>
        <w:t>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日组织的政府采购活动。根据《政府采购法》和《政府采购供应商投诉处理办法》等规定，我公司认为</w:t>
      </w:r>
      <w:r>
        <w:rPr>
          <w:rFonts w:hint="eastAsia" w:ascii="宋体" w:hAnsi="宋体" w:eastAsia="宋体" w:cs="宋体"/>
          <w:color w:val="auto"/>
          <w:szCs w:val="21"/>
          <w:u w:val="single"/>
        </w:rPr>
        <w:t xml:space="preserve"> （采购项目名称）（采购项目编号：     ）</w:t>
      </w:r>
      <w:r>
        <w:rPr>
          <w:rFonts w:hint="eastAsia" w:ascii="宋体" w:hAnsi="宋体" w:eastAsia="宋体" w:cs="宋体"/>
          <w:color w:val="auto"/>
          <w:szCs w:val="21"/>
        </w:rPr>
        <w:t>项目的采购活动中，</w:t>
      </w:r>
      <w:r>
        <w:rPr>
          <w:rFonts w:hint="eastAsia" w:ascii="宋体" w:hAnsi="宋体" w:eastAsia="宋体" w:cs="宋体"/>
          <w:color w:val="auto"/>
          <w:szCs w:val="21"/>
          <w:u w:val="single"/>
        </w:rPr>
        <w:t xml:space="preserve">（采购文件、采购过程、中标/成交结果） </w:t>
      </w:r>
      <w:r>
        <w:rPr>
          <w:rFonts w:hint="eastAsia" w:ascii="宋体" w:hAnsi="宋体" w:eastAsia="宋体" w:cs="宋体"/>
          <w:color w:val="auto"/>
          <w:szCs w:val="21"/>
        </w:rPr>
        <w:t>损害了我公司权益，特提出质疑。</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一、我公司认为项目的</w:t>
      </w:r>
      <w:r>
        <w:rPr>
          <w:rFonts w:hint="eastAsia" w:ascii="宋体" w:hAnsi="宋体" w:eastAsia="宋体" w:cs="宋体"/>
          <w:color w:val="auto"/>
          <w:szCs w:val="21"/>
          <w:u w:val="single"/>
        </w:rPr>
        <w:t>（采购文件、采购过程、中标/成交结果）</w:t>
      </w:r>
      <w:r>
        <w:rPr>
          <w:rFonts w:hint="eastAsia" w:ascii="宋体" w:hAnsi="宋体" w:eastAsia="宋体" w:cs="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质疑采购文件</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1．质疑内容采购文件页，内容“  ” 损害了我公司权益，</w:t>
      </w:r>
    </w:p>
    <w:p>
      <w:pPr>
        <w:widowControl/>
        <w:snapToGrid w:val="0"/>
        <w:spacing w:line="360" w:lineRule="auto"/>
        <w:ind w:firstLine="735" w:firstLineChars="350"/>
        <w:rPr>
          <w:rFonts w:hint="eastAsia" w:ascii="宋体" w:hAnsi="宋体" w:eastAsia="宋体" w:cs="宋体"/>
          <w:color w:val="auto"/>
          <w:szCs w:val="21"/>
        </w:rPr>
      </w:pPr>
      <w:r>
        <w:rPr>
          <w:rFonts w:hint="eastAsia" w:ascii="宋体" w:hAnsi="宋体" w:eastAsia="宋体" w:cs="宋体"/>
          <w:color w:val="auto"/>
          <w:szCs w:val="21"/>
        </w:rPr>
        <w:t xml:space="preserve">事实依据：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证据见附件第页）</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法律依据：</w:t>
      </w:r>
    </w:p>
    <w:p>
      <w:pPr>
        <w:widowControl/>
        <w:spacing w:line="360" w:lineRule="auto"/>
        <w:ind w:firstLine="743" w:firstLineChars="354"/>
        <w:rPr>
          <w:rFonts w:hint="eastAsia" w:ascii="宋体" w:hAnsi="宋体" w:eastAsia="宋体" w:cs="宋体"/>
          <w:color w:val="auto"/>
          <w:szCs w:val="21"/>
          <w:u w:val="single"/>
        </w:rPr>
      </w:pPr>
      <w:r>
        <w:rPr>
          <w:rFonts w:hint="eastAsia" w:ascii="宋体" w:hAnsi="宋体" w:eastAsia="宋体" w:cs="宋体"/>
          <w:color w:val="auto"/>
          <w:szCs w:val="21"/>
        </w:rPr>
        <w:t>我方请求采购文件做如下修改：</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我方对采购文件其他内容无质疑。</w:t>
      </w:r>
    </w:p>
    <w:p>
      <w:pPr>
        <w:widowControl/>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质疑采购过程</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日，在进行的（收取采购文件（样品）、开标、谈判）过程，发生损害了我公司权益的事项，</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 xml:space="preserve">事实依据：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证据见附件第页）</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法律依据：</w:t>
      </w:r>
    </w:p>
    <w:p>
      <w:pPr>
        <w:widowControl/>
        <w:spacing w:line="360" w:lineRule="auto"/>
        <w:ind w:firstLine="743" w:firstLineChars="354"/>
        <w:rPr>
          <w:rFonts w:hint="eastAsia" w:ascii="宋体" w:hAnsi="宋体" w:eastAsia="宋体" w:cs="宋体"/>
          <w:color w:val="auto"/>
          <w:szCs w:val="21"/>
          <w:u w:val="single"/>
        </w:rPr>
      </w:pPr>
      <w:r>
        <w:rPr>
          <w:rFonts w:hint="eastAsia" w:ascii="宋体" w:hAnsi="宋体" w:eastAsia="宋体" w:cs="宋体"/>
          <w:color w:val="auto"/>
          <w:szCs w:val="21"/>
        </w:rPr>
        <w:t>我方请求：</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我方对其他采购过程无质疑。</w:t>
      </w:r>
    </w:p>
    <w:p>
      <w:pPr>
        <w:widowControl/>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质疑采购结果</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日公布的中标（成交）结果，发生损害了我公司权益的事项，</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 xml:space="preserve">事实依据：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证据见附件第页）</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法律依据：</w:t>
      </w:r>
    </w:p>
    <w:p>
      <w:pPr>
        <w:widowControl/>
        <w:spacing w:line="360" w:lineRule="auto"/>
        <w:ind w:firstLine="743" w:firstLineChars="354"/>
        <w:rPr>
          <w:rFonts w:hint="eastAsia" w:ascii="宋体" w:hAnsi="宋体" w:eastAsia="宋体" w:cs="宋体"/>
          <w:color w:val="auto"/>
          <w:szCs w:val="21"/>
          <w:u w:val="single"/>
        </w:rPr>
      </w:pPr>
      <w:r>
        <w:rPr>
          <w:rFonts w:hint="eastAsia" w:ascii="宋体" w:hAnsi="宋体" w:eastAsia="宋体" w:cs="宋体"/>
          <w:color w:val="auto"/>
          <w:szCs w:val="21"/>
        </w:rPr>
        <w:t>我方请求：</w:t>
      </w:r>
    </w:p>
    <w:p>
      <w:pPr>
        <w:widowControl/>
        <w:spacing w:line="360" w:lineRule="auto"/>
        <w:ind w:firstLine="743" w:firstLineChars="354"/>
        <w:rPr>
          <w:rFonts w:hint="eastAsia" w:ascii="宋体" w:hAnsi="宋体" w:eastAsia="宋体" w:cs="宋体"/>
          <w:color w:val="auto"/>
          <w:szCs w:val="21"/>
        </w:rPr>
      </w:pPr>
      <w:r>
        <w:rPr>
          <w:rFonts w:hint="eastAsia" w:ascii="宋体" w:hAnsi="宋体" w:eastAsia="宋体" w:cs="宋体"/>
          <w:color w:val="auto"/>
          <w:szCs w:val="21"/>
        </w:rPr>
        <w:t>我方对中标（成交）结果公告其他内容无质疑。</w:t>
      </w:r>
    </w:p>
    <w:p>
      <w:pPr>
        <w:widowControl/>
        <w:snapToGrid w:val="0"/>
        <w:spacing w:line="360" w:lineRule="auto"/>
        <w:ind w:firstLine="420" w:firstLineChars="200"/>
        <w:rPr>
          <w:rFonts w:hint="eastAsia" w:ascii="宋体" w:hAnsi="宋体" w:eastAsia="宋体" w:cs="宋体"/>
          <w:color w:val="auto"/>
          <w:szCs w:val="21"/>
        </w:rPr>
      </w:pP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质疑供应商</w:t>
      </w:r>
      <w:r>
        <w:rPr>
          <w:rFonts w:hint="eastAsia" w:ascii="宋体" w:hAnsi="宋体" w:eastAsia="宋体" w:cs="宋体"/>
          <w:color w:val="auto"/>
          <w:szCs w:val="21"/>
          <w:u w:val="single"/>
        </w:rPr>
        <w:t xml:space="preserve">： （签章）  </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主要负责人 ：（签署本人姓名或印盖本人姓名章）</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项目联系人：</w:t>
      </w:r>
    </w:p>
    <w:p>
      <w:pPr>
        <w:widowControl/>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地址：</w:t>
      </w:r>
    </w:p>
    <w:p>
      <w:pPr>
        <w:widowControl/>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法定代表人：（签署本人姓名或印盖本人姓名章）</w:t>
      </w:r>
    </w:p>
    <w:p>
      <w:pPr>
        <w:widowControl/>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职位：</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电话（手机/座机）：</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邮编：</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电子邮箱：</w:t>
      </w:r>
    </w:p>
    <w:p>
      <w:pPr>
        <w:widowControl/>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传真：</w:t>
      </w:r>
    </w:p>
    <w:p>
      <w:pPr>
        <w:widowControl/>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日期：     年   月  </w:t>
      </w:r>
      <w:r>
        <w:rPr>
          <w:rFonts w:hint="eastAsia" w:ascii="宋体" w:hAnsi="宋体" w:eastAsia="宋体" w:cs="宋体"/>
          <w:bCs/>
          <w:color w:val="auto"/>
          <w:szCs w:val="21"/>
        </w:rPr>
        <w:t xml:space="preserve"> 日</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备注：</w:t>
      </w:r>
    </w:p>
    <w:p>
      <w:pPr>
        <w:widowControl/>
        <w:numPr>
          <w:ilvl w:val="0"/>
          <w:numId w:val="5"/>
        </w:num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每个质疑事项应有与之相对应的证据予以支持。质疑事项属于涉密的，应提供信息来源或有效证据。</w:t>
      </w:r>
    </w:p>
    <w:p>
      <w:pPr>
        <w:widowControl/>
        <w:numPr>
          <w:ilvl w:val="0"/>
          <w:numId w:val="5"/>
        </w:num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5"/>
        </w:num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质疑函应当署名。质疑人为自然人的，应当有本人签名；质疑人为法人或者其他组织的，应当由法定代表人或者主要负责人</w:t>
      </w:r>
      <w:r>
        <w:rPr>
          <w:rFonts w:hint="eastAsia" w:ascii="宋体" w:hAnsi="宋体" w:eastAsia="宋体" w:cs="宋体"/>
          <w:color w:val="auto"/>
          <w:szCs w:val="21"/>
          <w:lang w:eastAsia="zh-TW"/>
        </w:rPr>
        <w:t>签署本人姓名（或印盖本人姓名章）</w:t>
      </w:r>
      <w:r>
        <w:rPr>
          <w:rFonts w:hint="eastAsia" w:ascii="宋体" w:hAnsi="宋体" w:eastAsia="宋体" w:cs="宋体"/>
          <w:color w:val="auto"/>
          <w:szCs w:val="21"/>
        </w:rPr>
        <w:t>并加盖公章。</w:t>
      </w:r>
    </w:p>
    <w:p>
      <w:pPr>
        <w:autoSpaceDE w:val="0"/>
        <w:autoSpaceDN w:val="0"/>
        <w:adjustRightInd w:val="0"/>
        <w:snapToGrid w:val="0"/>
        <w:spacing w:line="360" w:lineRule="auto"/>
        <w:outlineLvl w:val="0"/>
        <w:rPr>
          <w:rFonts w:hint="eastAsia" w:ascii="宋体" w:hAnsi="宋体" w:eastAsia="宋体" w:cs="宋体"/>
          <w:color w:val="auto"/>
          <w:szCs w:val="21"/>
        </w:rPr>
      </w:pPr>
      <w:r>
        <w:rPr>
          <w:rFonts w:hint="eastAsia" w:ascii="宋体" w:hAnsi="宋体" w:eastAsia="宋体" w:cs="宋体"/>
          <w:color w:val="auto"/>
          <w:szCs w:val="21"/>
        </w:rPr>
        <w:br w:type="page"/>
      </w:r>
    </w:p>
    <w:p>
      <w:pPr>
        <w:spacing w:line="360" w:lineRule="auto"/>
        <w:rPr>
          <w:rFonts w:hint="eastAsia" w:ascii="宋体" w:hAnsi="宋体" w:eastAsia="宋体" w:cs="宋体"/>
          <w:color w:val="auto"/>
          <w:sz w:val="44"/>
        </w:rPr>
      </w:pPr>
      <w:bookmarkStart w:id="404" w:name="_Toc320515055"/>
    </w:p>
    <w:p>
      <w:pPr>
        <w:spacing w:line="360" w:lineRule="auto"/>
        <w:rPr>
          <w:rFonts w:hint="eastAsia" w:ascii="宋体" w:hAnsi="宋体" w:eastAsia="宋体" w:cs="宋体"/>
          <w:color w:val="auto"/>
          <w:sz w:val="44"/>
        </w:rPr>
      </w:pPr>
    </w:p>
    <w:p>
      <w:pPr>
        <w:spacing w:line="360" w:lineRule="auto"/>
        <w:rPr>
          <w:rFonts w:hint="eastAsia" w:ascii="宋体" w:hAnsi="宋体" w:eastAsia="宋体" w:cs="宋体"/>
          <w:color w:val="auto"/>
          <w:sz w:val="44"/>
        </w:rPr>
      </w:pPr>
    </w:p>
    <w:p>
      <w:pPr>
        <w:spacing w:line="360" w:lineRule="auto"/>
        <w:rPr>
          <w:rFonts w:hint="eastAsia" w:ascii="宋体" w:hAnsi="宋体" w:eastAsia="宋体" w:cs="宋体"/>
          <w:color w:val="auto"/>
          <w:sz w:val="44"/>
        </w:rPr>
      </w:pPr>
    </w:p>
    <w:p>
      <w:pPr>
        <w:spacing w:line="360" w:lineRule="auto"/>
        <w:rPr>
          <w:rFonts w:hint="eastAsia" w:ascii="宋体" w:hAnsi="宋体" w:eastAsia="宋体" w:cs="宋体"/>
          <w:color w:val="auto"/>
          <w:sz w:val="44"/>
        </w:rPr>
      </w:pPr>
    </w:p>
    <w:p>
      <w:pPr>
        <w:spacing w:line="360" w:lineRule="auto"/>
        <w:rPr>
          <w:rFonts w:hint="eastAsia" w:ascii="宋体" w:hAnsi="宋体" w:eastAsia="宋体" w:cs="宋体"/>
          <w:color w:val="auto"/>
          <w:sz w:val="44"/>
        </w:rPr>
      </w:pPr>
    </w:p>
    <w:p>
      <w:pPr>
        <w:pStyle w:val="4"/>
        <w:autoSpaceDE w:val="0"/>
        <w:rPr>
          <w:rFonts w:hint="eastAsia" w:ascii="宋体" w:hAnsi="宋体" w:eastAsia="宋体" w:cs="宋体"/>
          <w:color w:val="auto"/>
          <w:sz w:val="44"/>
        </w:rPr>
      </w:pPr>
      <w:bookmarkStart w:id="405" w:name="_Toc475104521"/>
      <w:bookmarkStart w:id="406" w:name="_Toc25028"/>
      <w:bookmarkStart w:id="407" w:name="_Toc12758"/>
      <w:r>
        <w:rPr>
          <w:rFonts w:hint="eastAsia" w:ascii="宋体" w:hAnsi="宋体" w:eastAsia="宋体" w:cs="宋体"/>
          <w:b w:val="0"/>
          <w:color w:val="auto"/>
          <w:sz w:val="2"/>
          <w:szCs w:val="2"/>
        </w:rPr>
        <w:t>2B2B</w:t>
      </w:r>
      <w:r>
        <w:rPr>
          <w:rFonts w:hint="eastAsia" w:ascii="宋体" w:hAnsi="宋体" w:eastAsia="宋体" w:cs="宋体"/>
          <w:color w:val="auto"/>
          <w:sz w:val="44"/>
        </w:rPr>
        <w:t>第三章</w:t>
      </w:r>
      <w:bookmarkStart w:id="408" w:name="_Toc10525517"/>
      <w:r>
        <w:rPr>
          <w:rFonts w:hint="eastAsia" w:ascii="宋体" w:hAnsi="宋体" w:eastAsia="宋体" w:cs="宋体"/>
          <w:color w:val="auto"/>
          <w:sz w:val="44"/>
        </w:rPr>
        <w:t xml:space="preserve"> 采购人需求书</w:t>
      </w:r>
      <w:bookmarkEnd w:id="333"/>
      <w:bookmarkEnd w:id="334"/>
      <w:bookmarkEnd w:id="404"/>
      <w:bookmarkEnd w:id="405"/>
      <w:bookmarkEnd w:id="406"/>
      <w:bookmarkEnd w:id="407"/>
      <w:bookmarkEnd w:id="408"/>
    </w:p>
    <w:p>
      <w:pPr>
        <w:spacing w:line="360" w:lineRule="auto"/>
        <w:rPr>
          <w:rFonts w:hint="eastAsia" w:ascii="宋体" w:hAnsi="宋体" w:eastAsia="宋体" w:cs="宋体"/>
          <w:color w:val="auto"/>
        </w:rPr>
      </w:pPr>
      <w:bookmarkStart w:id="409" w:name="_Toc28489480"/>
      <w:bookmarkStart w:id="410" w:name="_Toc14450822"/>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adjustRightInd w:val="0"/>
        <w:snapToGrid w:val="0"/>
        <w:spacing w:line="360" w:lineRule="auto"/>
        <w:rPr>
          <w:rFonts w:hint="eastAsia" w:ascii="宋体" w:hAnsi="宋体" w:eastAsia="宋体" w:cs="宋体"/>
          <w:b/>
          <w:color w:val="auto"/>
          <w:sz w:val="24"/>
        </w:rPr>
      </w:pPr>
      <w:bookmarkStart w:id="411" w:name="_Toc321815811"/>
      <w:bookmarkEnd w:id="411"/>
      <w:bookmarkStart w:id="412" w:name="_Toc321815807"/>
      <w:bookmarkEnd w:id="412"/>
      <w:bookmarkStart w:id="413" w:name="_Toc321815804"/>
      <w:bookmarkEnd w:id="413"/>
      <w:bookmarkStart w:id="414" w:name="_Toc321815817"/>
      <w:bookmarkEnd w:id="414"/>
      <w:bookmarkStart w:id="415" w:name="_Toc321815813"/>
      <w:bookmarkEnd w:id="415"/>
      <w:bookmarkStart w:id="416" w:name="_Toc321815825"/>
      <w:bookmarkEnd w:id="416"/>
      <w:bookmarkStart w:id="417" w:name="_Toc321815819"/>
      <w:bookmarkEnd w:id="417"/>
      <w:bookmarkStart w:id="418" w:name="_Toc321815806"/>
      <w:bookmarkEnd w:id="418"/>
      <w:bookmarkStart w:id="419" w:name="_Toc321815823"/>
      <w:bookmarkEnd w:id="419"/>
      <w:bookmarkStart w:id="420" w:name="_Toc321815822"/>
      <w:bookmarkEnd w:id="420"/>
      <w:bookmarkStart w:id="421" w:name="_Toc321815810"/>
      <w:bookmarkEnd w:id="421"/>
      <w:bookmarkStart w:id="422" w:name="_Toc321815824"/>
      <w:bookmarkEnd w:id="422"/>
      <w:bookmarkStart w:id="423" w:name="_Toc321815812"/>
      <w:bookmarkEnd w:id="423"/>
      <w:bookmarkStart w:id="424" w:name="_Toc321815814"/>
      <w:bookmarkEnd w:id="424"/>
      <w:bookmarkStart w:id="425" w:name="_Toc321815801"/>
      <w:bookmarkEnd w:id="425"/>
      <w:bookmarkStart w:id="426" w:name="_Toc321815818"/>
      <w:bookmarkEnd w:id="426"/>
      <w:bookmarkStart w:id="427" w:name="_Toc321815816"/>
      <w:bookmarkEnd w:id="427"/>
      <w:bookmarkStart w:id="428" w:name="_Toc321815820"/>
      <w:bookmarkEnd w:id="428"/>
      <w:bookmarkStart w:id="429" w:name="_Toc321815808"/>
      <w:bookmarkEnd w:id="429"/>
      <w:bookmarkStart w:id="430" w:name="_Toc321815826"/>
      <w:bookmarkEnd w:id="430"/>
      <w:bookmarkStart w:id="431" w:name="_Toc321815802"/>
      <w:bookmarkEnd w:id="431"/>
      <w:bookmarkStart w:id="432" w:name="_Toc321815809"/>
      <w:bookmarkEnd w:id="432"/>
      <w:bookmarkStart w:id="433" w:name="_Toc321815805"/>
      <w:bookmarkEnd w:id="433"/>
      <w:bookmarkStart w:id="434" w:name="_Toc321815821"/>
      <w:bookmarkEnd w:id="434"/>
      <w:bookmarkStart w:id="435" w:name="_Toc321815815"/>
      <w:bookmarkEnd w:id="435"/>
      <w:bookmarkStart w:id="436" w:name="_Toc320515056"/>
    </w:p>
    <w:p>
      <w:pPr>
        <w:adjustRightInd w:val="0"/>
        <w:snapToGrid w:val="0"/>
        <w:spacing w:line="360" w:lineRule="auto"/>
        <w:rPr>
          <w:rFonts w:hint="eastAsia" w:ascii="宋体" w:hAnsi="宋体" w:eastAsia="宋体" w:cs="宋体"/>
          <w:b/>
          <w:color w:val="auto"/>
          <w:sz w:val="24"/>
        </w:rPr>
      </w:pPr>
    </w:p>
    <w:p>
      <w:pPr>
        <w:adjustRightInd w:val="0"/>
        <w:snapToGrid w:val="0"/>
        <w:spacing w:line="360" w:lineRule="auto"/>
        <w:rPr>
          <w:rFonts w:hint="eastAsia" w:ascii="宋体" w:hAnsi="宋体" w:eastAsia="宋体" w:cs="宋体"/>
          <w:b/>
          <w:color w:val="auto"/>
          <w:sz w:val="24"/>
        </w:rPr>
      </w:pPr>
    </w:p>
    <w:p>
      <w:pPr>
        <w:adjustRightInd w:val="0"/>
        <w:snapToGrid w:val="0"/>
        <w:spacing w:line="360" w:lineRule="auto"/>
        <w:rPr>
          <w:rFonts w:hint="eastAsia" w:ascii="宋体" w:hAnsi="宋体" w:eastAsia="宋体" w:cs="宋体"/>
          <w:b/>
          <w:color w:val="auto"/>
          <w:sz w:val="24"/>
        </w:rPr>
      </w:pPr>
    </w:p>
    <w:p>
      <w:pPr>
        <w:adjustRightInd w:val="0"/>
        <w:snapToGrid w:val="0"/>
        <w:spacing w:line="360" w:lineRule="auto"/>
        <w:rPr>
          <w:rFonts w:hint="eastAsia" w:ascii="宋体" w:hAnsi="宋体" w:eastAsia="宋体" w:cs="宋体"/>
          <w:b/>
          <w:color w:val="auto"/>
          <w:sz w:val="24"/>
        </w:rPr>
      </w:pPr>
    </w:p>
    <w:p>
      <w:pPr>
        <w:autoSpaceDE w:val="0"/>
        <w:autoSpaceDN w:val="0"/>
        <w:adjustRightInd w:val="0"/>
        <w:snapToGrid w:val="0"/>
        <w:spacing w:line="360" w:lineRule="auto"/>
        <w:jc w:val="center"/>
        <w:outlineLvl w:val="0"/>
        <w:rPr>
          <w:rFonts w:hint="eastAsia" w:ascii="宋体" w:hAnsi="宋体" w:eastAsia="宋体" w:cs="宋体"/>
          <w:b/>
          <w:bCs/>
          <w:color w:val="auto"/>
          <w:sz w:val="28"/>
          <w:szCs w:val="28"/>
        </w:rPr>
      </w:pPr>
    </w:p>
    <w:p>
      <w:pPr>
        <w:autoSpaceDE w:val="0"/>
        <w:autoSpaceDN w:val="0"/>
        <w:adjustRightInd w:val="0"/>
        <w:snapToGrid w:val="0"/>
        <w:spacing w:line="360" w:lineRule="auto"/>
        <w:jc w:val="center"/>
        <w:outlineLvl w:val="0"/>
        <w:rPr>
          <w:rFonts w:hint="eastAsia" w:ascii="宋体" w:hAnsi="宋体" w:eastAsia="宋体" w:cs="宋体"/>
          <w:b/>
          <w:bCs/>
          <w:color w:val="auto"/>
          <w:sz w:val="28"/>
          <w:szCs w:val="28"/>
        </w:rPr>
      </w:pPr>
    </w:p>
    <w:p>
      <w:pPr>
        <w:autoSpaceDE w:val="0"/>
        <w:autoSpaceDN w:val="0"/>
        <w:adjustRightInd w:val="0"/>
        <w:snapToGrid w:val="0"/>
        <w:spacing w:line="360" w:lineRule="auto"/>
        <w:jc w:val="center"/>
        <w:outlineLvl w:val="0"/>
        <w:rPr>
          <w:rFonts w:hint="eastAsia" w:ascii="宋体" w:hAnsi="宋体" w:eastAsia="宋体" w:cs="宋体"/>
          <w:b/>
          <w:bCs/>
          <w:color w:val="auto"/>
          <w:sz w:val="28"/>
          <w:szCs w:val="28"/>
        </w:rPr>
      </w:pPr>
      <w:bookmarkStart w:id="437" w:name="_Toc31305"/>
      <w:bookmarkStart w:id="438" w:name="_Toc28606"/>
      <w:bookmarkStart w:id="439" w:name="_Toc9087"/>
      <w:r>
        <w:rPr>
          <w:rFonts w:hint="eastAsia" w:ascii="宋体" w:hAnsi="宋体" w:eastAsia="宋体" w:cs="宋体"/>
          <w:b/>
          <w:bCs/>
          <w:color w:val="auto"/>
          <w:sz w:val="28"/>
          <w:szCs w:val="28"/>
        </w:rPr>
        <w:t>采购人需求</w:t>
      </w:r>
      <w:bookmarkEnd w:id="437"/>
      <w:bookmarkEnd w:id="438"/>
      <w:bookmarkEnd w:id="439"/>
    </w:p>
    <w:bookmarkEnd w:id="409"/>
    <w:bookmarkEnd w:id="410"/>
    <w:bookmarkEnd w:id="436"/>
    <w:p>
      <w:pPr>
        <w:pStyle w:val="2"/>
        <w:tabs>
          <w:tab w:val="left" w:pos="7740"/>
        </w:tabs>
        <w:adjustRightInd w:val="0"/>
        <w:snapToGrid w:val="0"/>
        <w:spacing w:before="120" w:beforeLines="50" w:line="360" w:lineRule="auto"/>
        <w:outlineLvl w:val="1"/>
        <w:rPr>
          <w:rFonts w:hint="eastAsia" w:ascii="宋体" w:hAnsi="宋体" w:eastAsia="宋体" w:cs="宋体"/>
          <w:b/>
          <w:color w:val="auto"/>
          <w:lang w:val="zh-CN"/>
        </w:rPr>
      </w:pPr>
      <w:bookmarkStart w:id="440" w:name="_Toc483158260"/>
      <w:r>
        <w:rPr>
          <w:rFonts w:hint="eastAsia" w:ascii="宋体" w:hAnsi="宋体" w:eastAsia="宋体" w:cs="宋体"/>
          <w:b/>
          <w:color w:val="auto"/>
          <w:lang w:val="zh-CN"/>
        </w:rPr>
        <w:t>一、工程概况</w:t>
      </w:r>
    </w:p>
    <w:p>
      <w:pPr>
        <w:spacing w:line="360" w:lineRule="auto"/>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（一）项目名称：</w:t>
      </w:r>
      <w:r>
        <w:rPr>
          <w:rFonts w:hint="eastAsia" w:ascii="宋体" w:hAnsi="宋体" w:cs="宋体"/>
          <w:color w:val="auto"/>
          <w:lang w:val="zh-CN"/>
        </w:rPr>
        <w:t>康王路下穿流花湖隧道</w:t>
      </w:r>
      <w:r>
        <w:rPr>
          <w:rFonts w:hint="eastAsia" w:ascii="宋体" w:hAnsi="宋体" w:eastAsia="宋体" w:cs="宋体"/>
          <w:color w:val="auto"/>
          <w:lang w:val="zh-CN"/>
        </w:rPr>
        <w:t>工程站前路93-99号房屋加固工程监理</w:t>
      </w:r>
    </w:p>
    <w:p>
      <w:pPr>
        <w:spacing w:line="360" w:lineRule="auto"/>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（二）采购人：广州市荔湾区道路扩建工程办公室</w:t>
      </w:r>
    </w:p>
    <w:p>
      <w:pPr>
        <w:spacing w:line="360" w:lineRule="auto"/>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（三）</w:t>
      </w:r>
      <w:r>
        <w:rPr>
          <w:rFonts w:hint="eastAsia" w:ascii="宋体" w:hAnsi="宋体" w:eastAsia="宋体" w:cs="宋体"/>
          <w:color w:val="auto"/>
          <w:lang w:val="en-US" w:eastAsia="zh-CN"/>
        </w:rPr>
        <w:t>总投资</w:t>
      </w:r>
      <w:r>
        <w:rPr>
          <w:rFonts w:hint="eastAsia" w:ascii="宋体" w:hAnsi="宋体" w:eastAsia="宋体" w:cs="宋体"/>
          <w:color w:val="auto"/>
          <w:lang w:val="zh-CN"/>
        </w:rPr>
        <w:t>：人民币</w:t>
      </w:r>
      <w:r>
        <w:rPr>
          <w:rFonts w:hint="eastAsia" w:ascii="宋体" w:hAnsi="宋体" w:eastAsia="宋体" w:cs="宋体"/>
          <w:color w:val="auto"/>
          <w:lang w:val="en-US" w:eastAsia="zh-CN"/>
        </w:rPr>
        <w:t>940万</w:t>
      </w:r>
      <w:r>
        <w:rPr>
          <w:rFonts w:hint="eastAsia" w:ascii="宋体" w:hAnsi="宋体" w:eastAsia="宋体" w:cs="宋体"/>
          <w:color w:val="auto"/>
          <w:lang w:val="zh-CN"/>
        </w:rPr>
        <w:t>元</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四</w:t>
      </w:r>
      <w:r>
        <w:rPr>
          <w:rFonts w:hint="eastAsia" w:ascii="宋体" w:hAnsi="宋体" w:eastAsia="宋体" w:cs="宋体"/>
          <w:color w:val="auto"/>
          <w:lang w:val="zh-CN"/>
        </w:rPr>
        <w:t>）</w:t>
      </w:r>
      <w:r>
        <w:rPr>
          <w:rFonts w:hint="eastAsia" w:ascii="宋体" w:hAnsi="宋体" w:eastAsia="宋体" w:cs="宋体"/>
          <w:color w:val="auto"/>
          <w:lang w:val="en-US" w:eastAsia="zh-CN"/>
        </w:rPr>
        <w:t>监理最高限价</w:t>
      </w:r>
      <w:r>
        <w:rPr>
          <w:rFonts w:hint="eastAsia" w:ascii="宋体" w:hAnsi="宋体" w:eastAsia="宋体" w:cs="宋体"/>
          <w:color w:val="auto"/>
          <w:lang w:val="zh-CN"/>
        </w:rPr>
        <w:t>24</w:t>
      </w:r>
      <w:r>
        <w:rPr>
          <w:rFonts w:hint="eastAsia" w:ascii="宋体" w:hAnsi="宋体" w:eastAsia="宋体" w:cs="宋体"/>
          <w:color w:val="auto"/>
          <w:lang w:val="en-US" w:eastAsia="zh-CN"/>
        </w:rPr>
        <w:t>.</w:t>
      </w:r>
      <w:r>
        <w:rPr>
          <w:rFonts w:hint="eastAsia" w:ascii="宋体" w:hAnsi="宋体" w:eastAsia="宋体" w:cs="宋体"/>
          <w:color w:val="auto"/>
          <w:lang w:val="zh-CN"/>
        </w:rPr>
        <w:t>1978</w:t>
      </w:r>
      <w:r>
        <w:rPr>
          <w:rFonts w:hint="eastAsia" w:ascii="宋体" w:hAnsi="宋体" w:eastAsia="宋体" w:cs="宋体"/>
          <w:color w:val="auto"/>
          <w:lang w:val="en-US" w:eastAsia="zh-CN"/>
        </w:rPr>
        <w:t>万元</w:t>
      </w:r>
    </w:p>
    <w:p>
      <w:pPr>
        <w:spacing w:line="360" w:lineRule="auto"/>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五</w:t>
      </w:r>
      <w:r>
        <w:rPr>
          <w:rFonts w:hint="eastAsia" w:ascii="宋体" w:hAnsi="宋体" w:eastAsia="宋体" w:cs="宋体"/>
          <w:color w:val="auto"/>
          <w:lang w:val="zh-CN"/>
        </w:rPr>
        <w:t>）承包方式：</w:t>
      </w:r>
      <w:r>
        <w:rPr>
          <w:rFonts w:hint="eastAsia" w:ascii="宋体" w:hAnsi="宋体" w:eastAsia="宋体" w:cs="宋体"/>
          <w:color w:val="auto"/>
          <w:lang w:val="en-US" w:eastAsia="zh-CN"/>
        </w:rPr>
        <w:t>总</w:t>
      </w:r>
      <w:r>
        <w:rPr>
          <w:rFonts w:hint="eastAsia" w:ascii="宋体" w:hAnsi="宋体" w:eastAsia="宋体" w:cs="宋体"/>
          <w:color w:val="auto"/>
          <w:lang w:val="zh-CN"/>
        </w:rPr>
        <w:t>价包干。报价人应按采购文件及施工规范等文件资料，结合现场实际情况进行响应，包工、包料、包质量、包工期、包安全文明施工、包调试、包验收。报价人报价是全部费用，包括分部分项工程费、措施项目费、其他项目费、规费、利润和税金、设备的市场涨价风险等。</w:t>
      </w:r>
    </w:p>
    <w:p>
      <w:pPr>
        <w:spacing w:line="360" w:lineRule="auto"/>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六</w:t>
      </w:r>
      <w:r>
        <w:rPr>
          <w:rFonts w:hint="eastAsia" w:ascii="宋体" w:hAnsi="宋体" w:eastAsia="宋体" w:cs="宋体"/>
          <w:color w:val="auto"/>
          <w:lang w:val="zh-CN"/>
        </w:rPr>
        <w:t>）</w:t>
      </w:r>
      <w:r>
        <w:rPr>
          <w:rFonts w:hint="eastAsia" w:ascii="宋体" w:hAnsi="宋体" w:eastAsia="宋体" w:cs="宋体"/>
          <w:color w:val="auto"/>
          <w:lang w:val="en-US" w:eastAsia="zh-CN"/>
        </w:rPr>
        <w:t>监理</w:t>
      </w:r>
      <w:r>
        <w:rPr>
          <w:rFonts w:hint="eastAsia" w:ascii="宋体" w:hAnsi="宋体" w:eastAsia="宋体" w:cs="宋体"/>
          <w:color w:val="auto"/>
          <w:lang w:val="zh-CN"/>
        </w:rPr>
        <w:t>质量标准：</w:t>
      </w:r>
      <w:r>
        <w:rPr>
          <w:rFonts w:hint="eastAsia" w:ascii="宋体" w:hAnsi="宋体" w:eastAsia="宋体" w:cs="宋体"/>
          <w:color w:val="auto"/>
          <w:lang w:val="en-US" w:eastAsia="zh-CN"/>
        </w:rPr>
        <w:t>合格</w:t>
      </w:r>
      <w:r>
        <w:rPr>
          <w:rFonts w:hint="eastAsia" w:ascii="宋体" w:hAnsi="宋体" w:eastAsia="宋体" w:cs="宋体"/>
          <w:color w:val="auto"/>
          <w:lang w:val="zh-CN"/>
        </w:rPr>
        <w:t>。</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七</w:t>
      </w:r>
      <w:r>
        <w:rPr>
          <w:rFonts w:hint="eastAsia" w:ascii="宋体" w:hAnsi="宋体" w:eastAsia="宋体" w:cs="宋体"/>
          <w:color w:val="auto"/>
          <w:lang w:val="zh-CN"/>
        </w:rPr>
        <w:t>）</w:t>
      </w:r>
      <w:r>
        <w:rPr>
          <w:rFonts w:hint="eastAsia" w:ascii="宋体" w:hAnsi="宋体" w:eastAsia="宋体" w:cs="宋体"/>
          <w:color w:val="auto"/>
          <w:lang w:val="en-US" w:eastAsia="zh-CN"/>
        </w:rPr>
        <w:t>监理服务工期：自合同签订之日至工程验收合格。</w:t>
      </w:r>
    </w:p>
    <w:p>
      <w:pPr>
        <w:tabs>
          <w:tab w:val="left" w:pos="840"/>
        </w:tabs>
        <w:spacing w:line="440" w:lineRule="exact"/>
        <w:rPr>
          <w:rFonts w:hint="eastAsia" w:ascii="宋体" w:hAnsi="宋体" w:eastAsia="宋体" w:cs="宋体"/>
          <w:b/>
          <w:color w:val="auto"/>
        </w:rPr>
      </w:pPr>
      <w:r>
        <w:rPr>
          <w:rFonts w:hint="eastAsia" w:ascii="宋体" w:hAnsi="宋体" w:eastAsia="宋体" w:cs="宋体"/>
          <w:b/>
          <w:color w:val="auto"/>
          <w:lang w:val="zh-CN"/>
        </w:rPr>
        <w:t>二、</w:t>
      </w:r>
      <w:r>
        <w:rPr>
          <w:rFonts w:hint="eastAsia" w:ascii="宋体" w:hAnsi="宋体" w:eastAsia="宋体" w:cs="宋体"/>
          <w:b/>
          <w:color w:val="auto"/>
        </w:rPr>
        <w:t>现场踏勘</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本项目不集中组织</w:t>
      </w:r>
      <w:r>
        <w:rPr>
          <w:rFonts w:hint="eastAsia" w:ascii="宋体" w:hAnsi="宋体" w:eastAsia="宋体" w:cs="宋体"/>
          <w:b/>
          <w:color w:val="auto"/>
        </w:rPr>
        <w:t>现场踏勘</w:t>
      </w:r>
      <w:r>
        <w:rPr>
          <w:rFonts w:hint="eastAsia" w:ascii="宋体" w:hAnsi="宋体" w:eastAsia="宋体" w:cs="宋体"/>
          <w:color w:val="auto"/>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三、采购项目技术要求</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一</w:t>
      </w:r>
      <w:r>
        <w:rPr>
          <w:rFonts w:hint="eastAsia" w:ascii="宋体" w:hAnsi="宋体" w:eastAsia="宋体" w:cs="宋体"/>
          <w:color w:val="auto"/>
          <w:lang w:val="zh-CN"/>
        </w:rPr>
        <w:t>）报价要求</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1.</w:t>
      </w:r>
      <w:r>
        <w:rPr>
          <w:rFonts w:hint="eastAsia" w:ascii="宋体" w:hAnsi="宋体" w:eastAsia="宋体" w:cs="宋体"/>
          <w:color w:val="auto"/>
          <w:lang w:val="zh-CN"/>
        </w:rPr>
        <w:t>报价为报价人在响应文件中提出的各项支付金额的总和。</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报价人的报价，应是完成本采购文件项目工程所列全部内容。</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3.</w:t>
      </w:r>
      <w:r>
        <w:rPr>
          <w:rFonts w:hint="eastAsia" w:ascii="宋体" w:hAnsi="宋体" w:eastAsia="宋体" w:cs="宋体"/>
          <w:color w:val="auto"/>
          <w:lang w:val="zh-CN"/>
        </w:rPr>
        <w:t>除非采购人对采购文件予以修改，任何有选择的报价将不予接受。</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4</w:t>
      </w:r>
      <w:r>
        <w:rPr>
          <w:rFonts w:hint="eastAsia" w:ascii="宋体" w:hAnsi="宋体" w:eastAsia="宋体" w:cs="宋体"/>
          <w:color w:val="auto"/>
          <w:lang w:val="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zh-CN"/>
        </w:rPr>
        <w:t>★为保证项目质量，报价供应商的报价原则上不能低于</w:t>
      </w:r>
      <w:r>
        <w:rPr>
          <w:rFonts w:hint="eastAsia" w:ascii="宋体" w:hAnsi="宋体" w:eastAsia="宋体" w:cs="宋体"/>
          <w:color w:val="auto"/>
          <w:lang w:val="en-US" w:eastAsia="zh-CN"/>
        </w:rPr>
        <w:t>监理最高限价</w:t>
      </w:r>
      <w:r>
        <w:rPr>
          <w:rFonts w:hint="eastAsia" w:ascii="宋体" w:hAnsi="宋体" w:eastAsia="宋体" w:cs="宋体"/>
          <w:color w:val="auto"/>
          <w:lang w:val="zh-CN"/>
        </w:rPr>
        <w:t>85%。若低于采购预算金额的85%时须说明充分且可行的理由，不作说明或说明理由不充分可当作报价无效处理。</w:t>
      </w:r>
    </w:p>
    <w:p>
      <w:pPr>
        <w:spacing w:line="440" w:lineRule="exact"/>
        <w:ind w:firstLine="420" w:firstLineChars="200"/>
        <w:rPr>
          <w:rFonts w:hint="eastAsia" w:ascii="宋体" w:hAnsi="宋体" w:eastAsia="宋体" w:cs="宋体"/>
          <w:color w:val="auto"/>
          <w:lang w:val="zh-CN"/>
        </w:rPr>
      </w:pPr>
      <w:bookmarkStart w:id="441" w:name="_Toc329467383"/>
      <w:r>
        <w:rPr>
          <w:rFonts w:hint="eastAsia" w:ascii="宋体" w:hAnsi="宋体" w:eastAsia="宋体" w:cs="宋体"/>
          <w:color w:val="auto"/>
          <w:lang w:val="zh-CN"/>
        </w:rPr>
        <w:t>（二）项目质量控制标准和使用材料的要求</w:t>
      </w:r>
      <w:bookmarkEnd w:id="441"/>
      <w:bookmarkStart w:id="442" w:name="_Toc329467384"/>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1.</w:t>
      </w:r>
      <w:r>
        <w:rPr>
          <w:rFonts w:hint="eastAsia" w:ascii="宋体" w:hAnsi="宋体" w:eastAsia="宋体" w:cs="宋体"/>
          <w:color w:val="auto"/>
          <w:lang w:val="en-US" w:eastAsia="zh-CN"/>
        </w:rPr>
        <w:t>监理</w:t>
      </w:r>
      <w:r>
        <w:rPr>
          <w:rFonts w:hint="eastAsia" w:ascii="宋体" w:hAnsi="宋体" w:eastAsia="宋体" w:cs="宋体"/>
          <w:color w:val="auto"/>
          <w:lang w:val="zh-CN"/>
        </w:rPr>
        <w:t>技术要求：按工程设计图纸及国家和省市现行有关规范及行业标准。</w:t>
      </w:r>
    </w:p>
    <w:p>
      <w:pPr>
        <w:spacing w:line="44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rPr>
        <w:t>2.</w:t>
      </w:r>
      <w:r>
        <w:rPr>
          <w:rFonts w:hint="eastAsia" w:ascii="宋体" w:hAnsi="宋体" w:eastAsia="宋体" w:cs="宋体"/>
          <w:color w:val="auto"/>
          <w:lang w:val="zh-CN"/>
        </w:rPr>
        <w:t>工程质量要求：</w:t>
      </w:r>
      <w:r>
        <w:rPr>
          <w:rFonts w:hint="eastAsia" w:ascii="宋体" w:hAnsi="宋体" w:eastAsia="宋体" w:cs="宋体"/>
          <w:color w:val="auto"/>
          <w:lang w:val="en-US" w:eastAsia="zh-CN"/>
        </w:rPr>
        <w:t>合格。</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3.</w:t>
      </w:r>
      <w:bookmarkStart w:id="443" w:name="_Toc329467389"/>
      <w:r>
        <w:rPr>
          <w:rFonts w:hint="eastAsia" w:ascii="宋体" w:hAnsi="宋体" w:eastAsia="宋体" w:cs="宋体"/>
          <w:color w:val="auto"/>
          <w:lang w:val="zh-CN"/>
        </w:rPr>
        <w:t>成交人为监理单位，不允许转包，不允许违法分包。否则，采购人有权单方面终止合同和按成交价的5%向成交人收取违约金，并令其立即退场，由此而造成的经济损失由成交人负责赔偿。</w:t>
      </w:r>
    </w:p>
    <w:bookmarkEnd w:id="442"/>
    <w:bookmarkEnd w:id="443"/>
    <w:p>
      <w:pPr>
        <w:tabs>
          <w:tab w:val="left" w:pos="8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四、采购合同要求</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付款方式：</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（1）首期支付合同价的20%作为预付款；</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（2）根据施工进度申请付至合同内实际完成工作量的80%对应的合同款项，但工程完工并竣工验收合格前累计支付不超过合同价75%；</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（3）竣工验收合格后，可累计支付至合同价的80%（同时限合同价的80%以内）；</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（4）结算款按实结算，结算款经有关部门审核后一次性付清余额，实际结算金额少于已支付的进度款的，监理人应当于3个工作日内向委托人返还。 </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本合同条款中的付款时间，均是指委托人为向财政申请支付而办理申请手续的时间，而非指实际付款时间，具体付款时间以财政拨款时间为准，监理人对此无异议。</w:t>
      </w:r>
    </w:p>
    <w:p>
      <w:pPr>
        <w:spacing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工程质量保修期：</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1</w:t>
      </w:r>
      <w:r>
        <w:rPr>
          <w:rFonts w:hint="eastAsia" w:ascii="宋体" w:hAnsi="宋体" w:eastAsia="宋体" w:cs="宋体"/>
          <w:color w:val="auto"/>
          <w:lang w:val="zh-CN"/>
        </w:rPr>
        <w:t>）质量要求：按国家相关规范规程一次性验收达到合格标准。</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）质量保修期从合同工程实际竣工验收合格之日算起。</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3</w:t>
      </w:r>
      <w:r>
        <w:rPr>
          <w:rFonts w:hint="eastAsia" w:ascii="宋体" w:hAnsi="宋体" w:eastAsia="宋体" w:cs="宋体"/>
          <w:color w:val="auto"/>
          <w:lang w:val="zh-CN"/>
        </w:rPr>
        <w:t>）合同工程质量保修期为２年。</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4</w:t>
      </w:r>
      <w:r>
        <w:rPr>
          <w:rFonts w:hint="eastAsia" w:ascii="宋体" w:hAnsi="宋体" w:eastAsia="宋体" w:cs="宋体"/>
          <w:color w:val="auto"/>
          <w:lang w:val="zh-CN"/>
        </w:rPr>
        <w:t>）质量保修责任</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①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②发生紧急抢修事故的，成交人在接到通知后，应立即赶赴现场进行抢修。</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付款方式：采用银行转账、银行汇付（含电汇）等形式。</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每期支付合同款项时，成交人需提前5天向采购人提供与当期支付款项金额等值的中国大陆地区合法有效发票。</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（三）施工工期及要求</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1.</w:t>
      </w:r>
      <w:r>
        <w:rPr>
          <w:rFonts w:hint="eastAsia" w:ascii="宋体" w:hAnsi="宋体" w:eastAsia="宋体" w:cs="宋体"/>
          <w:color w:val="auto"/>
          <w:lang w:val="en-US" w:eastAsia="zh-CN"/>
        </w:rPr>
        <w:t>监理</w:t>
      </w:r>
      <w:r>
        <w:rPr>
          <w:rFonts w:hint="eastAsia" w:ascii="宋体" w:hAnsi="宋体" w:eastAsia="宋体" w:cs="宋体"/>
          <w:color w:val="auto"/>
          <w:lang w:val="zh-CN"/>
        </w:rPr>
        <w:t>工期：</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自监理合同签订之日至工程验收合格</w:t>
      </w:r>
      <w:r>
        <w:rPr>
          <w:rFonts w:hint="eastAsia" w:ascii="宋体" w:hAnsi="宋体" w:eastAsia="宋体" w:cs="宋体"/>
          <w:color w:val="auto"/>
          <w:lang w:val="zh-CN"/>
        </w:rPr>
        <w:t>。</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上述的</w:t>
      </w:r>
      <w:r>
        <w:rPr>
          <w:rFonts w:hint="eastAsia" w:ascii="宋体" w:hAnsi="宋体" w:eastAsia="宋体" w:cs="宋体"/>
          <w:color w:val="auto"/>
          <w:lang w:val="en-US" w:eastAsia="zh-CN"/>
        </w:rPr>
        <w:t>监理</w:t>
      </w:r>
      <w:r>
        <w:rPr>
          <w:rFonts w:hint="eastAsia" w:ascii="宋体" w:hAnsi="宋体" w:eastAsia="宋体" w:cs="宋体"/>
          <w:color w:val="auto"/>
          <w:lang w:val="zh-CN"/>
        </w:rPr>
        <w:t>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（a）不可抗力因素。</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（b）由于设计变更，致使工程量重大增加者（超过总量的10%）。</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rPr>
        <w:t>3.</w:t>
      </w:r>
      <w:r>
        <w:rPr>
          <w:rFonts w:hint="eastAsia" w:ascii="宋体" w:hAnsi="宋体" w:eastAsia="宋体" w:cs="宋体"/>
          <w:color w:val="auto"/>
          <w:lang w:val="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（四）</w:t>
      </w:r>
      <w:r>
        <w:rPr>
          <w:rFonts w:hint="eastAsia" w:ascii="宋体" w:hAnsi="宋体" w:eastAsia="宋体" w:cs="宋体"/>
          <w:color w:val="auto"/>
          <w:lang w:val="en-US" w:eastAsia="zh-CN"/>
        </w:rPr>
        <w:t>监理</w:t>
      </w:r>
      <w:r>
        <w:rPr>
          <w:rFonts w:hint="eastAsia" w:ascii="宋体" w:hAnsi="宋体" w:eastAsia="宋体" w:cs="宋体"/>
          <w:color w:val="auto"/>
          <w:lang w:val="zh-CN"/>
        </w:rPr>
        <w:t>条件及安全文明管理要求</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zh-CN"/>
        </w:rPr>
        <w:t>采购人不提供施工所需的食宿、办公，均由成交人场外自行解决，其费用成交人自理。</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监理</w:t>
      </w:r>
      <w:r>
        <w:rPr>
          <w:rFonts w:hint="eastAsia" w:ascii="宋体" w:hAnsi="宋体" w:eastAsia="宋体" w:cs="宋体"/>
          <w:color w:val="auto"/>
          <w:lang w:val="zh-CN"/>
        </w:rPr>
        <w:t>时间安排：</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zh-CN"/>
        </w:rPr>
        <w:t>一般按照日常</w:t>
      </w:r>
      <w:r>
        <w:rPr>
          <w:rFonts w:hint="eastAsia" w:ascii="宋体" w:hAnsi="宋体" w:eastAsia="宋体" w:cs="宋体"/>
          <w:color w:val="auto"/>
          <w:lang w:val="en-US" w:eastAsia="zh-CN"/>
        </w:rPr>
        <w:t>监理</w:t>
      </w:r>
      <w:r>
        <w:rPr>
          <w:rFonts w:hint="eastAsia" w:ascii="宋体" w:hAnsi="宋体" w:eastAsia="宋体" w:cs="宋体"/>
          <w:color w:val="auto"/>
          <w:lang w:val="zh-CN"/>
        </w:rPr>
        <w:t>计划，全面推进；如遇到特殊情况需暂停工配合的，以采购人书面或口头通知为准。</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eastAsia="宋体" w:cs="宋体"/>
          <w:color w:val="auto"/>
          <w:lang w:val="zh-CN"/>
        </w:rPr>
      </w:pPr>
      <w:r>
        <w:rPr>
          <w:rFonts w:hint="eastAsia" w:ascii="宋体" w:hAnsi="宋体" w:eastAsia="宋体" w:cs="宋体"/>
          <w:color w:val="auto"/>
          <w:lang w:val="en-US" w:eastAsia="zh-CN"/>
        </w:rPr>
        <w:t>4</w:t>
      </w:r>
      <w:r>
        <w:rPr>
          <w:rFonts w:hint="eastAsia" w:ascii="宋体" w:hAnsi="宋体" w:eastAsia="宋体" w:cs="宋体"/>
          <w:color w:val="auto"/>
        </w:rPr>
        <w:t>.</w:t>
      </w:r>
      <w:r>
        <w:rPr>
          <w:rFonts w:hint="eastAsia" w:ascii="宋体" w:hAnsi="宋体" w:eastAsia="宋体" w:cs="宋体"/>
          <w:color w:val="auto"/>
          <w:lang w:val="zh-CN"/>
        </w:rPr>
        <w:t>应指定和落实安全生产及文明措施，</w:t>
      </w:r>
      <w:r>
        <w:rPr>
          <w:rFonts w:hint="eastAsia" w:ascii="宋体" w:hAnsi="宋体" w:eastAsia="宋体" w:cs="宋体"/>
          <w:color w:val="auto"/>
          <w:lang w:val="en-US" w:eastAsia="zh-CN"/>
        </w:rPr>
        <w:t>监理</w:t>
      </w:r>
      <w:r>
        <w:rPr>
          <w:rFonts w:hint="eastAsia" w:ascii="宋体" w:hAnsi="宋体" w:eastAsia="宋体" w:cs="宋体"/>
          <w:color w:val="auto"/>
          <w:lang w:val="zh-CN"/>
        </w:rPr>
        <w:t>期间应严格管理</w:t>
      </w:r>
      <w:r>
        <w:rPr>
          <w:rFonts w:hint="eastAsia" w:ascii="宋体" w:hAnsi="宋体" w:eastAsia="宋体" w:cs="宋体"/>
          <w:color w:val="auto"/>
          <w:lang w:val="en-US" w:eastAsia="zh-CN"/>
        </w:rPr>
        <w:t>监理</w:t>
      </w:r>
      <w:r>
        <w:rPr>
          <w:rFonts w:hint="eastAsia" w:ascii="宋体" w:hAnsi="宋体" w:eastAsia="宋体" w:cs="宋体"/>
          <w:color w:val="auto"/>
          <w:lang w:val="zh-CN"/>
        </w:rPr>
        <w:t>人员，保护好已完工工程产品，发生一切安全事故均由成交人自行负责。严格加强管理，按规定缴纳治安保证金，如发生盗窃，斗殴等现象，根据情节轻重，除追究当事人责任外，还要求在所缴纳的保证金中给予处罚。</w:t>
      </w:r>
    </w:p>
    <w:bookmarkEnd w:id="440"/>
    <w:p>
      <w:pPr>
        <w:pStyle w:val="4"/>
        <w:autoSpaceDE w:val="0"/>
        <w:rPr>
          <w:rFonts w:hint="eastAsia" w:ascii="宋体" w:hAnsi="宋体" w:eastAsia="宋体" w:cs="宋体"/>
          <w:color w:val="auto"/>
          <w:sz w:val="44"/>
        </w:rPr>
      </w:pPr>
      <w:r>
        <w:rPr>
          <w:rFonts w:hint="eastAsia" w:ascii="宋体" w:hAnsi="宋体" w:eastAsia="宋体" w:cs="宋体"/>
          <w:color w:val="auto"/>
          <w:sz w:val="44"/>
        </w:rPr>
        <w:br w:type="page"/>
      </w:r>
    </w:p>
    <w:p>
      <w:pPr>
        <w:pStyle w:val="4"/>
        <w:autoSpaceDE w:val="0"/>
        <w:rPr>
          <w:rFonts w:hint="eastAsia" w:ascii="宋体" w:hAnsi="宋体" w:eastAsia="宋体" w:cs="宋体"/>
          <w:color w:val="auto"/>
          <w:sz w:val="44"/>
        </w:rPr>
      </w:pPr>
      <w:bookmarkStart w:id="444" w:name="_Toc16508"/>
      <w:bookmarkStart w:id="445" w:name="_Toc15748"/>
      <w:r>
        <w:rPr>
          <w:rFonts w:hint="eastAsia" w:ascii="宋体" w:hAnsi="宋体" w:eastAsia="宋体" w:cs="宋体"/>
          <w:color w:val="auto"/>
          <w:sz w:val="44"/>
        </w:rPr>
        <w:t>第四章</w:t>
      </w:r>
      <w:r>
        <w:rPr>
          <w:rFonts w:hint="eastAsia" w:ascii="宋体" w:hAnsi="宋体" w:eastAsia="宋体" w:cs="宋体"/>
          <w:color w:val="auto"/>
          <w:sz w:val="44"/>
          <w:lang w:val="en-US" w:eastAsia="zh-CN"/>
        </w:rPr>
        <w:t xml:space="preserve"> </w:t>
      </w:r>
      <w:r>
        <w:rPr>
          <w:rFonts w:hint="eastAsia" w:ascii="宋体" w:hAnsi="宋体" w:eastAsia="宋体" w:cs="宋体"/>
          <w:color w:val="auto"/>
          <w:sz w:val="44"/>
        </w:rPr>
        <w:t>政府采购合同</w:t>
      </w:r>
      <w:bookmarkEnd w:id="444"/>
      <w:bookmarkEnd w:id="445"/>
    </w:p>
    <w:p>
      <w:pPr>
        <w:spacing w:line="360" w:lineRule="auto"/>
        <w:jc w:val="center"/>
        <w:rPr>
          <w:rFonts w:hint="eastAsia" w:ascii="宋体" w:hAnsi="宋体" w:eastAsia="宋体" w:cs="宋体"/>
          <w:color w:val="auto"/>
        </w:rPr>
      </w:pPr>
      <w:r>
        <w:rPr>
          <w:rFonts w:hint="eastAsia" w:ascii="宋体" w:hAnsi="宋体" w:eastAsia="宋体" w:cs="宋体"/>
          <w:bCs/>
          <w:color w:val="auto"/>
          <w:kern w:val="44"/>
          <w:lang w:val="zh-CN"/>
        </w:rPr>
        <w:t>（最终以甲、乙双方签订的合同为准）</w:t>
      </w:r>
    </w:p>
    <w:p>
      <w:pPr>
        <w:pStyle w:val="97"/>
        <w:spacing w:line="640" w:lineRule="exact"/>
        <w:rPr>
          <w:rFonts w:hint="eastAsia" w:ascii="宋体" w:hAnsi="宋体" w:eastAsia="宋体" w:cs="宋体"/>
          <w:color w:val="auto"/>
          <w:sz w:val="32"/>
          <w:szCs w:val="32"/>
        </w:rPr>
      </w:pPr>
      <w:r>
        <w:rPr>
          <w:rFonts w:hint="eastAsia" w:ascii="宋体" w:hAnsi="宋体" w:eastAsia="宋体" w:cs="宋体"/>
          <w:color w:val="auto"/>
          <w:sz w:val="32"/>
          <w:szCs w:val="32"/>
        </w:rPr>
        <w:t>SF-2019-0206</w:t>
      </w:r>
    </w:p>
    <w:p>
      <w:pPr>
        <w:pStyle w:val="97"/>
        <w:spacing w:line="640" w:lineRule="exact"/>
        <w:ind w:firstLine="4160" w:firstLineChars="1300"/>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rPr>
        <w:t>项目编码：</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pPr>
        <w:pStyle w:val="97"/>
        <w:spacing w:line="640" w:lineRule="exact"/>
        <w:ind w:firstLine="4160" w:firstLineChars="1300"/>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rPr>
        <w:t>工程编码：</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pPr>
        <w:pStyle w:val="97"/>
        <w:spacing w:line="640" w:lineRule="exact"/>
        <w:ind w:firstLine="4160" w:firstLineChars="13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pPr>
        <w:spacing w:line="360" w:lineRule="auto"/>
        <w:rPr>
          <w:rFonts w:hint="eastAsia" w:ascii="宋体" w:hAnsi="宋体" w:eastAsia="宋体" w:cs="宋体"/>
          <w:b/>
          <w:bCs/>
          <w:color w:val="auto"/>
          <w:sz w:val="48"/>
          <w:szCs w:val="48"/>
        </w:rPr>
      </w:pPr>
    </w:p>
    <w:p>
      <w:pPr>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广州市建设工程监理合同</w:t>
      </w:r>
    </w:p>
    <w:p>
      <w:pPr>
        <w:spacing w:line="360" w:lineRule="auto"/>
        <w:jc w:val="center"/>
        <w:rPr>
          <w:rFonts w:hint="eastAsia" w:ascii="宋体" w:hAnsi="宋体" w:eastAsia="宋体" w:cs="宋体"/>
          <w:b/>
          <w:bCs/>
          <w:color w:val="auto"/>
          <w:sz w:val="11"/>
          <w:szCs w:val="11"/>
        </w:rPr>
      </w:pP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spacing w:line="640" w:lineRule="exact"/>
        <w:ind w:left="2398" w:leftChars="304" w:hanging="1760" w:hangingChars="550"/>
        <w:rPr>
          <w:rFonts w:hint="eastAsia" w:ascii="宋体" w:hAnsi="宋体" w:eastAsia="宋体" w:cs="宋体"/>
          <w:color w:val="auto"/>
          <w:sz w:val="32"/>
          <w:szCs w:val="32"/>
          <w:u w:val="single"/>
        </w:rPr>
      </w:pPr>
      <w:r>
        <w:rPr>
          <w:rFonts w:hint="eastAsia" w:ascii="宋体" w:hAnsi="宋体" w:eastAsia="宋体" w:cs="宋体"/>
          <w:color w:val="auto"/>
          <w:sz w:val="32"/>
          <w:szCs w:val="32"/>
        </w:rPr>
        <w:t>工程名称：</w:t>
      </w:r>
      <w:r>
        <w:rPr>
          <w:rFonts w:hint="eastAsia" w:ascii="宋体" w:hAnsi="宋体" w:eastAsia="宋体" w:cs="宋体"/>
          <w:color w:val="auto"/>
          <w:sz w:val="32"/>
          <w:szCs w:val="32"/>
          <w:u w:val="single"/>
          <w:lang w:eastAsia="zh-CN"/>
        </w:rPr>
        <w:t>康王路下穿流花湖隧道工程站前路93-99号房屋加固工程监理</w:t>
      </w:r>
      <w:r>
        <w:rPr>
          <w:rFonts w:hint="eastAsia" w:ascii="宋体" w:hAnsi="宋体" w:eastAsia="宋体" w:cs="宋体"/>
          <w:color w:val="auto"/>
          <w:sz w:val="32"/>
          <w:szCs w:val="32"/>
          <w:u w:val="single"/>
        </w:rPr>
        <w:t xml:space="preserve">                        </w:t>
      </w:r>
    </w:p>
    <w:p>
      <w:pPr>
        <w:spacing w:line="640" w:lineRule="exact"/>
        <w:ind w:firstLine="480" w:firstLineChars="150"/>
        <w:rPr>
          <w:rFonts w:hint="eastAsia" w:ascii="宋体" w:hAnsi="宋体" w:eastAsia="宋体" w:cs="宋体"/>
          <w:color w:val="auto"/>
          <w:sz w:val="32"/>
          <w:szCs w:val="32"/>
        </w:rPr>
      </w:pPr>
      <w:r>
        <w:rPr>
          <w:rFonts w:hint="eastAsia" w:ascii="宋体" w:hAnsi="宋体" w:eastAsia="宋体" w:cs="宋体"/>
          <w:color w:val="auto"/>
          <w:sz w:val="32"/>
          <w:szCs w:val="32"/>
        </w:rPr>
        <w:t>工程地点：</w:t>
      </w:r>
      <w:r>
        <w:rPr>
          <w:rFonts w:hint="eastAsia" w:ascii="宋体" w:hAnsi="宋体" w:eastAsia="宋体" w:cs="宋体"/>
          <w:color w:val="auto"/>
          <w:sz w:val="32"/>
          <w:szCs w:val="32"/>
          <w:u w:val="single"/>
        </w:rPr>
        <w:t xml:space="preserve"> 广州市荔湾区                                    </w:t>
      </w:r>
      <w:r>
        <w:rPr>
          <w:rFonts w:hint="eastAsia" w:ascii="宋体" w:hAnsi="宋体" w:eastAsia="宋体" w:cs="宋体"/>
          <w:color w:val="auto"/>
          <w:sz w:val="32"/>
          <w:szCs w:val="32"/>
        </w:rPr>
        <w:t xml:space="preserve">                                                 </w:t>
      </w:r>
    </w:p>
    <w:p>
      <w:pPr>
        <w:spacing w:line="640" w:lineRule="exact"/>
        <w:ind w:firstLine="480" w:firstLineChars="150"/>
        <w:rPr>
          <w:rFonts w:hint="eastAsia" w:ascii="宋体" w:hAnsi="宋体" w:eastAsia="宋体" w:cs="宋体"/>
          <w:color w:val="auto"/>
          <w:sz w:val="32"/>
          <w:szCs w:val="32"/>
        </w:rPr>
      </w:pPr>
      <w:r>
        <w:rPr>
          <w:rFonts w:hint="eastAsia" w:ascii="宋体" w:hAnsi="宋体" w:eastAsia="宋体" w:cs="宋体"/>
          <w:color w:val="auto"/>
          <w:sz w:val="32"/>
          <w:szCs w:val="32"/>
        </w:rPr>
        <w:t>委 托 人：</w:t>
      </w:r>
      <w:r>
        <w:rPr>
          <w:rFonts w:hint="eastAsia" w:ascii="宋体" w:hAnsi="宋体" w:eastAsia="宋体" w:cs="宋体"/>
          <w:color w:val="auto"/>
          <w:sz w:val="32"/>
          <w:szCs w:val="32"/>
          <w:u w:val="single"/>
        </w:rPr>
        <w:t xml:space="preserve"> 广州市荔湾区道路扩建工程办公室                             </w:t>
      </w:r>
    </w:p>
    <w:p>
      <w:pPr>
        <w:spacing w:line="640" w:lineRule="exact"/>
        <w:ind w:firstLine="480" w:firstLineChars="150"/>
        <w:rPr>
          <w:rFonts w:hint="eastAsia" w:ascii="宋体" w:hAnsi="宋体" w:eastAsia="宋体" w:cs="宋体"/>
          <w:color w:val="auto"/>
          <w:sz w:val="32"/>
          <w:szCs w:val="32"/>
        </w:rPr>
      </w:pPr>
      <w:r>
        <w:rPr>
          <w:rFonts w:hint="eastAsia" w:ascii="宋体" w:hAnsi="宋体" w:eastAsia="宋体" w:cs="宋体"/>
          <w:color w:val="auto"/>
          <w:sz w:val="32"/>
          <w:szCs w:val="32"/>
        </w:rPr>
        <w:t>监 理 人：</w:t>
      </w:r>
      <w:r>
        <w:rPr>
          <w:rFonts w:hint="eastAsia" w:ascii="宋体" w:hAnsi="宋体" w:eastAsia="宋体" w:cs="宋体"/>
          <w:color w:val="auto"/>
          <w:sz w:val="32"/>
          <w:szCs w:val="32"/>
          <w:u w:val="single"/>
        </w:rPr>
        <w:t xml:space="preserve">                                             </w:t>
      </w: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snapToGrid w:val="0"/>
        <w:spacing w:line="200" w:lineRule="atLeast"/>
        <w:jc w:val="center"/>
        <w:rPr>
          <w:rFonts w:hint="eastAsia" w:ascii="宋体" w:hAnsi="宋体" w:eastAsia="宋体" w:cs="宋体"/>
          <w:b/>
          <w:bCs/>
          <w:color w:val="auto"/>
          <w:spacing w:val="50"/>
          <w:sz w:val="32"/>
          <w:szCs w:val="32"/>
        </w:rPr>
      </w:pPr>
      <w:r>
        <w:rPr>
          <w:rFonts w:hint="eastAsia" w:ascii="宋体" w:hAnsi="宋体" w:eastAsia="宋体" w:cs="宋体"/>
          <w:b/>
          <w:bCs/>
          <w:color w:val="auto"/>
          <w:spacing w:val="50"/>
          <w:sz w:val="32"/>
          <w:szCs w:val="32"/>
        </w:rPr>
        <w:t>广州市住房和城乡建设局</w:t>
      </w:r>
    </w:p>
    <w:p>
      <w:pPr>
        <w:snapToGrid w:val="0"/>
        <w:spacing w:line="200" w:lineRule="atLeast"/>
        <w:jc w:val="center"/>
        <w:rPr>
          <w:rFonts w:hint="eastAsia" w:ascii="宋体" w:hAnsi="宋体" w:eastAsia="宋体" w:cs="宋体"/>
          <w:b/>
          <w:bCs/>
          <w:color w:val="auto"/>
          <w:spacing w:val="20"/>
          <w:sz w:val="32"/>
          <w:szCs w:val="32"/>
        </w:rPr>
      </w:pPr>
      <w:r>
        <w:rPr>
          <w:rFonts w:hint="eastAsia" w:ascii="宋体" w:hAnsi="宋体" w:eastAsia="宋体" w:cs="宋体"/>
          <w:b/>
          <w:bCs/>
          <w:color w:val="auto"/>
          <w:spacing w:val="20"/>
          <w:sz w:val="32"/>
          <w:szCs w:val="32"/>
        </w:rPr>
        <w:t xml:space="preserve">                            制定</w:t>
      </w:r>
    </w:p>
    <w:p>
      <w:pPr>
        <w:snapToGrid w:val="0"/>
        <w:spacing w:line="200" w:lineRule="atLeast"/>
        <w:rPr>
          <w:rFonts w:hint="eastAsia" w:ascii="宋体" w:hAnsi="宋体" w:eastAsia="宋体" w:cs="宋体"/>
          <w:b/>
          <w:bCs/>
          <w:color w:val="auto"/>
          <w:spacing w:val="73"/>
          <w:sz w:val="32"/>
          <w:szCs w:val="32"/>
        </w:rPr>
      </w:pPr>
      <w:r>
        <w:rPr>
          <w:rFonts w:hint="eastAsia" w:ascii="宋体" w:hAnsi="宋体" w:eastAsia="宋体" w:cs="宋体"/>
          <w:b/>
          <w:bCs/>
          <w:color w:val="auto"/>
          <w:spacing w:val="73"/>
          <w:sz w:val="32"/>
          <w:szCs w:val="32"/>
        </w:rPr>
        <w:t xml:space="preserve">        广州市市场监督管理局</w:t>
      </w:r>
    </w:p>
    <w:p>
      <w:pPr>
        <w:spacing w:line="360" w:lineRule="auto"/>
        <w:rPr>
          <w:rFonts w:hint="eastAsia" w:ascii="宋体" w:hAnsi="宋体" w:eastAsia="宋体" w:cs="宋体"/>
          <w:b/>
          <w:bCs/>
          <w:color w:val="auto"/>
          <w:sz w:val="24"/>
          <w:szCs w:val="24"/>
        </w:rPr>
      </w:pPr>
    </w:p>
    <w:p>
      <w:pPr>
        <w:tabs>
          <w:tab w:val="left" w:pos="3120"/>
        </w:tabs>
        <w:spacing w:line="360" w:lineRule="auto"/>
        <w:ind w:firstLine="2168" w:firstLineChars="600"/>
        <w:rPr>
          <w:rFonts w:hint="eastAsia" w:ascii="宋体" w:hAnsi="宋体" w:eastAsia="宋体" w:cs="宋体"/>
          <w:b/>
          <w:bCs/>
          <w:color w:val="auto"/>
          <w:sz w:val="36"/>
          <w:szCs w:val="36"/>
        </w:rPr>
        <w:sectPr>
          <w:headerReference r:id="rId10" w:type="default"/>
          <w:footerReference r:id="rId11" w:type="default"/>
          <w:pgSz w:w="11906" w:h="16838"/>
          <w:pgMar w:top="1134" w:right="1134" w:bottom="1134" w:left="1417" w:header="851" w:footer="992" w:gutter="0"/>
          <w:pgNumType w:fmt="decimal" w:start="1"/>
          <w:cols w:space="0" w:num="1"/>
          <w:rtlGutter w:val="0"/>
          <w:docGrid w:type="lines" w:linePitch="312" w:charSpace="0"/>
        </w:sectPr>
      </w:pPr>
      <w:bookmarkStart w:id="446" w:name="_Toc5628136"/>
    </w:p>
    <w:p>
      <w:pPr>
        <w:tabs>
          <w:tab w:val="left" w:pos="3120"/>
        </w:tabs>
        <w:spacing w:line="360" w:lineRule="auto"/>
        <w:ind w:firstLine="2168" w:firstLineChars="600"/>
        <w:rPr>
          <w:rFonts w:hint="eastAsia" w:ascii="宋体" w:hAnsi="宋体" w:eastAsia="宋体" w:cs="宋体"/>
          <w:b/>
          <w:color w:val="auto"/>
          <w:sz w:val="36"/>
          <w:szCs w:val="22"/>
        </w:rPr>
      </w:pPr>
      <w:r>
        <w:rPr>
          <w:rFonts w:hint="eastAsia" w:ascii="宋体" w:hAnsi="宋体" w:eastAsia="宋体" w:cs="宋体"/>
          <w:b/>
          <w:color w:val="auto"/>
          <w:sz w:val="36"/>
          <w:szCs w:val="22"/>
        </w:rPr>
        <w:t>第一部分  协议书</w:t>
      </w:r>
      <w:bookmarkEnd w:id="446"/>
    </w:p>
    <w:p>
      <w:pPr>
        <w:adjustRightInd w:val="0"/>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委托人（</w:t>
      </w:r>
      <w:r>
        <w:rPr>
          <w:rFonts w:hint="eastAsia" w:ascii="宋体" w:hAnsi="宋体" w:eastAsia="宋体" w:cs="宋体"/>
          <w:color w:val="auto"/>
          <w:sz w:val="24"/>
          <w:szCs w:val="22"/>
        </w:rPr>
        <w:t>甲方</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广州市荔湾区道路扩建工程办公室                  </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监理人（乙方）：</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p>
    <w:p>
      <w:pPr>
        <w:adjustRightInd w:val="0"/>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根据《中华人民共和国民法典》、《中华人民共和国建筑法》及其他有关法律、法规，遵循平等、自愿、公平和诚信的原则，双方就下述工程委托监理与相关服务事项协商一致，订立本合同。</w:t>
      </w:r>
    </w:p>
    <w:p>
      <w:pPr>
        <w:spacing w:line="440" w:lineRule="exact"/>
        <w:outlineLvl w:val="1"/>
        <w:rPr>
          <w:rFonts w:hint="eastAsia" w:ascii="宋体" w:hAnsi="宋体" w:eastAsia="宋体" w:cs="宋体"/>
          <w:b/>
          <w:bCs/>
          <w:color w:val="auto"/>
          <w:sz w:val="28"/>
          <w:szCs w:val="28"/>
        </w:rPr>
      </w:pPr>
      <w:bookmarkStart w:id="447" w:name="_Toc5628137"/>
      <w:r>
        <w:rPr>
          <w:rFonts w:hint="eastAsia" w:ascii="宋体" w:hAnsi="宋体" w:eastAsia="宋体" w:cs="宋体"/>
          <w:b/>
          <w:bCs/>
          <w:color w:val="auto"/>
          <w:sz w:val="28"/>
          <w:szCs w:val="28"/>
        </w:rPr>
        <w:t>一、工程概况</w:t>
      </w:r>
      <w:bookmarkEnd w:id="447"/>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康王路下穿流花湖隧道工程站前路93-99号房屋加固工程监理</w:t>
      </w:r>
      <w:r>
        <w:rPr>
          <w:rFonts w:hint="eastAsia" w:ascii="宋体" w:hAnsi="宋体" w:eastAsia="宋体" w:cs="宋体"/>
          <w:bCs/>
          <w:color w:val="auto"/>
          <w:sz w:val="24"/>
          <w:szCs w:val="24"/>
          <w:u w:val="single"/>
        </w:rPr>
        <w:t xml:space="preserve"> </w:t>
      </w:r>
    </w:p>
    <w:p>
      <w:pPr>
        <w:adjustRightInd w:val="0"/>
        <w:snapToGrid w:val="0"/>
        <w:spacing w:line="440" w:lineRule="exact"/>
        <w:ind w:firstLine="475" w:firstLineChars="198"/>
        <w:rPr>
          <w:rFonts w:hint="eastAsia" w:ascii="宋体" w:hAnsi="宋体" w:eastAsia="宋体" w:cs="宋体"/>
          <w:bCs/>
          <w:color w:val="auto"/>
          <w:sz w:val="24"/>
          <w:u w:val="single"/>
        </w:rPr>
      </w:pPr>
      <w:r>
        <w:rPr>
          <w:rFonts w:hint="eastAsia" w:ascii="宋体" w:hAnsi="宋体" w:eastAsia="宋体" w:cs="宋体"/>
          <w:color w:val="auto"/>
          <w:sz w:val="24"/>
          <w:szCs w:val="24"/>
        </w:rPr>
        <w:t>工程规模：</w:t>
      </w:r>
      <w:r>
        <w:rPr>
          <w:rFonts w:hint="eastAsia" w:ascii="宋体" w:hAnsi="宋体" w:cs="宋体"/>
          <w:bCs/>
          <w:color w:val="auto"/>
          <w:sz w:val="24"/>
          <w:u w:val="single"/>
          <w:lang w:val="en-US" w:eastAsia="zh-CN"/>
        </w:rPr>
        <w:t>广州市荔湾区站前路93-99号，建于上世纪90年代，为9层框架结构房屋，基础形式为桩基础。该房屋朝向坐北向南，93-95号总建筑面积为2847m2，目前作商业、住宅使用。现因“康王路下穿流花湖隧道（东风东路-广园西路）工程”下穿该房屋（站前路93-99号），在保证隧道安全顺利施工的前提下，拟对房屋东段（站前路97、99号房屋）进行截断以及对房屋西段（站前路93-95号）上部结构及基础进行加固设计施工。项目总投资990万元，其中建安工程费约940万元。</w:t>
      </w:r>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投资金额：</w:t>
      </w:r>
      <w:r>
        <w:rPr>
          <w:rFonts w:hint="eastAsia" w:ascii="宋体" w:hAnsi="宋体" w:eastAsia="宋体" w:cs="宋体"/>
          <w:bCs/>
          <w:color w:val="auto"/>
          <w:sz w:val="24"/>
          <w:szCs w:val="24"/>
          <w:u w:val="single"/>
        </w:rPr>
        <w:t xml:space="preserve"> 约</w:t>
      </w:r>
      <w:r>
        <w:rPr>
          <w:rFonts w:hint="eastAsia" w:ascii="宋体" w:hAnsi="宋体" w:eastAsia="宋体" w:cs="宋体"/>
          <w:bCs/>
          <w:color w:val="auto"/>
          <w:sz w:val="24"/>
          <w:szCs w:val="24"/>
          <w:u w:val="single"/>
          <w:lang w:val="en-US" w:eastAsia="zh-CN"/>
        </w:rPr>
        <w:t>940</w:t>
      </w:r>
      <w:r>
        <w:rPr>
          <w:rFonts w:hint="eastAsia" w:ascii="宋体" w:hAnsi="宋体" w:eastAsia="宋体" w:cs="宋体"/>
          <w:bCs/>
          <w:color w:val="auto"/>
          <w:sz w:val="24"/>
          <w:szCs w:val="24"/>
          <w:u w:val="single"/>
        </w:rPr>
        <w:t>万元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建设工期或周期：</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240日历天</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440" w:lineRule="exact"/>
        <w:outlineLvl w:val="1"/>
        <w:rPr>
          <w:rFonts w:hint="eastAsia" w:ascii="宋体" w:hAnsi="宋体" w:eastAsia="宋体" w:cs="宋体"/>
          <w:b/>
          <w:bCs/>
          <w:color w:val="auto"/>
          <w:sz w:val="28"/>
          <w:szCs w:val="28"/>
        </w:rPr>
      </w:pPr>
      <w:bookmarkStart w:id="448" w:name="_Toc5628138"/>
      <w:r>
        <w:rPr>
          <w:rFonts w:hint="eastAsia" w:ascii="宋体" w:hAnsi="宋体" w:eastAsia="宋体" w:cs="宋体"/>
          <w:b/>
          <w:bCs/>
          <w:color w:val="auto"/>
          <w:sz w:val="28"/>
          <w:szCs w:val="28"/>
        </w:rPr>
        <w:t>二、词语限定</w:t>
      </w:r>
      <w:bookmarkEnd w:id="448"/>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协议书中相关词语的含义与通用条款中的定义与解释相同。</w:t>
      </w:r>
    </w:p>
    <w:p>
      <w:pPr>
        <w:spacing w:line="440" w:lineRule="exact"/>
        <w:outlineLvl w:val="1"/>
        <w:rPr>
          <w:rFonts w:hint="eastAsia" w:ascii="宋体" w:hAnsi="宋体" w:eastAsia="宋体" w:cs="宋体"/>
          <w:b/>
          <w:bCs/>
          <w:color w:val="auto"/>
          <w:sz w:val="28"/>
          <w:szCs w:val="28"/>
        </w:rPr>
      </w:pPr>
      <w:bookmarkStart w:id="449" w:name="_Toc5628139"/>
      <w:r>
        <w:rPr>
          <w:rFonts w:hint="eastAsia" w:ascii="宋体" w:hAnsi="宋体" w:eastAsia="宋体" w:cs="宋体"/>
          <w:b/>
          <w:bCs/>
          <w:color w:val="auto"/>
          <w:sz w:val="28"/>
          <w:szCs w:val="28"/>
        </w:rPr>
        <w:t>三、组成本合同的文件</w:t>
      </w:r>
      <w:bookmarkEnd w:id="449"/>
      <w:bookmarkStart w:id="450" w:name="_Toc462045886"/>
      <w:bookmarkStart w:id="451" w:name="_Toc462045179"/>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合同文件的构成及其优先解释顺序与本合同第二部分《通用条款》第1.2款赋予的规定一致。</w:t>
      </w:r>
      <w:bookmarkEnd w:id="450"/>
      <w:bookmarkEnd w:id="451"/>
    </w:p>
    <w:p>
      <w:pPr>
        <w:spacing w:line="440" w:lineRule="exact"/>
        <w:outlineLvl w:val="1"/>
        <w:rPr>
          <w:rFonts w:hint="eastAsia" w:ascii="宋体" w:hAnsi="宋体" w:eastAsia="宋体" w:cs="宋体"/>
          <w:b/>
          <w:bCs/>
          <w:color w:val="auto"/>
          <w:sz w:val="28"/>
          <w:szCs w:val="28"/>
        </w:rPr>
      </w:pPr>
      <w:bookmarkStart w:id="452" w:name="_Toc5628140"/>
      <w:r>
        <w:rPr>
          <w:rFonts w:hint="eastAsia" w:ascii="宋体" w:hAnsi="宋体" w:eastAsia="宋体" w:cs="宋体"/>
          <w:b/>
          <w:bCs/>
          <w:color w:val="auto"/>
          <w:sz w:val="28"/>
          <w:szCs w:val="28"/>
        </w:rPr>
        <w:t>四、总监理工程师</w:t>
      </w:r>
      <w:bookmarkEnd w:id="452"/>
    </w:p>
    <w:p>
      <w:pPr>
        <w:adjustRightInd w:val="0"/>
        <w:snapToGrid w:val="0"/>
        <w:spacing w:line="440" w:lineRule="exact"/>
        <w:ind w:firstLine="475" w:firstLineChars="19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总监理工程师姓名：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，身份证号码：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，注册号：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spacing w:line="440" w:lineRule="exac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五、签约酬金</w:t>
      </w:r>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签约酬金（大写：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440" w:lineRule="exact"/>
        <w:outlineLvl w:val="1"/>
        <w:rPr>
          <w:rFonts w:hint="eastAsia" w:ascii="宋体" w:hAnsi="宋体" w:eastAsia="宋体" w:cs="宋体"/>
          <w:b/>
          <w:bCs/>
          <w:color w:val="auto"/>
          <w:sz w:val="28"/>
          <w:szCs w:val="28"/>
        </w:rPr>
      </w:pPr>
      <w:bookmarkStart w:id="453" w:name="_Toc5628141"/>
      <w:r>
        <w:rPr>
          <w:rFonts w:hint="eastAsia" w:ascii="宋体" w:hAnsi="宋体" w:eastAsia="宋体" w:cs="宋体"/>
          <w:b/>
          <w:bCs/>
          <w:color w:val="auto"/>
          <w:kern w:val="0"/>
          <w:sz w:val="28"/>
          <w:szCs w:val="28"/>
        </w:rPr>
        <w:t>★</w:t>
      </w:r>
      <w:r>
        <w:rPr>
          <w:rFonts w:hint="eastAsia" w:ascii="宋体" w:hAnsi="宋体" w:eastAsia="宋体" w:cs="宋体"/>
          <w:b/>
          <w:bCs/>
          <w:color w:val="auto"/>
          <w:sz w:val="28"/>
          <w:szCs w:val="28"/>
        </w:rPr>
        <w:t>六、期限</w:t>
      </w:r>
      <w:bookmarkEnd w:id="453"/>
    </w:p>
    <w:p>
      <w:pPr>
        <w:adjustRightInd w:val="0"/>
        <w:snapToGrid w:val="0"/>
        <w:spacing w:line="440" w:lineRule="exact"/>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 </w:t>
      </w:r>
      <w:r>
        <w:rPr>
          <w:rFonts w:hint="eastAsia" w:ascii="宋体" w:hAnsi="宋体" w:eastAsia="宋体" w:cs="宋体"/>
          <w:color w:val="auto"/>
          <w:sz w:val="24"/>
          <w:szCs w:val="24"/>
        </w:rPr>
        <w:t>监理期限：</w:t>
      </w:r>
    </w:p>
    <w:p>
      <w:pPr>
        <w:adjustRightInd w:val="0"/>
        <w:snapToGrid w:val="0"/>
        <w:spacing w:line="440" w:lineRule="exact"/>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440" w:lineRule="exact"/>
        <w:outlineLvl w:val="1"/>
        <w:rPr>
          <w:rFonts w:hint="eastAsia" w:ascii="宋体" w:hAnsi="宋体" w:eastAsia="宋体" w:cs="宋体"/>
          <w:b/>
          <w:bCs/>
          <w:color w:val="auto"/>
          <w:sz w:val="28"/>
          <w:szCs w:val="28"/>
        </w:rPr>
      </w:pPr>
      <w:bookmarkStart w:id="454" w:name="_Toc5628142"/>
      <w:r>
        <w:rPr>
          <w:rFonts w:hint="eastAsia" w:ascii="宋体" w:hAnsi="宋体" w:eastAsia="宋体" w:cs="宋体"/>
          <w:b/>
          <w:bCs/>
          <w:color w:val="auto"/>
          <w:sz w:val="28"/>
          <w:szCs w:val="28"/>
        </w:rPr>
        <w:t>七、双方承诺</w:t>
      </w:r>
      <w:bookmarkEnd w:id="454"/>
    </w:p>
    <w:p>
      <w:pPr>
        <w:spacing w:line="440" w:lineRule="exact"/>
        <w:ind w:firstLine="475" w:firstLineChars="198"/>
        <w:rPr>
          <w:rFonts w:hint="eastAsia" w:ascii="宋体" w:hAnsi="宋体" w:eastAsia="宋体" w:cs="宋体"/>
          <w:b/>
          <w:bCs/>
          <w:color w:val="auto"/>
          <w:sz w:val="24"/>
          <w:szCs w:val="24"/>
        </w:rPr>
      </w:pPr>
      <w:r>
        <w:rPr>
          <w:rFonts w:hint="eastAsia" w:ascii="宋体" w:hAnsi="宋体" w:eastAsia="宋体" w:cs="宋体"/>
          <w:color w:val="auto"/>
          <w:sz w:val="24"/>
          <w:szCs w:val="24"/>
        </w:rPr>
        <w:t>1. 监理人向委托人承诺，按照本合同约定</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监理与相关服务。</w:t>
      </w:r>
    </w:p>
    <w:p>
      <w:pPr>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 委托人向监理人承诺，按照本合同约定派遣相应的人员，提供房屋、资料、设备，并按本合同约定支付酬金。</w:t>
      </w:r>
    </w:p>
    <w:p>
      <w:pPr>
        <w:spacing w:line="440" w:lineRule="exact"/>
        <w:outlineLvl w:val="1"/>
        <w:rPr>
          <w:rFonts w:hint="eastAsia" w:ascii="宋体" w:hAnsi="宋体" w:eastAsia="宋体" w:cs="宋体"/>
          <w:b/>
          <w:bCs/>
          <w:color w:val="auto"/>
          <w:sz w:val="28"/>
          <w:szCs w:val="28"/>
        </w:rPr>
      </w:pPr>
      <w:bookmarkStart w:id="455" w:name="_Toc5628143"/>
      <w:r>
        <w:rPr>
          <w:rFonts w:hint="eastAsia" w:ascii="宋体" w:hAnsi="宋体" w:eastAsia="宋体" w:cs="宋体"/>
          <w:b/>
          <w:bCs/>
          <w:color w:val="auto"/>
          <w:sz w:val="28"/>
          <w:szCs w:val="28"/>
        </w:rPr>
        <w:t>八、合同</w:t>
      </w:r>
      <w:bookmarkEnd w:id="455"/>
      <w:r>
        <w:rPr>
          <w:rFonts w:hint="eastAsia" w:ascii="宋体" w:hAnsi="宋体" w:eastAsia="宋体" w:cs="宋体"/>
          <w:b/>
          <w:bCs/>
          <w:color w:val="auto"/>
          <w:sz w:val="28"/>
          <w:szCs w:val="28"/>
        </w:rPr>
        <w:t>生效</w:t>
      </w:r>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本合同订立时间：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adjustRightInd w:val="0"/>
        <w:snapToGrid w:val="0"/>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本合同订立地点：</w:t>
      </w:r>
      <w:r>
        <w:rPr>
          <w:rFonts w:hint="eastAsia" w:ascii="宋体" w:hAnsi="宋体" w:eastAsia="宋体" w:cs="宋体"/>
          <w:color w:val="auto"/>
          <w:sz w:val="24"/>
          <w:szCs w:val="24"/>
          <w:u w:val="single"/>
        </w:rPr>
        <w:t xml:space="preserve">  广州市   </w:t>
      </w:r>
      <w:r>
        <w:rPr>
          <w:rFonts w:hint="eastAsia" w:ascii="宋体" w:hAnsi="宋体" w:eastAsia="宋体" w:cs="宋体"/>
          <w:color w:val="auto"/>
          <w:sz w:val="24"/>
          <w:szCs w:val="24"/>
        </w:rPr>
        <w:t>。</w:t>
      </w:r>
    </w:p>
    <w:p>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合同双方当事人约定本合同自双方签字、盖章后生效。</w:t>
      </w:r>
    </w:p>
    <w:p>
      <w:pPr>
        <w:pStyle w:val="5"/>
        <w:numPr>
          <w:ilvl w:val="0"/>
          <w:numId w:val="0"/>
        </w:numPr>
        <w:spacing w:line="440" w:lineRule="exact"/>
        <w:rPr>
          <w:rFonts w:hint="eastAsia" w:ascii="宋体" w:hAnsi="宋体" w:eastAsia="宋体" w:cs="宋体"/>
          <w:b/>
          <w:color w:val="auto"/>
        </w:rPr>
      </w:pPr>
      <w:bookmarkStart w:id="456" w:name="_Toc5288661"/>
      <w:r>
        <w:rPr>
          <w:rFonts w:hint="eastAsia" w:ascii="宋体" w:hAnsi="宋体" w:eastAsia="宋体" w:cs="宋体"/>
          <w:b/>
          <w:color w:val="auto"/>
        </w:rPr>
        <w:t>九、合同份数</w:t>
      </w:r>
      <w:bookmarkEnd w:id="456"/>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份，具有同等法律效力，其中甲方执</w:t>
      </w:r>
      <w:r>
        <w:rPr>
          <w:rFonts w:hint="eastAsia" w:ascii="宋体" w:hAnsi="宋体" w:eastAsia="宋体" w:cs="宋体"/>
          <w:color w:val="auto"/>
          <w:sz w:val="24"/>
          <w:szCs w:val="24"/>
          <w:u w:val="single"/>
        </w:rPr>
        <w:t>叁</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rPr>
        <w:t xml:space="preserve"> 叁 </w:t>
      </w:r>
      <w:r>
        <w:rPr>
          <w:rFonts w:hint="eastAsia" w:ascii="宋体" w:hAnsi="宋体" w:eastAsia="宋体" w:cs="宋体"/>
          <w:color w:val="auto"/>
          <w:sz w:val="24"/>
          <w:szCs w:val="24"/>
        </w:rPr>
        <w:t>份。</w:t>
      </w:r>
    </w:p>
    <w:p>
      <w:pPr>
        <w:adjustRightInd w:val="0"/>
        <w:snapToGrid w:val="0"/>
        <w:spacing w:line="440" w:lineRule="exact"/>
        <w:ind w:left="632" w:leftChars="301"/>
        <w:rPr>
          <w:rFonts w:hint="eastAsia" w:ascii="宋体" w:hAnsi="宋体" w:eastAsia="宋体" w:cs="宋体"/>
          <w:color w:val="auto"/>
          <w:sz w:val="24"/>
          <w:szCs w:val="24"/>
        </w:rPr>
      </w:pPr>
    </w:p>
    <w:p>
      <w:pPr>
        <w:adjustRightInd w:val="0"/>
        <w:snapToGrid w:val="0"/>
        <w:spacing w:line="360" w:lineRule="auto"/>
        <w:ind w:left="632" w:leftChars="301"/>
        <w:rPr>
          <w:rFonts w:hint="eastAsia" w:ascii="宋体" w:hAnsi="宋体" w:eastAsia="宋体" w:cs="宋体"/>
          <w:color w:val="auto"/>
          <w:sz w:val="24"/>
          <w:szCs w:val="24"/>
        </w:rPr>
      </w:pP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委托人：（盖章）                 监理人：（盖章）</w:t>
      </w:r>
    </w:p>
    <w:p>
      <w:pPr>
        <w:spacing w:line="360" w:lineRule="auto"/>
        <w:ind w:firstLine="360" w:firstLineChars="15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left="4439" w:leftChars="228" w:hanging="3960" w:hangingChars="1650"/>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pPr>
        <w:spacing w:line="360" w:lineRule="auto"/>
        <w:ind w:firstLine="360" w:firstLineChars="15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tabs>
          <w:tab w:val="left" w:pos="525"/>
          <w:tab w:val="left" w:pos="1155"/>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tabs>
          <w:tab w:val="left" w:pos="525"/>
          <w:tab w:val="left" w:pos="1155"/>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委托代理人：                    委托代理人：</w:t>
      </w:r>
    </w:p>
    <w:p>
      <w:pPr>
        <w:tabs>
          <w:tab w:val="left" w:pos="525"/>
          <w:tab w:val="left" w:pos="1155"/>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tabs>
          <w:tab w:val="left" w:pos="525"/>
          <w:tab w:val="left" w:pos="1155"/>
        </w:tabs>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传    真：                      传    真：</w:t>
      </w:r>
    </w:p>
    <w:p>
      <w:pPr>
        <w:tabs>
          <w:tab w:val="left" w:pos="525"/>
          <w:tab w:val="left" w:pos="1155"/>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pPr>
        <w:tabs>
          <w:tab w:val="left" w:pos="525"/>
          <w:tab w:val="left" w:pos="1155"/>
          <w:tab w:val="left" w:pos="6090"/>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账    号：                      账    号：</w:t>
      </w:r>
    </w:p>
    <w:p>
      <w:pPr>
        <w:tabs>
          <w:tab w:val="left" w:pos="525"/>
          <w:tab w:val="left" w:pos="1155"/>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adjustRightInd w:val="0"/>
        <w:snapToGrid w:val="0"/>
        <w:spacing w:line="360" w:lineRule="auto"/>
        <w:ind w:firstLine="360" w:firstLineChars="15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电子邮箱:                       电子邮箱:       </w:t>
      </w:r>
    </w:p>
    <w:p>
      <w:pPr>
        <w:tabs>
          <w:tab w:val="left" w:pos="3120"/>
        </w:tabs>
        <w:spacing w:line="360" w:lineRule="auto"/>
        <w:ind w:firstLine="1928" w:firstLineChars="600"/>
        <w:rPr>
          <w:rFonts w:hint="eastAsia" w:ascii="宋体" w:hAnsi="宋体" w:eastAsia="宋体" w:cs="宋体"/>
          <w:b/>
          <w:bCs/>
          <w:color w:val="auto"/>
          <w:sz w:val="32"/>
          <w:szCs w:val="32"/>
        </w:rPr>
      </w:pPr>
    </w:p>
    <w:p>
      <w:pPr>
        <w:tabs>
          <w:tab w:val="left" w:pos="3120"/>
        </w:tabs>
        <w:spacing w:line="360" w:lineRule="auto"/>
        <w:ind w:firstLine="1928" w:firstLineChars="600"/>
        <w:rPr>
          <w:rFonts w:hint="eastAsia" w:ascii="宋体" w:hAnsi="宋体" w:eastAsia="宋体" w:cs="宋体"/>
          <w:b/>
          <w:bCs/>
          <w:color w:val="auto"/>
          <w:sz w:val="32"/>
          <w:szCs w:val="32"/>
        </w:rPr>
      </w:pPr>
    </w:p>
    <w:p>
      <w:pPr>
        <w:pStyle w:val="225"/>
        <w:pageBreakBefore/>
        <w:widowControl/>
        <w:spacing w:line="579" w:lineRule="auto"/>
        <w:ind w:left="781" w:leftChars="205" w:hanging="351" w:hangingChars="97"/>
        <w:jc w:val="center"/>
        <w:rPr>
          <w:rStyle w:val="226"/>
          <w:rFonts w:hint="eastAsia" w:ascii="宋体" w:hAnsi="宋体" w:eastAsia="宋体" w:cs="宋体"/>
          <w:b/>
          <w:color w:val="auto"/>
          <w:kern w:val="44"/>
          <w:sz w:val="36"/>
          <w:szCs w:val="36"/>
        </w:rPr>
      </w:pPr>
      <w:bookmarkStart w:id="457" w:name="_Toc5628194"/>
      <w:r>
        <w:rPr>
          <w:rStyle w:val="226"/>
          <w:rFonts w:hint="eastAsia" w:ascii="宋体" w:hAnsi="宋体" w:eastAsia="宋体" w:cs="宋体"/>
          <w:b/>
          <w:color w:val="auto"/>
          <w:kern w:val="44"/>
          <w:sz w:val="36"/>
          <w:szCs w:val="36"/>
        </w:rPr>
        <w:t>第二部分  通用条款</w:t>
      </w: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bookmarkStart w:id="458" w:name="_Toc15523"/>
      <w:bookmarkStart w:id="459" w:name="_Toc11403"/>
      <w:r>
        <w:rPr>
          <w:rStyle w:val="226"/>
          <w:rFonts w:hint="eastAsia" w:ascii="宋体" w:hAnsi="宋体" w:eastAsia="宋体" w:cs="宋体"/>
          <w:b/>
          <w:bCs/>
          <w:color w:val="auto"/>
          <w:kern w:val="44"/>
          <w:sz w:val="36"/>
          <w:szCs w:val="36"/>
        </w:rPr>
        <w:t>按广州市建设工程监理合同（SF-2019-0206）通用条款执行（略）</w:t>
      </w:r>
      <w:bookmarkEnd w:id="458"/>
      <w:bookmarkEnd w:id="459"/>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pStyle w:val="4"/>
        <w:tabs>
          <w:tab w:val="left" w:pos="420"/>
        </w:tabs>
        <w:ind w:left="433" w:leftChars="206" w:firstLine="177" w:firstLineChars="49"/>
        <w:jc w:val="center"/>
        <w:rPr>
          <w:rStyle w:val="226"/>
          <w:rFonts w:hint="eastAsia" w:ascii="宋体" w:hAnsi="宋体" w:eastAsia="宋体" w:cs="宋体"/>
          <w:b/>
          <w:bCs/>
          <w:color w:val="auto"/>
          <w:kern w:val="44"/>
          <w:sz w:val="36"/>
          <w:szCs w:val="36"/>
        </w:rPr>
      </w:pPr>
    </w:p>
    <w:p>
      <w:pPr>
        <w:rPr>
          <w:rStyle w:val="226"/>
          <w:rFonts w:hint="eastAsia" w:ascii="宋体" w:hAnsi="宋体" w:eastAsia="宋体" w:cs="宋体"/>
          <w:b/>
          <w:bCs/>
          <w:color w:val="auto"/>
          <w:kern w:val="44"/>
          <w:sz w:val="36"/>
          <w:szCs w:val="36"/>
        </w:rPr>
      </w:pPr>
      <w:r>
        <w:rPr>
          <w:rStyle w:val="226"/>
          <w:rFonts w:hint="eastAsia" w:ascii="宋体" w:hAnsi="宋体" w:eastAsia="宋体" w:cs="宋体"/>
          <w:b/>
          <w:bCs/>
          <w:color w:val="auto"/>
          <w:kern w:val="44"/>
          <w:sz w:val="36"/>
          <w:szCs w:val="36"/>
        </w:rPr>
        <w:br w:type="page"/>
      </w:r>
    </w:p>
    <w:p>
      <w:pPr>
        <w:rPr>
          <w:rFonts w:hint="eastAsia" w:ascii="宋体" w:hAnsi="宋体" w:eastAsia="宋体" w:cs="宋体"/>
          <w:color w:val="auto"/>
        </w:rPr>
      </w:pPr>
    </w:p>
    <w:p>
      <w:pPr>
        <w:pStyle w:val="4"/>
        <w:tabs>
          <w:tab w:val="left" w:pos="420"/>
        </w:tabs>
        <w:ind w:left="433" w:leftChars="206" w:firstLine="177" w:firstLineChars="49"/>
        <w:jc w:val="center"/>
        <w:rPr>
          <w:rFonts w:hint="eastAsia" w:ascii="宋体" w:hAnsi="宋体" w:eastAsia="宋体" w:cs="宋体"/>
          <w:b/>
          <w:bCs/>
          <w:color w:val="auto"/>
          <w:sz w:val="36"/>
          <w:szCs w:val="36"/>
        </w:rPr>
      </w:pPr>
      <w:bookmarkStart w:id="460" w:name="_Toc18733"/>
      <w:bookmarkStart w:id="461" w:name="_Toc8856"/>
      <w:r>
        <w:rPr>
          <w:rFonts w:hint="eastAsia" w:ascii="宋体" w:hAnsi="宋体" w:eastAsia="宋体" w:cs="宋体"/>
          <w:b/>
          <w:bCs/>
          <w:color w:val="auto"/>
          <w:sz w:val="36"/>
          <w:szCs w:val="36"/>
        </w:rPr>
        <w:t>第三部分  专用条款</w:t>
      </w:r>
      <w:bookmarkEnd w:id="457"/>
      <w:bookmarkEnd w:id="460"/>
      <w:bookmarkEnd w:id="461"/>
    </w:p>
    <w:p>
      <w:pPr>
        <w:spacing w:line="440" w:lineRule="exact"/>
        <w:outlineLvl w:val="1"/>
        <w:rPr>
          <w:rFonts w:hint="eastAsia" w:ascii="宋体" w:hAnsi="宋体" w:eastAsia="宋体" w:cs="宋体"/>
          <w:b/>
          <w:bCs/>
          <w:color w:val="auto"/>
          <w:sz w:val="24"/>
          <w:szCs w:val="24"/>
        </w:rPr>
      </w:pPr>
      <w:bookmarkStart w:id="462" w:name="_Toc5628195"/>
      <w:r>
        <w:rPr>
          <w:rFonts w:hint="eastAsia" w:ascii="宋体" w:hAnsi="宋体" w:eastAsia="宋体" w:cs="宋体"/>
          <w:b/>
          <w:bCs/>
          <w:color w:val="auto"/>
          <w:sz w:val="24"/>
          <w:szCs w:val="24"/>
        </w:rPr>
        <w:t>1. 定义与解释</w:t>
      </w:r>
      <w:bookmarkEnd w:id="462"/>
    </w:p>
    <w:p>
      <w:pPr>
        <w:spacing w:line="440" w:lineRule="exact"/>
        <w:ind w:left="210" w:leftChars="100"/>
        <w:outlineLvl w:val="2"/>
        <w:rPr>
          <w:rFonts w:hint="eastAsia" w:ascii="宋体" w:hAnsi="宋体" w:eastAsia="宋体" w:cs="宋体"/>
          <w:color w:val="auto"/>
          <w:sz w:val="24"/>
          <w:szCs w:val="24"/>
        </w:rPr>
      </w:pPr>
      <w:bookmarkStart w:id="463" w:name="_Toc5628196"/>
      <w:r>
        <w:rPr>
          <w:rFonts w:hint="eastAsia" w:ascii="宋体" w:hAnsi="宋体" w:eastAsia="宋体" w:cs="宋体"/>
          <w:color w:val="auto"/>
          <w:sz w:val="24"/>
          <w:szCs w:val="24"/>
        </w:rPr>
        <w:t>1.2  解释</w:t>
      </w:r>
      <w:bookmarkEnd w:id="463"/>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本合同文件除使用中文外，还可用</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其他文件：</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outlineLvl w:val="1"/>
        <w:rPr>
          <w:rFonts w:hint="eastAsia" w:ascii="宋体" w:hAnsi="宋体" w:eastAsia="宋体" w:cs="宋体"/>
          <w:b/>
          <w:bCs/>
          <w:color w:val="auto"/>
          <w:sz w:val="24"/>
          <w:szCs w:val="24"/>
        </w:rPr>
      </w:pPr>
      <w:bookmarkStart w:id="464" w:name="_Toc5628197"/>
      <w:r>
        <w:rPr>
          <w:rFonts w:hint="eastAsia" w:ascii="宋体" w:hAnsi="宋体" w:eastAsia="宋体" w:cs="宋体"/>
          <w:b/>
          <w:bCs/>
          <w:color w:val="auto"/>
          <w:sz w:val="24"/>
          <w:szCs w:val="24"/>
        </w:rPr>
        <w:t>2. 监理人义务</w:t>
      </w:r>
      <w:bookmarkEnd w:id="464"/>
    </w:p>
    <w:p>
      <w:pPr>
        <w:spacing w:line="440" w:lineRule="exact"/>
        <w:ind w:left="210" w:leftChars="100"/>
        <w:outlineLvl w:val="2"/>
        <w:rPr>
          <w:rFonts w:hint="eastAsia" w:ascii="宋体" w:hAnsi="宋体" w:eastAsia="宋体" w:cs="宋体"/>
          <w:color w:val="auto"/>
          <w:sz w:val="24"/>
          <w:szCs w:val="24"/>
        </w:rPr>
      </w:pPr>
      <w:bookmarkStart w:id="465" w:name="_Toc5628198"/>
      <w:r>
        <w:rPr>
          <w:rFonts w:hint="eastAsia" w:ascii="宋体" w:hAnsi="宋体" w:eastAsia="宋体" w:cs="宋体"/>
          <w:color w:val="auto"/>
          <w:sz w:val="24"/>
          <w:szCs w:val="24"/>
        </w:rPr>
        <w:t>2.1 监理的范围和内容</w:t>
      </w:r>
      <w:bookmarkEnd w:id="465"/>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2.1.1 监理范围包括：</w:t>
      </w:r>
      <w:r>
        <w:rPr>
          <w:rFonts w:hint="eastAsia" w:ascii="宋体" w:hAnsi="宋体" w:eastAsia="宋体" w:cs="宋体"/>
          <w:color w:val="auto"/>
          <w:sz w:val="24"/>
          <w:szCs w:val="24"/>
          <w:u w:val="single"/>
        </w:rPr>
        <w:t xml:space="preserve"> </w:t>
      </w:r>
      <w:bookmarkStart w:id="466" w:name="_Hlk22199251"/>
      <w:r>
        <w:rPr>
          <w:rFonts w:hint="eastAsia" w:ascii="宋体" w:hAnsi="宋体" w:eastAsia="宋体" w:cs="宋体"/>
          <w:color w:val="auto"/>
          <w:sz w:val="24"/>
          <w:szCs w:val="24"/>
          <w:u w:val="single"/>
        </w:rPr>
        <w:t>按照委托人批准概算范围内的施工的准备阶段、施工阶段、工程收尾阶段及工程质量保修阶段的质量控制、安全生产监督管理、进度控制、合同管理、信息管理、组织协调等监理工作</w:t>
      </w:r>
      <w:bookmarkEnd w:id="466"/>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2.1.2 监理工作内容还包括：</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A.施工阶段</w:t>
      </w:r>
    </w:p>
    <w:p>
      <w:pPr>
        <w:spacing w:line="360" w:lineRule="auto"/>
        <w:ind w:firstLine="480" w:firstLineChars="200"/>
        <w:outlineLvl w:val="1"/>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（1）审查施工承包人各项施工准备工作，经委托人批准后，负责向施工承包人下达开工通知书；</w:t>
      </w:r>
    </w:p>
    <w:p>
      <w:pPr>
        <w:spacing w:line="360" w:lineRule="auto"/>
        <w:ind w:firstLine="480" w:firstLineChars="200"/>
        <w:outlineLvl w:val="1"/>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（2）督促施工承包人施工管理制度和质量保证体系的建立、健全与实施；</w:t>
      </w:r>
    </w:p>
    <w:p>
      <w:pPr>
        <w:spacing w:line="360" w:lineRule="auto"/>
        <w:ind w:firstLine="480" w:firstLineChars="200"/>
        <w:outlineLvl w:val="1"/>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（3）审查施工承包人提交的施工组织设计、施工技术方案、施工质量保证措施、安全文明施工措施并督促实施；</w:t>
      </w:r>
    </w:p>
    <w:p>
      <w:pPr>
        <w:spacing w:line="360" w:lineRule="auto"/>
        <w:ind w:firstLine="480" w:firstLineChars="200"/>
        <w:outlineLvl w:val="1"/>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（4）编制进度目标控制计划、督促审查施工承包人编制的网络进度计划，经委托人批准后组织实施；</w:t>
      </w:r>
    </w:p>
    <w:p>
      <w:pPr>
        <w:spacing w:line="360" w:lineRule="auto"/>
        <w:ind w:firstLine="480" w:firstLineChars="200"/>
        <w:outlineLvl w:val="1"/>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（5）协助委托人组织设计交底，图纸会审，审查设计变更；控制设计变更，注意检查变更设计的结构性、经济性和使用功能是否满足委托人的要求；</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（6）编制投资目标控制计划，审核施工承包人的已完工程量、月进度报表及承包人的付款申请，经监理初审，并经委托人复核，并批准后支付；</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检查施工现场原材料、构配件的采购、入库、保管、领用等管理制度及其执行情况；审查工程使用的原材料、半成品、成品、构配件和设备的实物质量和资料，并按规定进行检测，对有疑问的必须进行测试；</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（8）监督施工承包人严格按国家有关技术规范、标准和设计文件施工；</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（9）编制质量目标控制计划，对工程的重要部位督促审查施工承包人编制预控措施并监督承包人按其实施；</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（10）与委托人现场代表共同对隐蔽工程进行复验签证，主持工程质量事故的分析及处理；</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（11）对工程承发包合同的履行实施管理，协助委托人处理合同纠纷和索赔事宜；</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（12）编制监理工作周报、月报、监理工作总结，报委托人和市有关主管部门；组织监理例会；</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（13）督促施工承包人按合同规定及档案整理相关要求整理施工技术档案资料；认真审核竣工图纸和其他技术文件资料；</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B.验收及移交阶段：</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（1）监理人检查项目完成状态和检查项目移交文件，提供综合验收计划，审核竣工资料，组织对分部、分项工程初验及验收，参与工程竣工验收；</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（2）工程完工后，编制监理工作档资料和项目监理工作总结；</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（3）协助完成验收工作，进行资料档案管理等工作；</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（4）工程完工交验合格后，经委托人批准，向承包人签发交工验收证书，参与工程竣工后的缺陷责任期的监理及签发工程缺陷责任终止证书；</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（5）编制、整理工程监理竣工资料形成归档文件，并提交一套归档文件原件给委托人；</w:t>
      </w:r>
    </w:p>
    <w:p>
      <w:pPr>
        <w:spacing w:line="360" w:lineRule="auto"/>
        <w:ind w:firstLine="480" w:firstLineChars="200"/>
        <w:outlineLvl w:val="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（6）完成委托人交办的本项目其他工作；</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（7）其它监理规范及监理大纲中的监理内容</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67" w:name="_Toc5628199"/>
      <w:r>
        <w:rPr>
          <w:rFonts w:hint="eastAsia" w:ascii="宋体" w:hAnsi="宋体" w:eastAsia="宋体" w:cs="宋体"/>
          <w:color w:val="auto"/>
          <w:sz w:val="24"/>
          <w:szCs w:val="24"/>
        </w:rPr>
        <w:t>2.2 监理与相关服务依据</w:t>
      </w:r>
      <w:bookmarkEnd w:id="467"/>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2.2.1 监理依据包括：</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（1）本委托监理合同；</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（2）本项目的所有采购文件和报价文件；</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（3）委托人和承包人签订的合同及补充协议或备忘录；</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（4）经批准的初步设计及经委托人审查认可的本工程正式的施工图纸、说明以及会审记录、有关工程洽商的技术、施工洽商记录、设计修改和变更文件；</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（5）广州地区现行的有关工程预结算定额和文件；</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（6）国家和广州地区现行的设计规范（规程）、建筑工程质量检验评定标准、施工和验收规范；</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（7）经委托人审批认可，由监理人编制的监理规划、质量计划和监理细则；</w:t>
      </w:r>
    </w:p>
    <w:p>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u w:val="single"/>
        </w:rPr>
        <w:t>（8）委托人发出的指令。</w:t>
      </w:r>
    </w:p>
    <w:p>
      <w:pPr>
        <w:adjustRightInd w:val="0"/>
        <w:snapToGrid w:val="0"/>
        <w:spacing w:line="440" w:lineRule="exact"/>
        <w:ind w:firstLine="480" w:firstLineChars="200"/>
        <w:rPr>
          <w:rFonts w:hint="eastAsia" w:ascii="宋体" w:hAnsi="宋体" w:eastAsia="宋体" w:cs="宋体"/>
          <w:dstrike/>
          <w:color w:val="auto"/>
          <w:sz w:val="24"/>
          <w:szCs w:val="24"/>
        </w:rPr>
      </w:pPr>
      <w:r>
        <w:rPr>
          <w:rFonts w:hint="eastAsia" w:ascii="宋体" w:hAnsi="宋体" w:eastAsia="宋体" w:cs="宋体"/>
          <w:color w:val="auto"/>
          <w:sz w:val="24"/>
          <w:szCs w:val="24"/>
        </w:rPr>
        <w:t>2.2.2 相关服务依据包括：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68" w:name="_Toc5628200"/>
      <w:r>
        <w:rPr>
          <w:rFonts w:hint="eastAsia" w:ascii="宋体" w:hAnsi="宋体" w:eastAsia="宋体" w:cs="宋体"/>
          <w:color w:val="auto"/>
          <w:sz w:val="24"/>
          <w:szCs w:val="24"/>
        </w:rPr>
        <w:t>2.3项目监理机构和人员</w:t>
      </w:r>
      <w:bookmarkEnd w:id="468"/>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2.3.4 </w:t>
      </w:r>
      <w:r>
        <w:rPr>
          <w:rFonts w:hint="eastAsia" w:ascii="宋体" w:hAnsi="宋体" w:eastAsia="宋体" w:cs="宋体"/>
          <w:color w:val="auto"/>
          <w:kern w:val="0"/>
          <w:sz w:val="24"/>
          <w:szCs w:val="24"/>
        </w:rPr>
        <w:t>更换监理人员的其他情形：</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69" w:name="_Toc5628201"/>
      <w:r>
        <w:rPr>
          <w:rFonts w:hint="eastAsia" w:ascii="宋体" w:hAnsi="宋体" w:eastAsia="宋体" w:cs="宋体"/>
          <w:color w:val="auto"/>
          <w:sz w:val="24"/>
          <w:szCs w:val="24"/>
        </w:rPr>
        <w:t>2.4 履行职责</w:t>
      </w:r>
      <w:bookmarkEnd w:id="469"/>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 对监理人的授权范围：</w:t>
      </w:r>
      <w:r>
        <w:rPr>
          <w:rFonts w:hint="eastAsia" w:ascii="宋体" w:hAnsi="宋体" w:eastAsia="宋体" w:cs="宋体"/>
          <w:color w:val="auto"/>
          <w:sz w:val="24"/>
          <w:szCs w:val="24"/>
          <w:u w:val="single"/>
        </w:rPr>
        <w:t>涉及到工程造价变化的所有事项都必须经委托人同意</w:t>
      </w:r>
      <w:r>
        <w:rPr>
          <w:rFonts w:hint="eastAsia" w:ascii="宋体" w:hAnsi="宋体" w:eastAsia="宋体" w:cs="宋体"/>
          <w:color w:val="auto"/>
          <w:sz w:val="24"/>
          <w:szCs w:val="24"/>
        </w:rPr>
        <w:t>。</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在涉及工程延期</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天内和（或）金额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万元内的变更，监理人不需请示委托人即可向承包人发布变更通知。</w:t>
      </w:r>
    </w:p>
    <w:p>
      <w:pPr>
        <w:spacing w:line="440" w:lineRule="exact"/>
        <w:ind w:left="210" w:leftChars="100"/>
        <w:outlineLvl w:val="2"/>
        <w:rPr>
          <w:rFonts w:hint="eastAsia" w:ascii="宋体" w:hAnsi="宋体" w:eastAsia="宋体" w:cs="宋体"/>
          <w:color w:val="auto"/>
          <w:sz w:val="24"/>
          <w:szCs w:val="24"/>
        </w:rPr>
      </w:pPr>
      <w:bookmarkStart w:id="470" w:name="_Toc5628202"/>
      <w:r>
        <w:rPr>
          <w:rFonts w:hint="eastAsia" w:ascii="宋体" w:hAnsi="宋体" w:eastAsia="宋体" w:cs="宋体"/>
          <w:color w:val="auto"/>
          <w:sz w:val="24"/>
          <w:szCs w:val="24"/>
        </w:rPr>
        <w:t>2.5 提交报告</w:t>
      </w:r>
      <w:bookmarkEnd w:id="470"/>
    </w:p>
    <w:p>
      <w:pPr>
        <w:adjustRightInd w:val="0"/>
        <w:snapToGrid w:val="0"/>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监理人应提交报告的种类(</w:t>
      </w:r>
      <w:r>
        <w:rPr>
          <w:rFonts w:hint="eastAsia" w:ascii="宋体" w:hAnsi="宋体" w:eastAsia="宋体" w:cs="宋体"/>
          <w:color w:val="auto"/>
          <w:kern w:val="0"/>
          <w:sz w:val="24"/>
          <w:szCs w:val="24"/>
        </w:rPr>
        <w:t>包括监理规划、监理月报及约定的专项报告)</w:t>
      </w:r>
      <w:r>
        <w:rPr>
          <w:rFonts w:hint="eastAsia" w:ascii="宋体" w:hAnsi="宋体" w:eastAsia="宋体" w:cs="宋体"/>
          <w:color w:val="auto"/>
          <w:sz w:val="24"/>
          <w:szCs w:val="24"/>
        </w:rPr>
        <w:t>、时间和份数</w:t>
      </w:r>
      <w:r>
        <w:rPr>
          <w:rFonts w:hint="eastAsia" w:ascii="宋体" w:hAnsi="宋体" w:eastAsia="宋体" w:cs="宋体"/>
          <w:color w:val="auto"/>
          <w:kern w:val="0"/>
          <w:sz w:val="24"/>
          <w:szCs w:val="24"/>
        </w:rPr>
        <w:t>：</w:t>
      </w:r>
      <w:r>
        <w:rPr>
          <w:rFonts w:hint="eastAsia" w:ascii="宋体" w:hAnsi="宋体" w:eastAsia="宋体" w:cs="宋体"/>
          <w:color w:val="auto"/>
          <w:sz w:val="24"/>
          <w:szCs w:val="24"/>
          <w:u w:val="single"/>
        </w:rPr>
        <w:t xml:space="preserve">收到施工图后一周内向委托人提交报经审批后的监理规划一份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71" w:name="_Toc5628203"/>
      <w:r>
        <w:rPr>
          <w:rFonts w:hint="eastAsia" w:ascii="宋体" w:hAnsi="宋体" w:eastAsia="宋体" w:cs="宋体"/>
          <w:color w:val="auto"/>
          <w:sz w:val="24"/>
          <w:szCs w:val="24"/>
        </w:rPr>
        <w:t>2.7 使用委托人的财产</w:t>
      </w:r>
      <w:bookmarkEnd w:id="471"/>
    </w:p>
    <w:p>
      <w:pPr>
        <w:spacing w:line="4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附录B中由委托人无偿提供的房屋、设备的所有权属于：</w:t>
      </w:r>
      <w:r>
        <w:rPr>
          <w:rFonts w:hint="eastAsia" w:ascii="宋体" w:hAnsi="宋体" w:eastAsia="宋体" w:cs="宋体"/>
          <w:color w:val="auto"/>
          <w:sz w:val="24"/>
          <w:szCs w:val="24"/>
          <w:u w:val="single"/>
        </w:rPr>
        <w:t xml:space="preserve">  委托人所有   </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监理人应在本合同终止后</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天内移交委托人无偿提供的房屋、设备，移交的时间和方式为：</w:t>
      </w:r>
      <w:r>
        <w:rPr>
          <w:rFonts w:hint="eastAsia" w:ascii="宋体" w:hAnsi="宋体" w:eastAsia="宋体" w:cs="宋体"/>
          <w:color w:val="auto"/>
          <w:sz w:val="24"/>
          <w:szCs w:val="24"/>
          <w:u w:val="single"/>
        </w:rPr>
        <w:t xml:space="preserve"> 届时商议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72" w:name="_Toc5628204"/>
      <w:r>
        <w:rPr>
          <w:rFonts w:hint="eastAsia" w:ascii="宋体" w:hAnsi="宋体" w:eastAsia="宋体" w:cs="宋体"/>
          <w:color w:val="auto"/>
          <w:sz w:val="24"/>
          <w:szCs w:val="24"/>
        </w:rPr>
        <w:t>2.8履约担保</w:t>
      </w:r>
      <w:bookmarkEnd w:id="472"/>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履约担保按下列方式</w:t>
      </w:r>
      <w:r>
        <w:rPr>
          <w:rFonts w:hint="eastAsia" w:ascii="宋体" w:hAnsi="宋体" w:eastAsia="宋体" w:cs="宋体"/>
          <w:color w:val="auto"/>
          <w:sz w:val="24"/>
          <w:szCs w:val="24"/>
          <w:u w:val="single"/>
        </w:rPr>
        <w:t xml:space="preserve">  </w:t>
      </w:r>
      <w:r>
        <w:rPr>
          <w:rFonts w:hint="eastAsia" w:ascii="宋体" w:hAnsi="宋体" w:eastAsia="宋体" w:cs="宋体"/>
          <w:color w:val="auto"/>
          <w:u w:val="single"/>
        </w:rPr>
        <w:t>①和③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进行办理：</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①委托人不需要监理人出具履约保函；</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②委托人需要监理人出具履约保函的，监理人应在签订本合同后二个月内向委托人提交在中国注册的银行开出的担保金额为合同价款的</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%（不高于10%）,即人民币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元的《施工监理期履约保函》原件。保函期限以壹年为期限，根据工期每年到期后再续开下一年度的保函，可连续出具.</w:t>
      </w:r>
    </w:p>
    <w:p>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在监理人签署质量合格文件后，履约保函解除</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%（不低于80%）</w:t>
      </w:r>
      <w:r>
        <w:rPr>
          <w:rFonts w:hint="eastAsia" w:ascii="宋体" w:hAnsi="宋体" w:eastAsia="宋体" w:cs="宋体"/>
          <w:color w:val="auto"/>
          <w:kern w:val="0"/>
          <w:sz w:val="24"/>
          <w:szCs w:val="24"/>
        </w:rPr>
        <w:t>，在工程竣工验收合格时或交付使用时，应予以办理退回履约保函。</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③委托人不需要监理人出具履约保证保险；</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④委托人需要监理人出具履约保证保险的，监理人应在签订本合同后二个月内向委托人提交履约保证保险资料原件，保证保险担保金额：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；保证保险期限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outlineLvl w:val="1"/>
        <w:rPr>
          <w:rFonts w:hint="eastAsia" w:ascii="宋体" w:hAnsi="宋体" w:eastAsia="宋体" w:cs="宋体"/>
          <w:b/>
          <w:bCs/>
          <w:color w:val="auto"/>
          <w:sz w:val="24"/>
          <w:szCs w:val="24"/>
        </w:rPr>
      </w:pPr>
      <w:bookmarkStart w:id="473" w:name="_Toc5628205"/>
      <w:r>
        <w:rPr>
          <w:rFonts w:hint="eastAsia" w:ascii="宋体" w:hAnsi="宋体" w:eastAsia="宋体" w:cs="宋体"/>
          <w:b/>
          <w:bCs/>
          <w:color w:val="auto"/>
          <w:sz w:val="24"/>
          <w:szCs w:val="24"/>
        </w:rPr>
        <w:t>3. 委托人义务</w:t>
      </w:r>
      <w:bookmarkEnd w:id="473"/>
      <w:r>
        <w:rPr>
          <w:rFonts w:hint="eastAsia" w:ascii="宋体" w:hAnsi="宋体" w:eastAsia="宋体" w:cs="宋体"/>
          <w:b/>
          <w:bCs/>
          <w:color w:val="auto"/>
          <w:sz w:val="24"/>
          <w:szCs w:val="24"/>
        </w:rPr>
        <w:t xml:space="preserve">  </w:t>
      </w:r>
    </w:p>
    <w:p>
      <w:pPr>
        <w:spacing w:line="440" w:lineRule="exact"/>
        <w:ind w:left="210" w:leftChars="100"/>
        <w:outlineLvl w:val="2"/>
        <w:rPr>
          <w:rFonts w:hint="eastAsia" w:ascii="宋体" w:hAnsi="宋体" w:eastAsia="宋体" w:cs="宋体"/>
          <w:color w:val="auto"/>
          <w:sz w:val="24"/>
          <w:szCs w:val="24"/>
        </w:rPr>
      </w:pPr>
      <w:bookmarkStart w:id="474" w:name="_Toc5628206"/>
      <w:r>
        <w:rPr>
          <w:rFonts w:hint="eastAsia" w:ascii="宋体" w:hAnsi="宋体" w:eastAsia="宋体" w:cs="宋体"/>
          <w:color w:val="auto"/>
          <w:sz w:val="24"/>
          <w:szCs w:val="24"/>
        </w:rPr>
        <w:t>3.4 委托人代表</w:t>
      </w:r>
      <w:bookmarkEnd w:id="474"/>
    </w:p>
    <w:p>
      <w:pPr>
        <w:adjustRightInd w:val="0"/>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委托人代表为：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75" w:name="_Toc5628207"/>
      <w:r>
        <w:rPr>
          <w:rFonts w:hint="eastAsia" w:ascii="宋体" w:hAnsi="宋体" w:eastAsia="宋体" w:cs="宋体"/>
          <w:color w:val="auto"/>
          <w:sz w:val="24"/>
          <w:szCs w:val="24"/>
        </w:rPr>
        <w:t>3.6 答复</w:t>
      </w:r>
      <w:bookmarkEnd w:id="475"/>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委托人同意在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天内，对监理人书面提交并要求做出决定的事宜给予书面答复。</w:t>
      </w:r>
    </w:p>
    <w:p>
      <w:pPr>
        <w:spacing w:line="440" w:lineRule="exact"/>
        <w:ind w:left="210" w:leftChars="100"/>
        <w:outlineLvl w:val="2"/>
        <w:rPr>
          <w:rFonts w:hint="eastAsia" w:ascii="宋体" w:hAnsi="宋体" w:eastAsia="宋体" w:cs="宋体"/>
          <w:color w:val="auto"/>
          <w:sz w:val="24"/>
          <w:szCs w:val="24"/>
        </w:rPr>
      </w:pPr>
      <w:bookmarkStart w:id="476" w:name="_Toc5628208"/>
      <w:r>
        <w:rPr>
          <w:rFonts w:hint="eastAsia" w:ascii="宋体" w:hAnsi="宋体" w:eastAsia="宋体" w:cs="宋体"/>
          <w:color w:val="auto"/>
          <w:sz w:val="24"/>
          <w:szCs w:val="24"/>
        </w:rPr>
        <w:t>3.8 支付担保</w:t>
      </w:r>
      <w:bookmarkEnd w:id="476"/>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支付担保按下列方式</w:t>
      </w:r>
      <w:r>
        <w:rPr>
          <w:rFonts w:hint="eastAsia" w:ascii="宋体" w:hAnsi="宋体" w:eastAsia="宋体" w:cs="宋体"/>
          <w:color w:val="auto"/>
          <w:sz w:val="24"/>
          <w:szCs w:val="24"/>
          <w:u w:val="single"/>
        </w:rPr>
        <w:t xml:space="preserve"> </w:t>
      </w:r>
      <w:r>
        <w:rPr>
          <w:rFonts w:hint="eastAsia" w:ascii="宋体" w:hAnsi="宋体" w:eastAsia="宋体" w:cs="宋体"/>
          <w:color w:val="auto"/>
          <w:u w:val="single"/>
        </w:rPr>
        <w:t>①和③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进行办理：</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①委托人不需要出具支付保函；</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②委托人需要出具支付保函的，委托人应在签订本合同后二个月内向监理人提交在中国注册的银行开出的担保金额为合同价款的</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%（不高于10%）,即人民币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元的支付保函原件。保函期限以壹年为期限，根据工期每年到期后再续开下一年度的保函，可连续出具。</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委托人支付保函解除条件：</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支付保函解除</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办理退回支付保函条件：</w:t>
      </w:r>
      <w:r>
        <w:rPr>
          <w:rFonts w:hint="eastAsia" w:ascii="宋体" w:hAnsi="宋体" w:eastAsia="宋体" w:cs="宋体"/>
          <w:color w:val="auto"/>
          <w:sz w:val="24"/>
          <w:szCs w:val="24"/>
          <w:u w:val="single"/>
        </w:rPr>
        <w:t xml:space="preserve"> /  </w:t>
      </w:r>
      <w:r>
        <w:rPr>
          <w:rFonts w:hint="eastAsia" w:ascii="宋体" w:hAnsi="宋体" w:eastAsia="宋体" w:cs="宋体"/>
          <w:color w:val="auto"/>
          <w:kern w:val="0"/>
          <w:sz w:val="24"/>
          <w:szCs w:val="24"/>
        </w:rPr>
        <w:t>。</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③委托人不需要出具支付保证保险；</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④委托人需要出具支付保证保险的，委托人应在签订本合同后二个月内向监理人提交支付保证保险资料原件，保证保险担保金额：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；保证保险期限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440" w:lineRule="exact"/>
        <w:outlineLvl w:val="1"/>
        <w:rPr>
          <w:rFonts w:hint="eastAsia" w:ascii="宋体" w:hAnsi="宋体" w:eastAsia="宋体" w:cs="宋体"/>
          <w:b/>
          <w:bCs/>
          <w:color w:val="auto"/>
          <w:sz w:val="24"/>
          <w:szCs w:val="24"/>
        </w:rPr>
      </w:pPr>
      <w:bookmarkStart w:id="477" w:name="_Toc5628209"/>
      <w:r>
        <w:rPr>
          <w:rFonts w:hint="eastAsia" w:ascii="宋体" w:hAnsi="宋体" w:eastAsia="宋体" w:cs="宋体"/>
          <w:b/>
          <w:bCs/>
          <w:color w:val="auto"/>
          <w:sz w:val="24"/>
          <w:szCs w:val="24"/>
        </w:rPr>
        <w:t>4. 违约责任</w:t>
      </w:r>
      <w:bookmarkEnd w:id="477"/>
    </w:p>
    <w:p>
      <w:pPr>
        <w:spacing w:line="440" w:lineRule="exact"/>
        <w:ind w:left="210" w:leftChars="100"/>
        <w:outlineLvl w:val="2"/>
        <w:rPr>
          <w:rFonts w:hint="eastAsia" w:ascii="宋体" w:hAnsi="宋体" w:eastAsia="宋体" w:cs="宋体"/>
          <w:color w:val="auto"/>
          <w:sz w:val="24"/>
          <w:szCs w:val="24"/>
        </w:rPr>
      </w:pPr>
      <w:bookmarkStart w:id="478" w:name="_Toc5628210"/>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4.1 监理人的违约责任</w:t>
      </w:r>
      <w:bookmarkEnd w:id="478"/>
    </w:p>
    <w:p>
      <w:pPr>
        <w:spacing w:line="440" w:lineRule="exact"/>
        <w:ind w:left="210" w:leftChars="100"/>
        <w:outlineLvl w:val="2"/>
        <w:rPr>
          <w:rFonts w:hint="eastAsia" w:ascii="宋体" w:hAnsi="宋体" w:eastAsia="宋体" w:cs="宋体"/>
          <w:color w:val="auto"/>
          <w:kern w:val="0"/>
          <w:sz w:val="24"/>
          <w:szCs w:val="24"/>
        </w:rPr>
      </w:pPr>
      <w:bookmarkStart w:id="479" w:name="_Hlk80088497"/>
      <w:r>
        <w:rPr>
          <w:rFonts w:hint="eastAsia" w:ascii="宋体" w:hAnsi="宋体" w:eastAsia="宋体" w:cs="宋体"/>
          <w:color w:val="auto"/>
          <w:kern w:val="0"/>
          <w:sz w:val="24"/>
          <w:szCs w:val="24"/>
        </w:rPr>
        <w:t>4.1.1监理人违反本合同约定的，应赔偿因此给委托人造成的损失。</w:t>
      </w:r>
    </w:p>
    <w:p>
      <w:pPr>
        <w:spacing w:line="440" w:lineRule="exact"/>
        <w:ind w:left="210" w:leftChars="1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4.1.2对不合格、不称职的监理人员无法履行监理合同义务，不服从委托人项目部管理，委托人有权按</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元/次扣除监理酬金并要求更换有关人员(监理人接到委托人要求更换相关不称职人员，5天内应予以落实)；且因监理人的失职导致工程损失的，委托人有权单方面解除合同并，监理人还应按本合同暂定监理总酬金的10%支付违约金，监理人在接到委托人书面通知一周内办理移交，因监理人拖延不移交而造成委托人损失的，监理人需承担赔偿责任。</w:t>
      </w:r>
    </w:p>
    <w:p>
      <w:pPr>
        <w:spacing w:line="440" w:lineRule="exact"/>
        <w:ind w:left="210" w:leftChars="1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4.1.3监理人对于承包人现场的人员不到位、擅自离场，管理人员工作能力存在严重不足等存在的问题不进行有效检查、督促、处理，且不向委托人报告的，委托人有权按</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00元/次扣除监理酬金。在委托人书面警告并要求限期改正后，拒不限期改正的，委托人有权单方解除本合同，监理人应按本合同暂定监理总酬金的10%支付违约金。</w:t>
      </w:r>
    </w:p>
    <w:p>
      <w:pPr>
        <w:spacing w:line="440" w:lineRule="exact"/>
        <w:ind w:left="210" w:leftChars="1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4.1.4工程施工过程中，需要监理人进行旁站监督或参加会议的，监理人没有到场，或者到场后没有进行监督，或发现质量问题后没有及时处理，且没有向委托人书面报告，委托人有权按</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00元/次扣除监理酬金。在委托人书面警告并要求限期改正后，拒不限期改正的，委托人有权单方解除本合同，监理人应按本合同暂定监理总酬金的10%支付违约金。</w:t>
      </w:r>
    </w:p>
    <w:p>
      <w:pPr>
        <w:adjustRightInd/>
        <w:snapToGrid/>
        <w:spacing w:line="440" w:lineRule="exact"/>
        <w:ind w:left="210" w:leftChars="100" w:firstLine="0" w:firstLineChars="0"/>
        <w:outlineLvl w:val="2"/>
        <w:rPr>
          <w:rFonts w:hint="eastAsia" w:ascii="宋体" w:hAnsi="宋体" w:eastAsia="宋体" w:cs="宋体"/>
          <w:color w:val="auto"/>
          <w:sz w:val="24"/>
          <w:szCs w:val="24"/>
        </w:rPr>
      </w:pPr>
      <w:r>
        <w:rPr>
          <w:rFonts w:hint="eastAsia" w:ascii="宋体" w:hAnsi="宋体" w:eastAsia="宋体" w:cs="宋体"/>
          <w:color w:val="auto"/>
          <w:kern w:val="0"/>
          <w:sz w:val="24"/>
          <w:szCs w:val="24"/>
        </w:rPr>
        <w:t>4.1.5</w:t>
      </w:r>
      <w:r>
        <w:rPr>
          <w:rFonts w:hint="eastAsia" w:ascii="宋体" w:hAnsi="宋体" w:eastAsia="宋体" w:cs="宋体"/>
          <w:color w:val="auto"/>
          <w:kern w:val="0"/>
          <w:sz w:val="24"/>
          <w:szCs w:val="24"/>
          <w:lang w:val="en-US" w:eastAsia="zh-CN"/>
        </w:rPr>
        <w:t>因监理责任</w:t>
      </w:r>
      <w:r>
        <w:rPr>
          <w:rFonts w:hint="eastAsia" w:ascii="宋体" w:hAnsi="宋体" w:eastAsia="宋体" w:cs="宋体"/>
          <w:color w:val="auto"/>
          <w:kern w:val="0"/>
          <w:sz w:val="24"/>
          <w:szCs w:val="24"/>
        </w:rPr>
        <w:t>致使工程施工的工期比计划滞后7日（含7日）以上的，监理人应按本合同暂定监理总酬金的5%向委托人支付违约金；出现关键工期滞后15日（含15日）以上的，委托人有权单方解除本合同，监理人应按本合同暂定监理总酬金的10%支付违约金</w:t>
      </w:r>
      <w:bookmarkEnd w:id="479"/>
      <w:r>
        <w:rPr>
          <w:rFonts w:hint="eastAsia" w:ascii="宋体" w:hAnsi="宋体" w:eastAsia="宋体" w:cs="宋体"/>
          <w:color w:val="auto"/>
          <w:kern w:val="0"/>
          <w:sz w:val="24"/>
          <w:szCs w:val="24"/>
        </w:rPr>
        <w:t>。</w:t>
      </w:r>
    </w:p>
    <w:p>
      <w:pPr>
        <w:spacing w:line="440" w:lineRule="exact"/>
        <w:ind w:left="210" w:leftChars="100"/>
        <w:outlineLvl w:val="2"/>
        <w:rPr>
          <w:rFonts w:hint="eastAsia" w:ascii="宋体" w:hAnsi="宋体" w:eastAsia="宋体" w:cs="宋体"/>
          <w:color w:val="auto"/>
          <w:sz w:val="24"/>
          <w:szCs w:val="24"/>
        </w:rPr>
      </w:pPr>
      <w:bookmarkStart w:id="480" w:name="_Toc5628211"/>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4.2 委托人的违约责任</w:t>
      </w:r>
      <w:bookmarkEnd w:id="480"/>
    </w:p>
    <w:p>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4.2.1</w:t>
      </w:r>
      <w:r>
        <w:rPr>
          <w:rFonts w:hint="eastAsia" w:ascii="宋体" w:hAnsi="宋体" w:eastAsia="宋体" w:cs="宋体"/>
          <w:color w:val="auto"/>
          <w:kern w:val="0"/>
          <w:sz w:val="24"/>
          <w:szCs w:val="24"/>
        </w:rPr>
        <w:t>委托人赔偿金额的计算方法：</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w:t>
      </w:r>
    </w:p>
    <w:p>
      <w:pPr>
        <w:spacing w:line="440" w:lineRule="exact"/>
        <w:ind w:firstLine="320" w:firstLineChars="13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4.2.3 委托人</w:t>
      </w:r>
      <w:r>
        <w:rPr>
          <w:rFonts w:hint="eastAsia" w:ascii="宋体" w:hAnsi="宋体" w:eastAsia="宋体" w:cs="宋体"/>
          <w:color w:val="auto"/>
          <w:kern w:val="0"/>
          <w:sz w:val="24"/>
          <w:szCs w:val="24"/>
        </w:rPr>
        <w:t>逾期付款利息按下列方法确定：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（1）逾期付款利息＝当期应付款总额×银行同期贷款利率×拖延支付天数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其它计算方法</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outlineLvl w:val="1"/>
        <w:rPr>
          <w:rFonts w:hint="eastAsia" w:ascii="宋体" w:hAnsi="宋体" w:eastAsia="宋体" w:cs="宋体"/>
          <w:b/>
          <w:bCs/>
          <w:color w:val="auto"/>
          <w:sz w:val="24"/>
          <w:szCs w:val="24"/>
        </w:rPr>
      </w:pPr>
      <w:bookmarkStart w:id="481" w:name="_Toc5628212"/>
      <w:r>
        <w:rPr>
          <w:rFonts w:hint="eastAsia" w:ascii="宋体" w:hAnsi="宋体" w:eastAsia="宋体" w:cs="宋体"/>
          <w:b/>
          <w:bCs/>
          <w:color w:val="auto"/>
          <w:kern w:val="0"/>
          <w:sz w:val="24"/>
          <w:szCs w:val="24"/>
        </w:rPr>
        <w:t>★</w:t>
      </w:r>
      <w:r>
        <w:rPr>
          <w:rFonts w:hint="eastAsia" w:ascii="宋体" w:hAnsi="宋体" w:eastAsia="宋体" w:cs="宋体"/>
          <w:b/>
          <w:bCs/>
          <w:color w:val="auto"/>
          <w:sz w:val="24"/>
          <w:szCs w:val="24"/>
        </w:rPr>
        <w:t>5. 支付</w:t>
      </w:r>
      <w:bookmarkEnd w:id="481"/>
    </w:p>
    <w:p>
      <w:pPr>
        <w:spacing w:line="440" w:lineRule="exact"/>
        <w:ind w:left="210" w:leftChars="100"/>
        <w:outlineLvl w:val="2"/>
        <w:rPr>
          <w:rFonts w:hint="eastAsia" w:ascii="宋体" w:hAnsi="宋体" w:eastAsia="宋体" w:cs="宋体"/>
          <w:color w:val="auto"/>
          <w:sz w:val="24"/>
          <w:szCs w:val="24"/>
        </w:rPr>
      </w:pPr>
      <w:bookmarkStart w:id="482" w:name="_Toc5628213"/>
      <w:r>
        <w:rPr>
          <w:rFonts w:hint="eastAsia" w:ascii="宋体" w:hAnsi="宋体" w:eastAsia="宋体" w:cs="宋体"/>
          <w:color w:val="auto"/>
          <w:sz w:val="24"/>
          <w:szCs w:val="24"/>
        </w:rPr>
        <w:t>5.1 支付货币</w:t>
      </w:r>
      <w:bookmarkEnd w:id="482"/>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币种为：</w:t>
      </w:r>
      <w:r>
        <w:rPr>
          <w:rFonts w:hint="eastAsia" w:ascii="宋体" w:hAnsi="宋体" w:eastAsia="宋体" w:cs="宋体"/>
          <w:color w:val="auto"/>
          <w:sz w:val="24"/>
          <w:szCs w:val="24"/>
          <w:u w:val="single"/>
        </w:rPr>
        <w:t xml:space="preserve"> 人民币  </w:t>
      </w:r>
      <w:r>
        <w:rPr>
          <w:rFonts w:hint="eastAsia" w:ascii="宋体" w:hAnsi="宋体" w:eastAsia="宋体" w:cs="宋体"/>
          <w:color w:val="auto"/>
          <w:sz w:val="24"/>
          <w:szCs w:val="24"/>
        </w:rPr>
        <w:t>，比例为：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，汇率为：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pPr>
        <w:spacing w:line="440" w:lineRule="exact"/>
        <w:ind w:left="210" w:leftChars="100"/>
        <w:outlineLvl w:val="2"/>
        <w:rPr>
          <w:rFonts w:hint="eastAsia" w:ascii="宋体" w:hAnsi="宋体" w:eastAsia="宋体" w:cs="宋体"/>
          <w:color w:val="auto"/>
          <w:sz w:val="24"/>
          <w:szCs w:val="24"/>
        </w:rPr>
      </w:pPr>
      <w:bookmarkStart w:id="483" w:name="_Toc5628214"/>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5.3 支付酬金</w:t>
      </w:r>
      <w:bookmarkEnd w:id="483"/>
    </w:p>
    <w:p>
      <w:pPr>
        <w:pStyle w:val="217"/>
        <w:tabs>
          <w:tab w:val="left" w:pos="0"/>
        </w:tabs>
        <w:spacing w:line="440" w:lineRule="exact"/>
        <w:ind w:firstLine="0" w:firstLineChars="0"/>
        <w:rPr>
          <w:rFonts w:hint="eastAsia" w:ascii="宋体" w:hAnsi="宋体" w:eastAsia="宋体" w:cs="宋体"/>
          <w:color w:val="auto"/>
        </w:rPr>
      </w:pPr>
      <w:r>
        <w:rPr>
          <w:rFonts w:hint="eastAsia" w:ascii="宋体" w:hAnsi="宋体" w:eastAsia="宋体" w:cs="宋体"/>
          <w:color w:val="auto"/>
        </w:rPr>
        <w:t>正常工作酬金（以暂定合同价计算）的支付按下列</w:t>
      </w:r>
      <w:r>
        <w:rPr>
          <w:rFonts w:hint="eastAsia" w:ascii="宋体" w:hAnsi="宋体" w:eastAsia="宋体" w:cs="宋体"/>
          <w:color w:val="auto"/>
          <w:u w:val="single"/>
        </w:rPr>
        <w:t xml:space="preserve">  （4） </w:t>
      </w:r>
      <w:r>
        <w:rPr>
          <w:rFonts w:hint="eastAsia" w:ascii="宋体" w:hAnsi="宋体" w:eastAsia="宋体" w:cs="宋体"/>
          <w:color w:val="auto"/>
        </w:rPr>
        <w:t>方法确定：</w:t>
      </w:r>
    </w:p>
    <w:p>
      <w:pPr>
        <w:spacing w:line="440" w:lineRule="exact"/>
        <w:ind w:left="210" w:leftChars="100"/>
        <w:outlineLvl w:val="2"/>
        <w:rPr>
          <w:rFonts w:hint="eastAsia" w:ascii="宋体" w:hAnsi="宋体" w:eastAsia="宋体" w:cs="宋体"/>
          <w:color w:val="auto"/>
          <w:sz w:val="24"/>
          <w:szCs w:val="24"/>
        </w:rPr>
      </w:pPr>
      <w:r>
        <w:rPr>
          <w:rFonts w:hint="eastAsia" w:ascii="宋体" w:hAnsi="宋体" w:eastAsia="宋体" w:cs="宋体"/>
          <w:color w:val="auto"/>
        </w:rPr>
        <w:t>（4）</w:t>
      </w:r>
      <w:r>
        <w:rPr>
          <w:rFonts w:hint="eastAsia" w:ascii="宋体" w:hAnsi="宋体" w:eastAsia="宋体" w:cs="宋体"/>
          <w:color w:val="auto"/>
          <w:sz w:val="24"/>
          <w:szCs w:val="24"/>
        </w:rPr>
        <w:t>其它支付方式：</w:t>
      </w:r>
    </w:p>
    <w:p>
      <w:pPr>
        <w:spacing w:line="640" w:lineRule="exact"/>
        <w:ind w:firstLine="480" w:firstLineChars="200"/>
        <w:textAlignment w:val="baseline"/>
        <w:rPr>
          <w:rStyle w:val="226"/>
          <w:rFonts w:hint="eastAsia" w:ascii="宋体" w:hAnsi="宋体" w:eastAsia="宋体" w:cs="宋体"/>
          <w:color w:val="auto"/>
          <w:sz w:val="24"/>
          <w:szCs w:val="24"/>
        </w:rPr>
      </w:pPr>
      <w:r>
        <w:rPr>
          <w:rStyle w:val="226"/>
          <w:rFonts w:hint="eastAsia" w:ascii="宋体" w:hAnsi="宋体" w:eastAsia="宋体" w:cs="宋体"/>
          <w:color w:val="auto"/>
          <w:sz w:val="24"/>
          <w:szCs w:val="24"/>
        </w:rPr>
        <w:t>监理人同意按以下的计算方法、支付时间与金额，支付监理人的报酬：</w:t>
      </w:r>
    </w:p>
    <w:p>
      <w:pPr>
        <w:spacing w:line="360" w:lineRule="auto"/>
        <w:ind w:firstLine="482" w:firstLineChars="200"/>
        <w:textAlignment w:val="baseline"/>
        <w:rPr>
          <w:rStyle w:val="226"/>
          <w:rFonts w:hint="eastAsia" w:ascii="宋体" w:hAnsi="宋体" w:eastAsia="宋体" w:cs="宋体"/>
          <w:b/>
          <w:color w:val="auto"/>
          <w:sz w:val="24"/>
          <w:szCs w:val="24"/>
          <w:highlight w:val="none"/>
        </w:rPr>
      </w:pPr>
      <w:r>
        <w:rPr>
          <w:rStyle w:val="226"/>
          <w:rFonts w:hint="eastAsia" w:ascii="宋体" w:hAnsi="宋体" w:eastAsia="宋体" w:cs="宋体"/>
          <w:b/>
          <w:color w:val="auto"/>
          <w:sz w:val="24"/>
          <w:szCs w:val="24"/>
          <w:highlight w:val="none"/>
        </w:rPr>
        <w:t>付款方式：</w:t>
      </w:r>
    </w:p>
    <w:p>
      <w:pPr>
        <w:spacing w:line="360" w:lineRule="auto"/>
        <w:ind w:firstLine="482" w:firstLineChars="200"/>
        <w:textAlignment w:val="baseline"/>
        <w:rPr>
          <w:rStyle w:val="226"/>
          <w:rFonts w:hint="eastAsia" w:ascii="宋体" w:hAnsi="宋体" w:eastAsia="宋体" w:cs="宋体"/>
          <w:b/>
          <w:color w:val="auto"/>
          <w:sz w:val="24"/>
          <w:szCs w:val="24"/>
          <w:highlight w:val="none"/>
        </w:rPr>
      </w:pPr>
      <w:r>
        <w:rPr>
          <w:rStyle w:val="226"/>
          <w:rFonts w:hint="eastAsia" w:ascii="宋体" w:hAnsi="宋体" w:eastAsia="宋体" w:cs="宋体"/>
          <w:b/>
          <w:color w:val="auto"/>
          <w:sz w:val="24"/>
          <w:szCs w:val="24"/>
          <w:highlight w:val="none"/>
        </w:rPr>
        <w:t>（1）首期支付合同价的20%作为预付款；</w:t>
      </w:r>
    </w:p>
    <w:p>
      <w:pPr>
        <w:spacing w:line="360" w:lineRule="auto"/>
        <w:ind w:firstLine="482" w:firstLineChars="200"/>
        <w:textAlignment w:val="baseline"/>
        <w:rPr>
          <w:rStyle w:val="226"/>
          <w:rFonts w:hint="eastAsia" w:ascii="宋体" w:hAnsi="宋体" w:eastAsia="宋体" w:cs="宋体"/>
          <w:b/>
          <w:color w:val="auto"/>
          <w:sz w:val="24"/>
          <w:szCs w:val="24"/>
          <w:highlight w:val="none"/>
        </w:rPr>
      </w:pPr>
      <w:r>
        <w:rPr>
          <w:rStyle w:val="226"/>
          <w:rFonts w:hint="eastAsia" w:ascii="宋体" w:hAnsi="宋体" w:eastAsia="宋体" w:cs="宋体"/>
          <w:b/>
          <w:color w:val="auto"/>
          <w:sz w:val="24"/>
          <w:szCs w:val="24"/>
          <w:highlight w:val="none"/>
        </w:rPr>
        <w:t>（2）</w:t>
      </w:r>
      <w:r>
        <w:rPr>
          <w:rStyle w:val="226"/>
          <w:rFonts w:hint="eastAsia" w:ascii="宋体" w:hAnsi="宋体" w:cs="宋体"/>
          <w:b/>
          <w:color w:val="auto"/>
          <w:sz w:val="24"/>
          <w:szCs w:val="24"/>
          <w:highlight w:val="none"/>
        </w:rPr>
        <w:t>每月</w:t>
      </w:r>
      <w:r>
        <w:rPr>
          <w:rStyle w:val="226"/>
          <w:rFonts w:hint="eastAsia" w:ascii="宋体" w:hAnsi="宋体" w:eastAsia="宋体" w:cs="宋体"/>
          <w:b/>
          <w:color w:val="auto"/>
          <w:sz w:val="24"/>
          <w:szCs w:val="24"/>
          <w:highlight w:val="none"/>
        </w:rPr>
        <w:t>根据施工进度申请付至合同内实际完成工作量的80%对应的合同款项，但工程完工并竣工验收合格前累计支付不超过合同价</w:t>
      </w:r>
      <w:r>
        <w:rPr>
          <w:rStyle w:val="226"/>
          <w:rFonts w:hint="eastAsia" w:ascii="宋体" w:hAnsi="宋体" w:cs="宋体"/>
          <w:b/>
          <w:color w:val="auto"/>
          <w:sz w:val="24"/>
          <w:szCs w:val="24"/>
          <w:highlight w:val="none"/>
          <w:lang w:val="en-US"/>
        </w:rPr>
        <w:t>80</w:t>
      </w:r>
      <w:r>
        <w:rPr>
          <w:rStyle w:val="226"/>
          <w:rFonts w:hint="eastAsia" w:ascii="宋体" w:hAnsi="宋体" w:eastAsia="宋体" w:cs="宋体"/>
          <w:b/>
          <w:color w:val="auto"/>
          <w:sz w:val="24"/>
          <w:szCs w:val="24"/>
          <w:highlight w:val="none"/>
        </w:rPr>
        <w:t>%</w:t>
      </w:r>
      <w:r>
        <w:rPr>
          <w:rStyle w:val="226"/>
          <w:rFonts w:hint="eastAsia" w:ascii="宋体" w:hAnsi="宋体" w:cs="宋体"/>
          <w:b/>
          <w:color w:val="auto"/>
          <w:sz w:val="24"/>
          <w:szCs w:val="24"/>
          <w:highlight w:val="none"/>
        </w:rPr>
        <w:t>（乙方每月</w:t>
      </w:r>
      <w:r>
        <w:rPr>
          <w:rStyle w:val="226"/>
          <w:rFonts w:hint="eastAsia" w:ascii="宋体" w:hAnsi="宋体" w:cs="宋体"/>
          <w:b/>
          <w:color w:val="auto"/>
          <w:sz w:val="24"/>
          <w:szCs w:val="24"/>
          <w:highlight w:val="none"/>
          <w:lang w:val="en-US"/>
        </w:rPr>
        <w:t>5日前申请上月款项，甲方收到申请后5个工作日内支付</w:t>
      </w:r>
      <w:r>
        <w:rPr>
          <w:rStyle w:val="226"/>
          <w:rFonts w:hint="eastAsia" w:ascii="宋体" w:hAnsi="宋体" w:cs="宋体"/>
          <w:b/>
          <w:color w:val="auto"/>
          <w:sz w:val="24"/>
          <w:szCs w:val="24"/>
          <w:highlight w:val="none"/>
        </w:rPr>
        <w:t>）</w:t>
      </w:r>
      <w:r>
        <w:rPr>
          <w:rStyle w:val="226"/>
          <w:rFonts w:hint="eastAsia" w:ascii="宋体" w:hAnsi="宋体" w:eastAsia="宋体" w:cs="宋体"/>
          <w:b/>
          <w:color w:val="auto"/>
          <w:sz w:val="24"/>
          <w:szCs w:val="24"/>
          <w:highlight w:val="none"/>
        </w:rPr>
        <w:t>；</w:t>
      </w:r>
    </w:p>
    <w:p>
      <w:pPr>
        <w:spacing w:line="360" w:lineRule="auto"/>
        <w:ind w:firstLine="482" w:firstLineChars="200"/>
        <w:textAlignment w:val="baseline"/>
        <w:rPr>
          <w:rStyle w:val="226"/>
          <w:rFonts w:hint="eastAsia" w:ascii="宋体" w:hAnsi="宋体" w:eastAsia="宋体" w:cs="宋体"/>
          <w:b/>
          <w:color w:val="auto"/>
          <w:sz w:val="24"/>
          <w:szCs w:val="24"/>
          <w:highlight w:val="none"/>
        </w:rPr>
      </w:pPr>
      <w:r>
        <w:rPr>
          <w:rStyle w:val="226"/>
          <w:rFonts w:hint="eastAsia" w:ascii="宋体" w:hAnsi="宋体" w:eastAsia="宋体" w:cs="宋体"/>
          <w:b/>
          <w:color w:val="auto"/>
          <w:sz w:val="24"/>
          <w:szCs w:val="24"/>
          <w:highlight w:val="none"/>
        </w:rPr>
        <w:t>（3）竣工验收合格后，可累计支付至合同价的80%（同时限合同价的80%以内）；</w:t>
      </w:r>
    </w:p>
    <w:p>
      <w:pPr>
        <w:spacing w:line="360" w:lineRule="auto"/>
        <w:ind w:firstLine="482" w:firstLineChars="200"/>
        <w:textAlignment w:val="baseline"/>
        <w:rPr>
          <w:rStyle w:val="226"/>
          <w:rFonts w:hint="eastAsia" w:ascii="宋体" w:hAnsi="宋体" w:eastAsia="宋体" w:cs="宋体"/>
          <w:b/>
          <w:color w:val="auto"/>
          <w:sz w:val="24"/>
          <w:szCs w:val="24"/>
          <w:highlight w:val="none"/>
        </w:rPr>
      </w:pPr>
      <w:r>
        <w:rPr>
          <w:rStyle w:val="226"/>
          <w:rFonts w:hint="eastAsia" w:ascii="宋体" w:hAnsi="宋体" w:eastAsia="宋体" w:cs="宋体"/>
          <w:b/>
          <w:color w:val="auto"/>
          <w:sz w:val="24"/>
          <w:szCs w:val="24"/>
          <w:highlight w:val="none"/>
        </w:rPr>
        <w:t xml:space="preserve">（4）结算款按实结算，结算款经有关部门审核后一次性付清余额，实际结算金额少于已支付的进度款的，监理人应当于3个工作日内向委托人返还。 </w:t>
      </w:r>
    </w:p>
    <w:p>
      <w:pPr>
        <w:spacing w:line="360" w:lineRule="auto"/>
        <w:ind w:firstLine="482" w:firstLineChars="200"/>
        <w:textAlignment w:val="baseline"/>
        <w:rPr>
          <w:rStyle w:val="226"/>
          <w:rFonts w:hint="eastAsia" w:ascii="宋体" w:hAnsi="宋体" w:eastAsia="宋体" w:cs="宋体"/>
          <w:b/>
          <w:color w:val="auto"/>
          <w:sz w:val="24"/>
          <w:szCs w:val="24"/>
          <w:highlight w:val="yellow"/>
        </w:rPr>
      </w:pPr>
      <w:r>
        <w:rPr>
          <w:rStyle w:val="226"/>
          <w:rFonts w:hint="eastAsia" w:ascii="宋体" w:hAnsi="宋体" w:eastAsia="宋体" w:cs="宋体"/>
          <w:b/>
          <w:color w:val="auto"/>
          <w:sz w:val="24"/>
          <w:szCs w:val="24"/>
          <w:highlight w:val="none"/>
        </w:rPr>
        <w:t>本合同条款中的付款时间，均是指委托人为向财政申请支付而办理申请手续的时间，而非指实际付款时间，具体付款时间以财政拨款时间为准，监理人对此无异议。</w:t>
      </w:r>
    </w:p>
    <w:p>
      <w:pPr>
        <w:pStyle w:val="217"/>
        <w:tabs>
          <w:tab w:val="left" w:pos="0"/>
        </w:tabs>
        <w:spacing w:line="440" w:lineRule="exact"/>
        <w:ind w:firstLine="438" w:firstLineChars="177"/>
        <w:rPr>
          <w:rFonts w:hint="eastAsia" w:ascii="宋体" w:hAnsi="宋体" w:eastAsia="宋体" w:cs="宋体"/>
          <w:color w:val="auto"/>
        </w:rPr>
      </w:pPr>
      <w:r>
        <w:rPr>
          <w:rFonts w:hint="eastAsia" w:ascii="宋体" w:hAnsi="宋体" w:eastAsia="宋体" w:cs="宋体"/>
          <w:color w:val="auto"/>
        </w:rPr>
        <w:t>。</w:t>
      </w:r>
    </w:p>
    <w:p>
      <w:pPr>
        <w:spacing w:line="440" w:lineRule="exact"/>
        <w:outlineLvl w:val="1"/>
        <w:rPr>
          <w:rFonts w:hint="eastAsia" w:ascii="宋体" w:hAnsi="宋体" w:eastAsia="宋体" w:cs="宋体"/>
          <w:b/>
          <w:bCs/>
          <w:color w:val="auto"/>
          <w:sz w:val="24"/>
          <w:szCs w:val="24"/>
        </w:rPr>
      </w:pPr>
      <w:bookmarkStart w:id="484" w:name="_Toc5628215"/>
      <w:r>
        <w:rPr>
          <w:rFonts w:hint="eastAsia" w:ascii="宋体" w:hAnsi="宋体" w:eastAsia="宋体" w:cs="宋体"/>
          <w:b/>
          <w:bCs/>
          <w:color w:val="auto"/>
          <w:sz w:val="24"/>
          <w:szCs w:val="24"/>
        </w:rPr>
        <w:t>6. 合同生效、变更、暂停、解除与终止</w:t>
      </w:r>
      <w:bookmarkEnd w:id="484"/>
    </w:p>
    <w:p>
      <w:pPr>
        <w:spacing w:line="440" w:lineRule="exact"/>
        <w:ind w:left="210" w:leftChars="100"/>
        <w:outlineLvl w:val="2"/>
        <w:rPr>
          <w:rFonts w:hint="eastAsia" w:ascii="宋体" w:hAnsi="宋体" w:eastAsia="宋体" w:cs="宋体"/>
          <w:color w:val="auto"/>
          <w:sz w:val="24"/>
          <w:szCs w:val="24"/>
        </w:rPr>
      </w:pPr>
      <w:bookmarkStart w:id="485" w:name="_Toc5628216"/>
      <w:r>
        <w:rPr>
          <w:rFonts w:hint="eastAsia" w:ascii="宋体" w:hAnsi="宋体" w:eastAsia="宋体" w:cs="宋体"/>
          <w:color w:val="auto"/>
          <w:sz w:val="24"/>
          <w:szCs w:val="24"/>
        </w:rPr>
        <w:t>6.1 生效</w:t>
      </w:r>
      <w:bookmarkEnd w:id="485"/>
    </w:p>
    <w:p>
      <w:pPr>
        <w:adjustRightInd w:val="0"/>
        <w:snapToGrid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本合同生效条件：</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outlineLvl w:val="2"/>
        <w:rPr>
          <w:rFonts w:hint="eastAsia" w:ascii="宋体" w:hAnsi="宋体" w:eastAsia="宋体" w:cs="宋体"/>
          <w:color w:val="auto"/>
          <w:sz w:val="24"/>
          <w:szCs w:val="24"/>
        </w:rPr>
      </w:pPr>
      <w:bookmarkStart w:id="486" w:name="_Toc5628217"/>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6.2 变更</w:t>
      </w:r>
      <w:bookmarkEnd w:id="486"/>
    </w:p>
    <w:p>
      <w:pPr>
        <w:widowControl/>
        <w:adjustRightInd w:val="0"/>
        <w:snapToGrid w:val="0"/>
        <w:spacing w:before="100" w:beforeAutospacing="1" w:after="100" w:afterAutospacing="1" w:line="440" w:lineRule="exact"/>
        <w:ind w:left="720" w:hanging="720" w:hanging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6.2.2除不可抗力外，由于受到资金、设计修改变更、施工图延误等非监理人原因导致本合同期限延长时，委托人应支付附加工作报酬，附加工作酬金按下列</w:t>
      </w:r>
      <w:r>
        <w:rPr>
          <w:rFonts w:hint="eastAsia" w:ascii="宋体" w:hAnsi="宋体" w:eastAsia="宋体" w:cs="宋体"/>
          <w:color w:val="auto"/>
          <w:kern w:val="0"/>
          <w:sz w:val="24"/>
          <w:szCs w:val="24"/>
          <w:u w:val="single"/>
        </w:rPr>
        <w:t> / </w:t>
      </w:r>
      <w:r>
        <w:rPr>
          <w:rFonts w:hint="eastAsia" w:ascii="宋体" w:hAnsi="宋体" w:eastAsia="宋体" w:cs="宋体"/>
          <w:color w:val="auto"/>
          <w:kern w:val="0"/>
          <w:sz w:val="24"/>
          <w:szCs w:val="24"/>
        </w:rPr>
        <w:t>方法确定：</w:t>
      </w:r>
    </w:p>
    <w:p>
      <w:pPr>
        <w:widowControl/>
        <w:snapToGrid w:val="0"/>
        <w:spacing w:before="100" w:beforeAutospacing="1" w:after="100" w:afterAutospacing="1" w:line="44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（1）按“监理期限延长</w:t>
      </w:r>
      <w:r>
        <w:rPr>
          <w:rFonts w:hint="eastAsia" w:ascii="宋体" w:hAnsi="宋体" w:eastAsia="宋体" w:cs="宋体"/>
          <w:color w:val="auto"/>
          <w:kern w:val="0"/>
          <w:sz w:val="24"/>
          <w:szCs w:val="24"/>
        </w:rPr>
        <w:t>时间”计算附加工作酬金：</w:t>
      </w:r>
    </w:p>
    <w:p>
      <w:pPr>
        <w:snapToGrid w:val="0"/>
        <w:spacing w:line="440" w:lineRule="exact"/>
        <w:ind w:left="1152" w:leftChars="400" w:hanging="312" w:hangingChars="13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 附加工作</w:t>
      </w:r>
      <w:r>
        <w:rPr>
          <w:rFonts w:hint="eastAsia" w:ascii="宋体" w:hAnsi="宋体" w:eastAsia="宋体" w:cs="宋体"/>
          <w:color w:val="auto"/>
          <w:sz w:val="24"/>
          <w:szCs w:val="24"/>
        </w:rPr>
        <w:t>酬金</w:t>
      </w:r>
      <w:r>
        <w:rPr>
          <w:rFonts w:hint="eastAsia" w:ascii="宋体" w:hAnsi="宋体" w:eastAsia="宋体" w:cs="宋体"/>
          <w:color w:val="auto"/>
          <w:kern w:val="0"/>
          <w:sz w:val="24"/>
          <w:szCs w:val="24"/>
        </w:rPr>
        <w:t>（监理服务）=</w:t>
      </w:r>
      <w:r>
        <w:rPr>
          <w:rFonts w:hint="eastAsia" w:ascii="宋体" w:hAnsi="宋体" w:eastAsia="宋体" w:cs="宋体"/>
          <w:color w:val="auto"/>
          <w:sz w:val="24"/>
          <w:szCs w:val="24"/>
        </w:rPr>
        <w:t>监理期限延长</w:t>
      </w:r>
      <w:r>
        <w:rPr>
          <w:rFonts w:hint="eastAsia" w:ascii="宋体" w:hAnsi="宋体" w:eastAsia="宋体" w:cs="宋体"/>
          <w:color w:val="auto"/>
          <w:kern w:val="0"/>
          <w:sz w:val="24"/>
          <w:szCs w:val="24"/>
        </w:rPr>
        <w:t>时间（天）×监理工作酬金÷</w:t>
      </w:r>
      <w:r>
        <w:rPr>
          <w:rFonts w:hint="eastAsia" w:ascii="宋体" w:hAnsi="宋体" w:eastAsia="宋体" w:cs="宋体"/>
          <w:color w:val="auto"/>
          <w:sz w:val="24"/>
          <w:szCs w:val="24"/>
        </w:rPr>
        <w:t>协议书约定的监理期限</w:t>
      </w:r>
      <w:r>
        <w:rPr>
          <w:rFonts w:hint="eastAsia" w:ascii="宋体" w:hAnsi="宋体" w:eastAsia="宋体" w:cs="宋体"/>
          <w:color w:val="auto"/>
          <w:kern w:val="0"/>
          <w:sz w:val="24"/>
          <w:szCs w:val="24"/>
        </w:rPr>
        <w:t>（天）</w:t>
      </w:r>
    </w:p>
    <w:p>
      <w:pPr>
        <w:snapToGrid w:val="0"/>
        <w:spacing w:line="440" w:lineRule="exact"/>
        <w:ind w:left="1272" w:leftChars="400" w:hanging="432" w:hangingChars="1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 附加工作</w:t>
      </w:r>
      <w:r>
        <w:rPr>
          <w:rFonts w:hint="eastAsia" w:ascii="宋体" w:hAnsi="宋体" w:eastAsia="宋体" w:cs="宋体"/>
          <w:color w:val="auto"/>
          <w:sz w:val="24"/>
          <w:szCs w:val="24"/>
        </w:rPr>
        <w:t>酬金（相关服务）</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相关服务期限延长</w:t>
      </w:r>
      <w:r>
        <w:rPr>
          <w:rFonts w:hint="eastAsia" w:ascii="宋体" w:hAnsi="宋体" w:eastAsia="宋体" w:cs="宋体"/>
          <w:color w:val="auto"/>
          <w:kern w:val="0"/>
          <w:sz w:val="24"/>
          <w:szCs w:val="24"/>
        </w:rPr>
        <w:t>时间（天）×相关服务工作酬金÷</w:t>
      </w:r>
      <w:r>
        <w:rPr>
          <w:rFonts w:hint="eastAsia" w:ascii="宋体" w:hAnsi="宋体" w:eastAsia="宋体" w:cs="宋体"/>
          <w:color w:val="auto"/>
          <w:sz w:val="24"/>
          <w:szCs w:val="24"/>
        </w:rPr>
        <w:t>相关服务期限</w:t>
      </w:r>
      <w:r>
        <w:rPr>
          <w:rFonts w:hint="eastAsia" w:ascii="宋体" w:hAnsi="宋体" w:eastAsia="宋体" w:cs="宋体"/>
          <w:color w:val="auto"/>
          <w:kern w:val="0"/>
          <w:sz w:val="24"/>
          <w:szCs w:val="24"/>
        </w:rPr>
        <w:t>（天）</w:t>
      </w:r>
    </w:p>
    <w:p>
      <w:pPr>
        <w:widowControl/>
        <w:spacing w:line="440" w:lineRule="exact"/>
        <w:ind w:left="600" w:hanging="600" w:hanging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按“人员综合费用法”计算附加工作酬金：</w:t>
      </w:r>
    </w:p>
    <w:p>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根据本合同期限延长时间内，监理人投入的监理人员数量及服务时间，参照：</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附录中“人员综合费用法”计算；</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双方约定的人员综合费用</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企业管理费率按</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%取值，企业利润率按</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%取值。</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其它计算及支付方式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pacing w:line="240" w:lineRule="auto"/>
        <w:ind w:left="720" w:hanging="720" w:hangingChars="3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6.2.3 监理人由于非自身的原因而暂停或终止执行监理业务，其善后工作以及恢复执行监理业务的工作，视为附加工作，附加工作酬金按下列</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方法确定：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按“监理期限延长</w:t>
      </w:r>
      <w:r>
        <w:rPr>
          <w:rFonts w:hint="eastAsia" w:ascii="宋体" w:hAnsi="宋体" w:eastAsia="宋体" w:cs="宋体"/>
          <w:color w:val="auto"/>
          <w:kern w:val="0"/>
          <w:sz w:val="24"/>
          <w:szCs w:val="24"/>
        </w:rPr>
        <w:t>时间”计算附加工作酬金：</w:t>
      </w:r>
    </w:p>
    <w:p>
      <w:pPr>
        <w:keepNext w:val="0"/>
        <w:keepLines w:val="0"/>
        <w:pageBreakBefore w:val="0"/>
        <w:kinsoku/>
        <w:wordWrap/>
        <w:overflowPunct/>
        <w:topLinePunct w:val="0"/>
        <w:autoSpaceDE/>
        <w:autoSpaceDN/>
        <w:bidi w:val="0"/>
        <w:adjustRightInd/>
        <w:snapToGrid w:val="0"/>
        <w:spacing w:line="240" w:lineRule="auto"/>
        <w:ind w:left="1270" w:leftChars="399" w:hanging="432" w:hangingChars="1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 附加工作</w:t>
      </w:r>
      <w:r>
        <w:rPr>
          <w:rFonts w:hint="eastAsia" w:ascii="宋体" w:hAnsi="宋体" w:eastAsia="宋体" w:cs="宋体"/>
          <w:color w:val="auto"/>
          <w:sz w:val="24"/>
          <w:szCs w:val="24"/>
        </w:rPr>
        <w:t>酬金</w:t>
      </w:r>
      <w:r>
        <w:rPr>
          <w:rFonts w:hint="eastAsia" w:ascii="宋体" w:hAnsi="宋体" w:eastAsia="宋体" w:cs="宋体"/>
          <w:color w:val="auto"/>
          <w:kern w:val="0"/>
          <w:sz w:val="24"/>
          <w:szCs w:val="24"/>
        </w:rPr>
        <w:t>（监理服务）=善后工作及恢复服务的准备工作时间（天）×监理工作酬金÷</w:t>
      </w:r>
      <w:r>
        <w:rPr>
          <w:rFonts w:hint="eastAsia" w:ascii="宋体" w:hAnsi="宋体" w:eastAsia="宋体" w:cs="宋体"/>
          <w:color w:val="auto"/>
          <w:sz w:val="24"/>
          <w:szCs w:val="24"/>
        </w:rPr>
        <w:t>协议书约定的监理期限</w:t>
      </w:r>
      <w:r>
        <w:rPr>
          <w:rFonts w:hint="eastAsia" w:ascii="宋体" w:hAnsi="宋体" w:eastAsia="宋体" w:cs="宋体"/>
          <w:color w:val="auto"/>
          <w:kern w:val="0"/>
          <w:sz w:val="24"/>
          <w:szCs w:val="24"/>
        </w:rPr>
        <w:t>（天）</w:t>
      </w:r>
    </w:p>
    <w:p>
      <w:pPr>
        <w:snapToGrid w:val="0"/>
        <w:spacing w:line="440" w:lineRule="exact"/>
        <w:ind w:left="1270" w:leftChars="399" w:hanging="432" w:hangingChars="1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 附加工作</w:t>
      </w:r>
      <w:r>
        <w:rPr>
          <w:rFonts w:hint="eastAsia" w:ascii="宋体" w:hAnsi="宋体" w:eastAsia="宋体" w:cs="宋体"/>
          <w:color w:val="auto"/>
          <w:sz w:val="24"/>
          <w:szCs w:val="24"/>
        </w:rPr>
        <w:t>酬金（相关服务）=</w:t>
      </w:r>
      <w:r>
        <w:rPr>
          <w:rFonts w:hint="eastAsia" w:ascii="宋体" w:hAnsi="宋体" w:eastAsia="宋体" w:cs="宋体"/>
          <w:color w:val="auto"/>
          <w:kern w:val="0"/>
          <w:sz w:val="24"/>
          <w:szCs w:val="24"/>
          <w:shd w:val="clear" w:color="auto" w:fill="FFFFFF"/>
        </w:rPr>
        <w:t>善后工作及恢复服务的准备工作时间（天）</w:t>
      </w:r>
      <w:r>
        <w:rPr>
          <w:rFonts w:hint="eastAsia" w:ascii="宋体" w:hAnsi="宋体" w:eastAsia="宋体" w:cs="宋体"/>
          <w:color w:val="auto"/>
          <w:kern w:val="0"/>
          <w:sz w:val="24"/>
          <w:szCs w:val="24"/>
        </w:rPr>
        <w:t>×相关服务工作酬金÷</w:t>
      </w:r>
      <w:r>
        <w:rPr>
          <w:rFonts w:hint="eastAsia" w:ascii="宋体" w:hAnsi="宋体" w:eastAsia="宋体" w:cs="宋体"/>
          <w:color w:val="auto"/>
          <w:sz w:val="24"/>
          <w:szCs w:val="24"/>
        </w:rPr>
        <w:t>相关服务期限</w:t>
      </w:r>
      <w:r>
        <w:rPr>
          <w:rFonts w:hint="eastAsia" w:ascii="宋体" w:hAnsi="宋体" w:eastAsia="宋体" w:cs="宋体"/>
          <w:color w:val="auto"/>
          <w:kern w:val="0"/>
          <w:sz w:val="24"/>
          <w:szCs w:val="24"/>
        </w:rPr>
        <w:t>（天）</w:t>
      </w:r>
    </w:p>
    <w:p>
      <w:pPr>
        <w:widowControl/>
        <w:spacing w:line="440" w:lineRule="exact"/>
        <w:ind w:left="720" w:hanging="720" w:hanging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（2）按“人员综合费用法”计算附加工作酬金：</w:t>
      </w:r>
    </w:p>
    <w:p>
      <w:pPr>
        <w:widowControl/>
        <w:spacing w:line="440" w:lineRule="exact"/>
        <w:ind w:left="848" w:leftChars="404" w:firstLine="588" w:firstLineChars="24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根据善后工作及恢复服务的准备工作时间内,监理人投入的监理人员数量及服务时间，参照：</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附录中“人员综合费用法”计算；</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双方约定的人员综合费用</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w:t>
      </w:r>
    </w:p>
    <w:p>
      <w:pPr>
        <w:widowControl/>
        <w:snapToGrid w:val="0"/>
        <w:spacing w:line="440" w:lineRule="exact"/>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企业管理费率按</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%取值，企业利润率按</w:t>
      </w:r>
      <w:r>
        <w:rPr>
          <w:rFonts w:hint="eastAsia" w:ascii="宋体" w:hAnsi="宋体" w:eastAsia="宋体" w:cs="宋体"/>
          <w:color w:val="auto"/>
          <w:kern w:val="0"/>
          <w:sz w:val="24"/>
          <w:szCs w:val="24"/>
          <w:u w:val="single"/>
        </w:rPr>
        <w:t xml:space="preserve"> / </w:t>
      </w:r>
      <w:r>
        <w:rPr>
          <w:rFonts w:hint="eastAsia" w:ascii="宋体" w:hAnsi="宋体" w:eastAsia="宋体" w:cs="宋体"/>
          <w:color w:val="auto"/>
          <w:kern w:val="0"/>
          <w:sz w:val="24"/>
          <w:szCs w:val="24"/>
        </w:rPr>
        <w:t>%取值。</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其它计算及支付方式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6.2.5 正常工作酬金增加额按下列方法确定： </w:t>
      </w:r>
    </w:p>
    <w:p>
      <w:pPr>
        <w:adjustRightInd w:val="0"/>
        <w:snapToGrid w:val="0"/>
        <w:spacing w:line="440" w:lineRule="exact"/>
        <w:ind w:firstLine="600" w:firstLineChars="250"/>
        <w:rPr>
          <w:rFonts w:hint="eastAsia" w:ascii="宋体" w:hAnsi="宋体" w:eastAsia="宋体" w:cs="宋体"/>
          <w:color w:val="auto"/>
          <w:kern w:val="0"/>
          <w:sz w:val="24"/>
          <w:szCs w:val="24"/>
        </w:rPr>
      </w:pPr>
      <w:r>
        <w:rPr>
          <w:rFonts w:hint="eastAsia" w:ascii="宋体" w:hAnsi="宋体" w:eastAsia="宋体" w:cs="宋体"/>
          <w:color w:val="auto"/>
          <w:sz w:val="24"/>
          <w:szCs w:val="24"/>
        </w:rPr>
        <w:t>正常工作酬金增加额</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建筑安装工程费</w:t>
      </w:r>
      <w:r>
        <w:rPr>
          <w:rFonts w:hint="eastAsia" w:ascii="宋体" w:hAnsi="宋体" w:eastAsia="宋体" w:cs="宋体"/>
          <w:color w:val="auto"/>
          <w:kern w:val="0"/>
          <w:sz w:val="24"/>
          <w:szCs w:val="24"/>
        </w:rPr>
        <w:t>增加额×正常工作酬金÷建筑安装工程费</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6.2.6 因工程规模、监理范围的变化导致监理人的正常工作量减少时，按减少工作量的比例从协议书约定的正常工作酬金中扣减相同比例的酬金。</w:t>
      </w:r>
    </w:p>
    <w:p>
      <w:pPr>
        <w:spacing w:line="440" w:lineRule="exact"/>
        <w:outlineLvl w:val="1"/>
        <w:rPr>
          <w:rFonts w:hint="eastAsia" w:ascii="宋体" w:hAnsi="宋体" w:eastAsia="宋体" w:cs="宋体"/>
          <w:b/>
          <w:bCs/>
          <w:color w:val="auto"/>
          <w:sz w:val="24"/>
          <w:szCs w:val="24"/>
        </w:rPr>
      </w:pPr>
      <w:bookmarkStart w:id="487" w:name="_Toc5628218"/>
      <w:r>
        <w:rPr>
          <w:rFonts w:hint="eastAsia" w:ascii="宋体" w:hAnsi="宋体" w:eastAsia="宋体" w:cs="宋体"/>
          <w:b/>
          <w:bCs/>
          <w:color w:val="auto"/>
          <w:sz w:val="24"/>
          <w:szCs w:val="24"/>
        </w:rPr>
        <w:t>7. 争议解决</w:t>
      </w:r>
      <w:bookmarkEnd w:id="487"/>
    </w:p>
    <w:p>
      <w:pPr>
        <w:spacing w:line="440" w:lineRule="exact"/>
        <w:ind w:left="210" w:leftChars="100"/>
        <w:outlineLvl w:val="2"/>
        <w:rPr>
          <w:rFonts w:hint="eastAsia" w:ascii="宋体" w:hAnsi="宋体" w:eastAsia="宋体" w:cs="宋体"/>
          <w:color w:val="auto"/>
          <w:sz w:val="24"/>
          <w:szCs w:val="24"/>
        </w:rPr>
      </w:pPr>
      <w:bookmarkStart w:id="488" w:name="_Toc5628219"/>
      <w:r>
        <w:rPr>
          <w:rFonts w:hint="eastAsia" w:ascii="宋体" w:hAnsi="宋体" w:eastAsia="宋体" w:cs="宋体"/>
          <w:color w:val="auto"/>
          <w:sz w:val="24"/>
          <w:szCs w:val="24"/>
        </w:rPr>
        <w:t>7.2 调解</w:t>
      </w:r>
      <w:bookmarkEnd w:id="488"/>
    </w:p>
    <w:p>
      <w:pPr>
        <w:snapToGrid w:val="0"/>
        <w:spacing w:line="44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本合同争议进行调解时，可提交</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进行调解。</w:t>
      </w:r>
    </w:p>
    <w:p>
      <w:pPr>
        <w:spacing w:line="440" w:lineRule="exact"/>
        <w:ind w:left="210" w:leftChars="100"/>
        <w:outlineLvl w:val="2"/>
        <w:rPr>
          <w:rFonts w:hint="eastAsia" w:ascii="宋体" w:hAnsi="宋体" w:eastAsia="宋体" w:cs="宋体"/>
          <w:color w:val="auto"/>
          <w:sz w:val="24"/>
          <w:szCs w:val="24"/>
        </w:rPr>
      </w:pPr>
      <w:bookmarkStart w:id="489" w:name="_Toc5628220"/>
      <w:r>
        <w:rPr>
          <w:rFonts w:hint="eastAsia" w:ascii="宋体" w:hAnsi="宋体" w:eastAsia="宋体" w:cs="宋体"/>
          <w:color w:val="auto"/>
          <w:sz w:val="24"/>
          <w:szCs w:val="24"/>
        </w:rPr>
        <w:t>7.3 仲裁或诉讼</w:t>
      </w:r>
      <w:bookmarkEnd w:id="489"/>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合同争议的最终解决方式为下列第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（1）提请中国广州仲裁委员会进行仲裁。</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（2）向广州市</w:t>
      </w:r>
      <w:r>
        <w:rPr>
          <w:rFonts w:hint="eastAsia" w:ascii="宋体" w:hAnsi="宋体" w:eastAsia="宋体" w:cs="宋体"/>
          <w:color w:val="auto"/>
          <w:sz w:val="24"/>
          <w:szCs w:val="24"/>
          <w:u w:val="single"/>
        </w:rPr>
        <w:t>荔湾区</w:t>
      </w:r>
      <w:r>
        <w:rPr>
          <w:rFonts w:hint="eastAsia" w:ascii="宋体" w:hAnsi="宋体" w:eastAsia="宋体" w:cs="宋体"/>
          <w:color w:val="auto"/>
          <w:sz w:val="24"/>
          <w:szCs w:val="24"/>
        </w:rPr>
        <w:t>人民法院提起诉讼。</w:t>
      </w:r>
    </w:p>
    <w:p>
      <w:pPr>
        <w:spacing w:line="440" w:lineRule="exact"/>
        <w:outlineLvl w:val="1"/>
        <w:rPr>
          <w:rFonts w:hint="eastAsia" w:ascii="宋体" w:hAnsi="宋体" w:eastAsia="宋体" w:cs="宋体"/>
          <w:b/>
          <w:bCs/>
          <w:color w:val="auto"/>
          <w:sz w:val="24"/>
          <w:szCs w:val="24"/>
        </w:rPr>
      </w:pPr>
      <w:bookmarkStart w:id="490" w:name="_Toc5628221"/>
      <w:r>
        <w:rPr>
          <w:rFonts w:hint="eastAsia" w:ascii="宋体" w:hAnsi="宋体" w:eastAsia="宋体" w:cs="宋体"/>
          <w:b/>
          <w:bCs/>
          <w:color w:val="auto"/>
          <w:sz w:val="24"/>
          <w:szCs w:val="24"/>
        </w:rPr>
        <w:t>8. 其他</w:t>
      </w:r>
      <w:bookmarkEnd w:id="490"/>
    </w:p>
    <w:p>
      <w:pPr>
        <w:spacing w:line="440" w:lineRule="exact"/>
        <w:ind w:left="210" w:leftChars="100"/>
        <w:outlineLvl w:val="2"/>
        <w:rPr>
          <w:rFonts w:hint="eastAsia" w:ascii="宋体" w:hAnsi="宋体" w:eastAsia="宋体" w:cs="宋体"/>
          <w:color w:val="auto"/>
          <w:sz w:val="24"/>
          <w:szCs w:val="24"/>
        </w:rPr>
      </w:pPr>
      <w:bookmarkStart w:id="491" w:name="_Toc5628222"/>
      <w:r>
        <w:rPr>
          <w:rFonts w:hint="eastAsia" w:ascii="宋体" w:hAnsi="宋体" w:eastAsia="宋体" w:cs="宋体"/>
          <w:color w:val="auto"/>
          <w:sz w:val="24"/>
          <w:szCs w:val="24"/>
        </w:rPr>
        <w:t>8.2 检测费用</w:t>
      </w:r>
      <w:bookmarkEnd w:id="491"/>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委托人应在检测工作完成后</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天内支付检测费用。</w:t>
      </w:r>
    </w:p>
    <w:p>
      <w:pPr>
        <w:spacing w:line="440" w:lineRule="exact"/>
        <w:ind w:left="210" w:leftChars="100"/>
        <w:outlineLvl w:val="2"/>
        <w:rPr>
          <w:rFonts w:hint="eastAsia" w:ascii="宋体" w:hAnsi="宋体" w:eastAsia="宋体" w:cs="宋体"/>
          <w:color w:val="auto"/>
          <w:sz w:val="24"/>
          <w:szCs w:val="24"/>
        </w:rPr>
      </w:pPr>
      <w:bookmarkStart w:id="492" w:name="_Toc5628223"/>
      <w:r>
        <w:rPr>
          <w:rFonts w:hint="eastAsia" w:ascii="宋体" w:hAnsi="宋体" w:eastAsia="宋体" w:cs="宋体"/>
          <w:color w:val="auto"/>
          <w:sz w:val="24"/>
          <w:szCs w:val="24"/>
        </w:rPr>
        <w:t>8.3 咨询费用</w:t>
      </w:r>
      <w:bookmarkEnd w:id="492"/>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委托人应在咨询工作完成后</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天内支付咨询费用。</w:t>
      </w:r>
    </w:p>
    <w:p>
      <w:pPr>
        <w:spacing w:line="440" w:lineRule="exact"/>
        <w:ind w:left="210" w:leftChars="100"/>
        <w:outlineLvl w:val="2"/>
        <w:rPr>
          <w:rFonts w:hint="eastAsia" w:ascii="宋体" w:hAnsi="宋体" w:eastAsia="宋体" w:cs="宋体"/>
          <w:color w:val="auto"/>
          <w:sz w:val="24"/>
          <w:szCs w:val="24"/>
        </w:rPr>
      </w:pPr>
      <w:bookmarkStart w:id="493" w:name="_Toc5628224"/>
      <w:r>
        <w:rPr>
          <w:rFonts w:hint="eastAsia" w:ascii="宋体" w:hAnsi="宋体" w:eastAsia="宋体" w:cs="宋体"/>
          <w:color w:val="auto"/>
          <w:sz w:val="24"/>
          <w:szCs w:val="24"/>
        </w:rPr>
        <w:t>8.4 奖励</w:t>
      </w:r>
      <w:bookmarkEnd w:id="493"/>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合理化建议的奖励金额按下列方法确定为：</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奖励金额＝工程投资节省额×奖励金额的比率；</w:t>
      </w:r>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奖励金额的比率为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94" w:name="_Toc5628225"/>
      <w:r>
        <w:rPr>
          <w:rFonts w:hint="eastAsia" w:ascii="宋体" w:hAnsi="宋体" w:eastAsia="宋体" w:cs="宋体"/>
          <w:color w:val="auto"/>
          <w:sz w:val="24"/>
          <w:szCs w:val="24"/>
        </w:rPr>
        <w:t>8.6 保密</w:t>
      </w:r>
      <w:bookmarkEnd w:id="494"/>
    </w:p>
    <w:p>
      <w:pPr>
        <w:adjustRightInd w:val="0"/>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委托人申明的保密事项和期限：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djustRightInd w:val="0"/>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djustRightInd w:val="0"/>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第三方申明的保密事项和期限：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95" w:name="_Toc5628226"/>
      <w:r>
        <w:rPr>
          <w:rFonts w:hint="eastAsia" w:ascii="宋体" w:hAnsi="宋体" w:eastAsia="宋体" w:cs="宋体"/>
          <w:color w:val="auto"/>
          <w:sz w:val="24"/>
          <w:szCs w:val="24"/>
        </w:rPr>
        <w:t>8.8著作权</w:t>
      </w:r>
      <w:bookmarkEnd w:id="495"/>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监理人为履行本合同约定而编制的文件，其著作权属于</w:t>
      </w:r>
      <w:r>
        <w:rPr>
          <w:rFonts w:hint="eastAsia" w:ascii="宋体" w:hAnsi="宋体" w:eastAsia="宋体" w:cs="宋体"/>
          <w:color w:val="auto"/>
          <w:sz w:val="24"/>
          <w:szCs w:val="24"/>
          <w:u w:val="single"/>
        </w:rPr>
        <w:t xml:space="preserve">  委托人  </w:t>
      </w:r>
      <w:r>
        <w:rPr>
          <w:rFonts w:hint="eastAsia" w:ascii="宋体" w:hAnsi="宋体" w:eastAsia="宋体" w:cs="宋体"/>
          <w:color w:val="auto"/>
          <w:sz w:val="24"/>
          <w:szCs w:val="24"/>
        </w:rPr>
        <w:t>。</w:t>
      </w:r>
    </w:p>
    <w:p>
      <w:pPr>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监理人在本合同履行期间及本合同终止后两年内出版涉及本工程的有关监理与相关服务的资料的限制条件：</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40" w:lineRule="exact"/>
        <w:ind w:left="210" w:leftChars="100"/>
        <w:outlineLvl w:val="2"/>
        <w:rPr>
          <w:rFonts w:hint="eastAsia" w:ascii="宋体" w:hAnsi="宋体" w:eastAsia="宋体" w:cs="宋体"/>
          <w:color w:val="auto"/>
          <w:sz w:val="24"/>
          <w:szCs w:val="24"/>
        </w:rPr>
      </w:pPr>
      <w:bookmarkStart w:id="496" w:name="_Toc5628227"/>
      <w:r>
        <w:rPr>
          <w:rFonts w:hint="eastAsia" w:ascii="宋体" w:hAnsi="宋体" w:eastAsia="宋体" w:cs="宋体"/>
          <w:color w:val="auto"/>
          <w:sz w:val="24"/>
          <w:szCs w:val="24"/>
        </w:rPr>
        <w:t>8.9工程获奖奖励</w:t>
      </w:r>
      <w:bookmarkEnd w:id="496"/>
    </w:p>
    <w:p>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监理人所监理的项目获得国家级质量奖或安全文明工地等质量或管理称号，对监理人奖励人民币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元/次；省级质量奖或安全文明工地等质量或管理称号，对监理人奖励人民币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元/次；市级质量奖或安全文明工地等质量或管理称号，对监理人奖励人民币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元/次。</w:t>
      </w:r>
    </w:p>
    <w:p>
      <w:pPr>
        <w:numPr>
          <w:ilvl w:val="0"/>
          <w:numId w:val="6"/>
        </w:numPr>
        <w:adjustRightInd w:val="0"/>
        <w:snapToGrid w:val="0"/>
        <w:spacing w:before="156" w:beforeLines="50" w:after="156" w:afterLines="50" w:line="360" w:lineRule="auto"/>
        <w:rPr>
          <w:rFonts w:hint="eastAsia" w:ascii="宋体" w:hAnsi="宋体" w:eastAsia="宋体" w:cs="宋体"/>
          <w:b/>
          <w:bCs/>
          <w:color w:val="auto"/>
          <w:sz w:val="24"/>
          <w:szCs w:val="24"/>
          <w:u w:val="single"/>
        </w:rPr>
      </w:pPr>
      <w:bookmarkStart w:id="497" w:name="_Toc5628228"/>
      <w:r>
        <w:rPr>
          <w:rFonts w:hint="eastAsia" w:ascii="宋体" w:hAnsi="宋体" w:eastAsia="宋体" w:cs="宋体"/>
          <w:b/>
          <w:bCs/>
          <w:color w:val="auto"/>
          <w:sz w:val="24"/>
          <w:szCs w:val="24"/>
        </w:rPr>
        <w:t>补充条款</w:t>
      </w:r>
      <w:bookmarkEnd w:id="497"/>
      <w:r>
        <w:rPr>
          <w:rFonts w:hint="eastAsia" w:ascii="宋体" w:hAnsi="宋体" w:eastAsia="宋体" w:cs="宋体"/>
          <w:color w:val="auto"/>
          <w:sz w:val="24"/>
          <w:szCs w:val="24"/>
        </w:rPr>
        <w:t>：</w:t>
      </w:r>
    </w:p>
    <w:p>
      <w:pPr>
        <w:adjustRightInd w:val="0"/>
        <w:snapToGrid w:val="0"/>
        <w:spacing w:before="156" w:beforeLines="50" w:after="156" w:afterLines="50"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9.1监理单位未能按照规定实施监理工作，造成委托人损失的，应赔偿委托人的损失</w:t>
      </w:r>
      <w:r>
        <w:rPr>
          <w:rFonts w:hint="eastAsia" w:ascii="宋体" w:hAnsi="宋体" w:eastAsia="宋体" w:cs="宋体"/>
          <w:strike w:val="0"/>
          <w:color w:val="auto"/>
          <w:sz w:val="24"/>
          <w:szCs w:val="24"/>
        </w:rPr>
        <w:t>。</w:t>
      </w:r>
    </w:p>
    <w:p>
      <w:pPr>
        <w:adjustRightInd w:val="0"/>
        <w:snapToGrid w:val="0"/>
        <w:spacing w:before="156" w:beforeLines="50" w:after="156" w:afterLines="50" w:line="36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9.</w:t>
      </w:r>
      <w:r>
        <w:rPr>
          <w:rFonts w:hint="eastAsia" w:ascii="宋体" w:hAnsi="宋体" w:eastAsia="宋体" w:cs="宋体"/>
          <w:color w:val="auto"/>
          <w:sz w:val="24"/>
          <w:szCs w:val="24"/>
          <w:highlight w:val="none"/>
        </w:rPr>
        <w:t>2如</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乙双方</w:t>
      </w:r>
      <w:r>
        <w:rPr>
          <w:rFonts w:hint="eastAsia" w:ascii="宋体" w:hAnsi="宋体" w:eastAsia="宋体" w:cs="宋体"/>
          <w:color w:val="auto"/>
          <w:sz w:val="24"/>
          <w:szCs w:val="24"/>
          <w:highlight w:val="none"/>
        </w:rPr>
        <w:t>违反本协议，因维权所需的诉讼费、律师费、财产保全担保费、差旅费、调查费等费用均由</w:t>
      </w:r>
      <w:r>
        <w:rPr>
          <w:rFonts w:hint="eastAsia" w:ascii="宋体" w:hAnsi="宋体" w:eastAsia="宋体" w:cs="宋体"/>
          <w:color w:val="auto"/>
          <w:sz w:val="24"/>
          <w:szCs w:val="24"/>
          <w:highlight w:val="none"/>
          <w:lang w:val="en-US" w:eastAsia="zh-CN"/>
        </w:rPr>
        <w:t>责任方</w:t>
      </w:r>
      <w:r>
        <w:rPr>
          <w:rFonts w:hint="eastAsia" w:ascii="宋体" w:hAnsi="宋体" w:eastAsia="宋体" w:cs="宋体"/>
          <w:color w:val="auto"/>
          <w:sz w:val="24"/>
          <w:szCs w:val="24"/>
          <w:highlight w:val="none"/>
        </w:rPr>
        <w:t>承担。</w:t>
      </w:r>
    </w:p>
    <w:p>
      <w:pPr>
        <w:adjustRightInd w:val="0"/>
        <w:snapToGrid w:val="0"/>
        <w:spacing w:before="156" w:beforeLines="50" w:after="156" w:afterLines="50"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9.3监理人应按国家、省、市、主管部门以及委托人的相关最新规定、要求等做好新冠疫情的防控工作。若监理人未能按照相关规定、要求等做好疫情防控工作</w:t>
      </w:r>
      <w:r>
        <w:rPr>
          <w:rFonts w:hint="eastAsia" w:ascii="宋体" w:hAnsi="宋体" w:eastAsia="宋体" w:cs="宋体"/>
          <w:color w:val="auto"/>
          <w:sz w:val="24"/>
          <w:szCs w:val="24"/>
          <w:lang w:eastAsia="zh-CN"/>
        </w:rPr>
        <w:t>。</w:t>
      </w:r>
    </w:p>
    <w:p>
      <w:pPr>
        <w:adjustRightInd w:val="0"/>
        <w:snapToGrid w:val="0"/>
        <w:spacing w:before="156" w:beforeLines="50" w:after="156" w:afterLines="50" w:line="360" w:lineRule="auto"/>
        <w:rPr>
          <w:rFonts w:hint="eastAsia" w:ascii="宋体" w:hAnsi="宋体" w:eastAsia="宋体" w:cs="宋体"/>
          <w:b/>
          <w:bCs/>
          <w:color w:val="auto"/>
          <w:sz w:val="32"/>
          <w:szCs w:val="32"/>
        </w:rPr>
      </w:pPr>
      <w:r>
        <w:rPr>
          <w:rFonts w:hint="eastAsia" w:ascii="宋体" w:hAnsi="宋体" w:eastAsia="宋体" w:cs="宋体"/>
          <w:color w:val="auto"/>
          <w:sz w:val="24"/>
          <w:szCs w:val="24"/>
        </w:rPr>
        <w:t>9.4本合同中列明的联系方式为双方有效之联系方式，任何一方按照对方提供的地址或电子邮箱等联系方式进行的通信皆视为有效到达对方，如果以后双方因本合同发生纠纷导致诉讼的，可作为法院的送达地址。任何一方的联系方式发生变更的，应及时通知对方，否则由此造成的所有不利后果或损失自行承担。</w:t>
      </w:r>
    </w:p>
    <w:p>
      <w:pPr>
        <w:tabs>
          <w:tab w:val="center" w:pos="4252"/>
          <w:tab w:val="left" w:pos="5517"/>
        </w:tabs>
        <w:spacing w:line="360" w:lineRule="auto"/>
        <w:rPr>
          <w:rFonts w:hint="eastAsia" w:ascii="宋体" w:hAnsi="宋体" w:eastAsia="宋体" w:cs="宋体"/>
          <w:color w:val="auto"/>
        </w:rPr>
      </w:pPr>
    </w:p>
    <w:p>
      <w:pPr>
        <w:rPr>
          <w:rFonts w:hint="eastAsia" w:ascii="宋体" w:hAnsi="宋体" w:eastAsia="宋体" w:cs="宋体"/>
          <w:b/>
          <w:color w:val="auto"/>
          <w:sz w:val="24"/>
          <w:szCs w:val="18"/>
          <w:u w:val="single"/>
        </w:rPr>
      </w:pPr>
      <w:r>
        <w:rPr>
          <w:rFonts w:hint="eastAsia" w:ascii="宋体" w:hAnsi="宋体" w:eastAsia="宋体" w:cs="宋体"/>
          <w:color w:val="auto"/>
        </w:rPr>
        <w:br w:type="page"/>
      </w:r>
      <w:bookmarkStart w:id="498" w:name="_Toc293341641"/>
      <w:bookmarkStart w:id="499" w:name="_Toc303110406"/>
    </w:p>
    <w:bookmarkEnd w:id="498"/>
    <w:bookmarkEnd w:id="499"/>
    <w:p>
      <w:pPr>
        <w:spacing w:line="360" w:lineRule="auto"/>
        <w:rPr>
          <w:rFonts w:hint="eastAsia" w:ascii="宋体" w:hAnsi="宋体" w:eastAsia="宋体" w:cs="宋体"/>
          <w:color w:val="auto"/>
          <w:kern w:val="0"/>
          <w:szCs w:val="21"/>
        </w:rPr>
      </w:pPr>
    </w:p>
    <w:p>
      <w:pPr>
        <w:spacing w:line="360" w:lineRule="auto"/>
        <w:rPr>
          <w:rFonts w:hint="eastAsia" w:ascii="宋体" w:hAnsi="宋体" w:eastAsia="宋体" w:cs="宋体"/>
          <w:color w:val="auto"/>
          <w:kern w:val="0"/>
          <w:szCs w:val="21"/>
        </w:rPr>
      </w:pPr>
    </w:p>
    <w:p>
      <w:pPr>
        <w:pStyle w:val="2"/>
        <w:rPr>
          <w:rFonts w:hint="eastAsia" w:ascii="宋体" w:hAnsi="宋体" w:eastAsia="宋体" w:cs="宋体"/>
          <w:color w:val="auto"/>
          <w:kern w:val="0"/>
          <w:szCs w:val="21"/>
        </w:rPr>
      </w:pPr>
    </w:p>
    <w:p>
      <w:pPr>
        <w:pStyle w:val="97"/>
        <w:rPr>
          <w:rFonts w:hint="eastAsia" w:ascii="宋体" w:hAnsi="宋体" w:eastAsia="宋体" w:cs="宋体"/>
          <w:color w:val="auto"/>
          <w:szCs w:val="21"/>
        </w:rPr>
      </w:pPr>
    </w:p>
    <w:p>
      <w:pPr>
        <w:pStyle w:val="97"/>
        <w:rPr>
          <w:rFonts w:hint="eastAsia" w:ascii="宋体" w:hAnsi="宋体" w:eastAsia="宋体" w:cs="宋体"/>
          <w:color w:val="auto"/>
          <w:szCs w:val="21"/>
        </w:rPr>
      </w:pPr>
    </w:p>
    <w:p>
      <w:pPr>
        <w:spacing w:line="360" w:lineRule="auto"/>
        <w:rPr>
          <w:rFonts w:hint="eastAsia" w:ascii="宋体" w:hAnsi="宋体" w:eastAsia="宋体" w:cs="宋体"/>
          <w:color w:val="auto"/>
          <w:kern w:val="0"/>
          <w:szCs w:val="21"/>
        </w:rPr>
      </w:pPr>
    </w:p>
    <w:p>
      <w:pPr>
        <w:spacing w:line="360" w:lineRule="auto"/>
        <w:rPr>
          <w:rFonts w:hint="eastAsia" w:ascii="宋体" w:hAnsi="宋体" w:eastAsia="宋体" w:cs="宋体"/>
          <w:color w:val="auto"/>
          <w:kern w:val="0"/>
          <w:szCs w:val="21"/>
        </w:rPr>
      </w:pPr>
    </w:p>
    <w:p>
      <w:pPr>
        <w:pStyle w:val="99"/>
        <w:rPr>
          <w:rFonts w:hint="eastAsia" w:ascii="宋体" w:hAnsi="宋体" w:eastAsia="宋体" w:cs="宋体"/>
          <w:color w:val="auto"/>
          <w:kern w:val="0"/>
          <w:szCs w:val="21"/>
        </w:rPr>
      </w:pPr>
    </w:p>
    <w:p>
      <w:pPr>
        <w:pStyle w:val="99"/>
        <w:rPr>
          <w:rFonts w:hint="eastAsia" w:ascii="宋体" w:hAnsi="宋体" w:eastAsia="宋体" w:cs="宋体"/>
          <w:color w:val="auto"/>
          <w:kern w:val="0"/>
          <w:szCs w:val="21"/>
        </w:rPr>
      </w:pPr>
    </w:p>
    <w:p>
      <w:pPr>
        <w:pStyle w:val="99"/>
        <w:rPr>
          <w:rFonts w:hint="eastAsia" w:ascii="宋体" w:hAnsi="宋体" w:eastAsia="宋体" w:cs="宋体"/>
          <w:color w:val="auto"/>
          <w:kern w:val="0"/>
          <w:szCs w:val="21"/>
        </w:rPr>
      </w:pPr>
    </w:p>
    <w:p>
      <w:pPr>
        <w:spacing w:line="360" w:lineRule="auto"/>
        <w:rPr>
          <w:rFonts w:hint="eastAsia" w:ascii="宋体" w:hAnsi="宋体" w:eastAsia="宋体" w:cs="宋体"/>
          <w:color w:val="auto"/>
          <w:szCs w:val="21"/>
        </w:rPr>
      </w:pPr>
      <w:bookmarkStart w:id="500" w:name="OLE_LINK4"/>
    </w:p>
    <w:p>
      <w:pPr>
        <w:pStyle w:val="4"/>
        <w:rPr>
          <w:rFonts w:hint="eastAsia" w:ascii="宋体" w:hAnsi="宋体" w:eastAsia="宋体" w:cs="宋体"/>
          <w:color w:val="auto"/>
        </w:rPr>
      </w:pPr>
    </w:p>
    <w:p>
      <w:pPr>
        <w:pStyle w:val="4"/>
        <w:autoSpaceDE w:val="0"/>
        <w:rPr>
          <w:rFonts w:hint="eastAsia" w:ascii="宋体" w:hAnsi="宋体" w:eastAsia="宋体" w:cs="宋体"/>
          <w:b w:val="0"/>
          <w:bCs w:val="0"/>
          <w:color w:val="auto"/>
          <w:sz w:val="44"/>
        </w:rPr>
      </w:pPr>
      <w:bookmarkStart w:id="501" w:name="_Toc29066"/>
      <w:bookmarkStart w:id="502" w:name="_Toc475104528"/>
      <w:bookmarkStart w:id="503" w:name="_Toc28472"/>
      <w:r>
        <w:rPr>
          <w:rFonts w:hint="eastAsia" w:ascii="宋体" w:hAnsi="宋体" w:eastAsia="宋体" w:cs="宋体"/>
          <w:color w:val="auto"/>
          <w:sz w:val="44"/>
        </w:rPr>
        <w:t>第五章 评分体系与标准</w:t>
      </w:r>
      <w:bookmarkEnd w:id="501"/>
      <w:bookmarkEnd w:id="502"/>
      <w:bookmarkEnd w:id="503"/>
    </w:p>
    <w:p>
      <w:pPr>
        <w:spacing w:line="360" w:lineRule="auto"/>
        <w:ind w:firstLine="2164" w:firstLineChars="490"/>
        <w:rPr>
          <w:rFonts w:hint="eastAsia" w:ascii="宋体" w:hAnsi="宋体" w:eastAsia="宋体" w:cs="宋体"/>
          <w:b/>
          <w:bCs/>
          <w:color w:val="auto"/>
          <w:sz w:val="44"/>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pStyle w:val="4"/>
        <w:rPr>
          <w:rFonts w:hint="eastAsia" w:ascii="宋体" w:hAnsi="宋体" w:eastAsia="宋体" w:cs="宋体"/>
          <w:color w:val="auto"/>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numPr>
          <w:ilvl w:val="0"/>
          <w:numId w:val="7"/>
        </w:numPr>
        <w:autoSpaceDE w:val="0"/>
        <w:autoSpaceDN w:val="0"/>
        <w:adjustRightInd w:val="0"/>
        <w:snapToGrid w:val="0"/>
        <w:spacing w:line="360" w:lineRule="auto"/>
        <w:outlineLvl w:val="0"/>
        <w:rPr>
          <w:rFonts w:hint="eastAsia" w:ascii="宋体" w:hAnsi="宋体" w:eastAsia="宋体" w:cs="宋体"/>
          <w:bCs/>
          <w:color w:val="auto"/>
          <w:szCs w:val="21"/>
        </w:rPr>
      </w:pPr>
      <w:bookmarkStart w:id="504" w:name="_Toc2932"/>
      <w:bookmarkStart w:id="505" w:name="_Toc9397"/>
      <w:bookmarkStart w:id="506" w:name="_Toc475104529"/>
      <w:bookmarkStart w:id="507" w:name="_Toc50276153"/>
      <w:bookmarkStart w:id="508" w:name="_Toc42394669"/>
      <w:bookmarkStart w:id="509" w:name="_Toc98579065"/>
      <w:bookmarkStart w:id="510" w:name="_Toc98580289"/>
      <w:bookmarkStart w:id="511" w:name="_Toc101843128"/>
      <w:bookmarkStart w:id="512" w:name="_Toc101771375"/>
      <w:bookmarkStart w:id="513" w:name="_Toc98579007"/>
      <w:bookmarkStart w:id="514" w:name="_Toc42394513"/>
      <w:bookmarkStart w:id="515" w:name="_Toc98579606"/>
      <w:bookmarkStart w:id="516" w:name="_Toc264203535"/>
      <w:bookmarkStart w:id="517" w:name="_Toc101775128"/>
      <w:bookmarkStart w:id="518" w:name="_Toc101951266"/>
      <w:bookmarkStart w:id="519" w:name="_Toc41884701"/>
      <w:bookmarkStart w:id="520" w:name="_Toc41723931"/>
      <w:bookmarkStart w:id="521" w:name="_Toc42313167"/>
      <w:bookmarkStart w:id="522" w:name="_Toc66722112"/>
      <w:bookmarkStart w:id="523" w:name="_Toc150050902"/>
      <w:bookmarkStart w:id="524" w:name="_Toc108243616"/>
      <w:bookmarkStart w:id="525" w:name="_Toc67911942"/>
      <w:bookmarkStart w:id="526" w:name="_Toc125770208"/>
      <w:bookmarkStart w:id="527" w:name="_Toc131922503"/>
      <w:bookmarkStart w:id="528" w:name="_Toc148060906"/>
      <w:bookmarkStart w:id="529" w:name="_Toc95249607"/>
      <w:bookmarkStart w:id="530" w:name="_Toc124570687"/>
      <w:bookmarkStart w:id="531" w:name="_Toc68620012"/>
      <w:bookmarkStart w:id="532" w:name="_Toc95304223"/>
      <w:bookmarkStart w:id="533" w:name="_Toc169334816"/>
      <w:bookmarkStart w:id="534" w:name="_Toc104874465"/>
      <w:bookmarkStart w:id="535" w:name="_Toc104902929"/>
      <w:bookmarkStart w:id="536" w:name="_Toc28142601"/>
      <w:bookmarkStart w:id="537" w:name="_Toc138568672"/>
      <w:bookmarkStart w:id="538" w:name="_Toc113277292"/>
      <w:bookmarkStart w:id="539" w:name="_Toc35834934"/>
      <w:bookmarkStart w:id="540" w:name="_Toc34535380"/>
      <w:bookmarkStart w:id="541" w:name="_Toc101553556"/>
      <w:bookmarkStart w:id="542" w:name="_Toc28489533"/>
      <w:bookmarkStart w:id="543" w:name="_Toc124646434"/>
      <w:bookmarkStart w:id="544" w:name="_Toc101553661"/>
      <w:bookmarkStart w:id="545" w:name="_Toc108001800"/>
      <w:bookmarkStart w:id="546" w:name="_Toc148420070"/>
      <w:bookmarkStart w:id="547" w:name="_Toc138506092"/>
      <w:bookmarkStart w:id="548" w:name="_Toc131904930"/>
      <w:bookmarkStart w:id="549" w:name="_Toc124401382"/>
      <w:bookmarkStart w:id="550" w:name="_Toc102211724"/>
      <w:r>
        <w:rPr>
          <w:rFonts w:hint="eastAsia" w:ascii="宋体" w:hAnsi="宋体" w:eastAsia="宋体" w:cs="宋体"/>
          <w:bCs/>
          <w:color w:val="auto"/>
          <w:szCs w:val="21"/>
        </w:rPr>
        <w:t>本评审办法采用综合评分法。</w:t>
      </w:r>
      <w:bookmarkEnd w:id="504"/>
      <w:bookmarkEnd w:id="505"/>
      <w:bookmarkEnd w:id="506"/>
    </w:p>
    <w:p>
      <w:pPr>
        <w:numPr>
          <w:ilvl w:val="0"/>
          <w:numId w:val="7"/>
        </w:numPr>
        <w:autoSpaceDE w:val="0"/>
        <w:autoSpaceDN w:val="0"/>
        <w:adjustRightInd w:val="0"/>
        <w:snapToGrid w:val="0"/>
        <w:spacing w:line="360" w:lineRule="auto"/>
        <w:outlineLvl w:val="0"/>
        <w:rPr>
          <w:rFonts w:hint="eastAsia" w:ascii="宋体" w:hAnsi="宋体" w:eastAsia="宋体" w:cs="宋体"/>
          <w:color w:val="auto"/>
        </w:rPr>
      </w:pPr>
      <w:bookmarkStart w:id="551" w:name="_Toc31507"/>
      <w:bookmarkStart w:id="552" w:name="_Toc19940"/>
      <w:bookmarkStart w:id="553" w:name="_Toc475104530"/>
      <w:bookmarkStart w:id="554" w:name="_Toc475104531"/>
      <w:r>
        <w:rPr>
          <w:rFonts w:hint="eastAsia" w:ascii="宋体" w:hAnsi="宋体" w:eastAsia="宋体" w:cs="宋体"/>
          <w:color w:val="auto"/>
          <w:szCs w:val="21"/>
          <w:lang w:eastAsia="zh-TW"/>
        </w:rPr>
        <w:t>本次招标依法组建评标委员会。评标委员会由采购人的代表和</w:t>
      </w:r>
      <w:r>
        <w:rPr>
          <w:rFonts w:hint="eastAsia" w:ascii="宋体" w:hAnsi="宋体" w:cs="宋体"/>
          <w:color w:val="auto"/>
          <w:szCs w:val="21"/>
          <w:lang w:eastAsia="zh-CN"/>
        </w:rPr>
        <w:t>代理人依法</w:t>
      </w:r>
      <w:r>
        <w:rPr>
          <w:rFonts w:hint="eastAsia" w:ascii="宋体" w:hAnsi="宋体" w:eastAsia="宋体" w:cs="宋体"/>
          <w:color w:val="auto"/>
          <w:szCs w:val="21"/>
          <w:lang w:eastAsia="zh-TW"/>
        </w:rPr>
        <w:t>从专家库随机抽取的专家组成，如采购人不派代表参加评审，则评标委员会全部由</w:t>
      </w:r>
      <w:r>
        <w:rPr>
          <w:rFonts w:hint="eastAsia" w:ascii="宋体" w:hAnsi="宋体" w:cs="宋体"/>
          <w:color w:val="auto"/>
          <w:szCs w:val="21"/>
          <w:lang w:eastAsia="zh-CN"/>
        </w:rPr>
        <w:t>代理人依法</w:t>
      </w:r>
      <w:r>
        <w:rPr>
          <w:rFonts w:hint="eastAsia" w:ascii="宋体" w:hAnsi="宋体" w:eastAsia="宋体" w:cs="宋体"/>
          <w:color w:val="auto"/>
          <w:szCs w:val="21"/>
          <w:lang w:eastAsia="zh-TW"/>
        </w:rPr>
        <w:t>从专家库随机抽取的专家组成。评标委员会将本着公平、公正、科学、择优的原则，严格按照法律法规和招标文件设定的程序和规则推荐评审结果</w:t>
      </w:r>
      <w:r>
        <w:rPr>
          <w:rFonts w:hint="eastAsia" w:ascii="宋体" w:hAnsi="宋体" w:eastAsia="宋体" w:cs="宋体"/>
          <w:color w:val="auto"/>
          <w:szCs w:val="21"/>
        </w:rPr>
        <w:t>；</w:t>
      </w:r>
      <w:bookmarkEnd w:id="551"/>
      <w:bookmarkEnd w:id="552"/>
    </w:p>
    <w:p>
      <w:pPr>
        <w:numPr>
          <w:ilvl w:val="0"/>
          <w:numId w:val="7"/>
        </w:numPr>
        <w:autoSpaceDE w:val="0"/>
        <w:autoSpaceDN w:val="0"/>
        <w:adjustRightInd w:val="0"/>
        <w:snapToGrid w:val="0"/>
        <w:spacing w:line="360" w:lineRule="auto"/>
        <w:outlineLvl w:val="0"/>
        <w:rPr>
          <w:rFonts w:hint="eastAsia" w:ascii="宋体" w:hAnsi="宋体" w:eastAsia="宋体" w:cs="宋体"/>
          <w:color w:val="auto"/>
        </w:rPr>
      </w:pPr>
      <w:bookmarkStart w:id="555" w:name="_Toc14969"/>
      <w:bookmarkStart w:id="556" w:name="_Toc30883"/>
      <w:r>
        <w:rPr>
          <w:rFonts w:hint="eastAsia" w:ascii="宋体" w:hAnsi="宋体" w:eastAsia="宋体" w:cs="宋体"/>
          <w:color w:val="auto"/>
        </w:rPr>
        <w:t>通过资格性和符合性检查的有效供应商方有资格提交最后报价及进行技术、商务及价格的详细评审，最后磋商小组出具竞争性磋商报告。</w:t>
      </w:r>
      <w:bookmarkEnd w:id="553"/>
      <w:bookmarkEnd w:id="555"/>
      <w:bookmarkEnd w:id="556"/>
    </w:p>
    <w:bookmarkEnd w:id="507"/>
    <w:bookmarkEnd w:id="508"/>
    <w:bookmarkEnd w:id="509"/>
    <w:bookmarkEnd w:id="510"/>
    <w:bookmarkEnd w:id="511"/>
    <w:bookmarkEnd w:id="512"/>
    <w:bookmarkEnd w:id="513"/>
    <w:bookmarkEnd w:id="514"/>
    <w:bookmarkEnd w:id="515"/>
    <w:bookmarkEnd w:id="516"/>
    <w:bookmarkEnd w:id="517"/>
    <w:bookmarkEnd w:id="518"/>
    <w:bookmarkEnd w:id="554"/>
    <w:p>
      <w:pPr>
        <w:numPr>
          <w:ilvl w:val="0"/>
          <w:numId w:val="7"/>
        </w:numPr>
        <w:autoSpaceDE w:val="0"/>
        <w:autoSpaceDN w:val="0"/>
        <w:adjustRightInd w:val="0"/>
        <w:snapToGrid w:val="0"/>
        <w:spacing w:line="360" w:lineRule="auto"/>
        <w:outlineLvl w:val="0"/>
        <w:rPr>
          <w:rFonts w:hint="eastAsia" w:ascii="宋体" w:hAnsi="宋体" w:eastAsia="宋体" w:cs="宋体"/>
          <w:bCs/>
          <w:color w:val="auto"/>
          <w:szCs w:val="21"/>
        </w:rPr>
      </w:pPr>
      <w:bookmarkStart w:id="557" w:name="_Toc27579"/>
      <w:bookmarkStart w:id="558" w:name="_Toc3689"/>
      <w:bookmarkStart w:id="559" w:name="_Toc475104532"/>
      <w:r>
        <w:rPr>
          <w:rFonts w:hint="eastAsia" w:ascii="宋体" w:hAnsi="宋体" w:eastAsia="宋体" w:cs="宋体"/>
          <w:color w:val="auto"/>
        </w:rPr>
        <w:t>按照评审程序、评分标准以及权重分配的规定，磋商小组各成员分别就各个</w:t>
      </w:r>
      <w:r>
        <w:rPr>
          <w:rFonts w:hint="eastAsia" w:ascii="宋体" w:hAnsi="宋体" w:eastAsia="宋体" w:cs="宋体"/>
          <w:bCs/>
          <w:color w:val="auto"/>
        </w:rPr>
        <w:t>供应商</w:t>
      </w:r>
      <w:r>
        <w:rPr>
          <w:rFonts w:hint="eastAsia" w:ascii="宋体" w:hAnsi="宋体" w:eastAsia="宋体" w:cs="宋体"/>
          <w:color w:val="auto"/>
        </w:rPr>
        <w:t>的技术状况、商务状况及其对竞争性磋商文件要求的响应情况进行评议和比较，评出其</w:t>
      </w:r>
      <w:r>
        <w:rPr>
          <w:rFonts w:hint="eastAsia" w:ascii="宋体" w:hAnsi="宋体" w:eastAsia="宋体" w:cs="宋体"/>
          <w:color w:val="auto"/>
          <w:szCs w:val="21"/>
        </w:rPr>
        <w:t>商务</w:t>
      </w:r>
      <w:r>
        <w:rPr>
          <w:rFonts w:hint="eastAsia" w:ascii="宋体" w:hAnsi="宋体" w:eastAsia="宋体" w:cs="宋体"/>
          <w:color w:val="auto"/>
        </w:rPr>
        <w:t>技术评分、价格评分相加得出其综合得分。</w:t>
      </w:r>
      <w:bookmarkEnd w:id="557"/>
      <w:bookmarkEnd w:id="558"/>
    </w:p>
    <w:p>
      <w:pPr>
        <w:numPr>
          <w:ilvl w:val="0"/>
          <w:numId w:val="7"/>
        </w:numPr>
        <w:autoSpaceDE w:val="0"/>
        <w:autoSpaceDN w:val="0"/>
        <w:adjustRightInd w:val="0"/>
        <w:snapToGrid w:val="0"/>
        <w:spacing w:line="360" w:lineRule="auto"/>
        <w:outlineLvl w:val="0"/>
        <w:rPr>
          <w:rFonts w:hint="eastAsia" w:ascii="宋体" w:hAnsi="宋体" w:eastAsia="宋体" w:cs="宋体"/>
          <w:bCs/>
          <w:color w:val="auto"/>
          <w:szCs w:val="21"/>
        </w:rPr>
      </w:pPr>
      <w:bookmarkStart w:id="560" w:name="_Toc12395"/>
      <w:bookmarkStart w:id="561" w:name="_Toc31457"/>
      <w:r>
        <w:rPr>
          <w:rFonts w:hint="eastAsia" w:ascii="宋体" w:hAnsi="宋体" w:eastAsia="宋体" w:cs="宋体"/>
          <w:color w:val="auto"/>
          <w:szCs w:val="21"/>
        </w:rPr>
        <w:t>评标以竞争性磋商文件规定的条件为依据。评分比重如下：</w:t>
      </w:r>
      <w:bookmarkEnd w:id="559"/>
      <w:bookmarkEnd w:id="560"/>
      <w:bookmarkEnd w:id="561"/>
    </w:p>
    <w:tbl>
      <w:tblPr>
        <w:tblStyle w:val="88"/>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hint="eastAsia" w:ascii="宋体" w:hAnsi="宋体" w:eastAsia="宋体" w:cs="宋体"/>
                <w:color w:val="auto"/>
              </w:rPr>
            </w:pPr>
            <w:bookmarkStart w:id="562" w:name="_Toc333236678"/>
            <w:bookmarkStart w:id="563" w:name="_Toc475104533"/>
            <w:r>
              <w:rPr>
                <w:rFonts w:hint="eastAsia" w:ascii="宋体" w:hAnsi="宋体" w:eastAsia="宋体" w:cs="宋体"/>
                <w:color w:val="auto"/>
              </w:rPr>
              <w:t>评分项目</w:t>
            </w:r>
          </w:p>
        </w:tc>
        <w:tc>
          <w:tcPr>
            <w:tcW w:w="1858"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技术部分</w:t>
            </w:r>
          </w:p>
        </w:tc>
        <w:tc>
          <w:tcPr>
            <w:tcW w:w="1859"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商务部分</w:t>
            </w:r>
          </w:p>
        </w:tc>
        <w:tc>
          <w:tcPr>
            <w:tcW w:w="1858"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价格部分</w:t>
            </w:r>
          </w:p>
        </w:tc>
        <w:tc>
          <w:tcPr>
            <w:tcW w:w="1859"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权重</w:t>
            </w:r>
          </w:p>
        </w:tc>
        <w:tc>
          <w:tcPr>
            <w:tcW w:w="1858"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60%</w:t>
            </w:r>
          </w:p>
        </w:tc>
        <w:tc>
          <w:tcPr>
            <w:tcW w:w="1859"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0%</w:t>
            </w:r>
          </w:p>
        </w:tc>
        <w:tc>
          <w:tcPr>
            <w:tcW w:w="1858"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0%</w:t>
            </w:r>
          </w:p>
        </w:tc>
        <w:tc>
          <w:tcPr>
            <w:tcW w:w="1859"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100%</w:t>
            </w:r>
          </w:p>
        </w:tc>
      </w:tr>
    </w:tbl>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564" w:name="_Toc3292"/>
      <w:bookmarkStart w:id="565" w:name="_Toc13399"/>
      <w:r>
        <w:rPr>
          <w:rFonts w:hint="eastAsia" w:ascii="宋体" w:hAnsi="宋体" w:eastAsia="宋体" w:cs="宋体"/>
          <w:color w:val="auto"/>
          <w:szCs w:val="21"/>
        </w:rPr>
        <w:t>（1）磋商响应文件中报价一览表（报价表）内容与磋商响应文件中相应内容不一致的，以报价一览表（报价表）为准；</w:t>
      </w:r>
      <w:bookmarkEnd w:id="564"/>
      <w:bookmarkEnd w:id="565"/>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566" w:name="_Toc24601"/>
      <w:bookmarkStart w:id="567" w:name="_Toc28393"/>
      <w:r>
        <w:rPr>
          <w:rFonts w:hint="eastAsia" w:ascii="宋体" w:hAnsi="宋体" w:eastAsia="宋体" w:cs="宋体"/>
          <w:color w:val="auto"/>
          <w:szCs w:val="21"/>
        </w:rPr>
        <w:t>（2）大写金额和小写金额不一致的，以大写金额为准；</w:t>
      </w:r>
      <w:bookmarkEnd w:id="566"/>
      <w:bookmarkEnd w:id="567"/>
    </w:p>
    <w:p>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rPr>
      </w:pPr>
      <w:bookmarkStart w:id="568" w:name="_Toc31963"/>
      <w:bookmarkStart w:id="569" w:name="_Toc13446"/>
      <w:r>
        <w:rPr>
          <w:rFonts w:hint="eastAsia" w:ascii="宋体" w:hAnsi="宋体" w:eastAsia="宋体" w:cs="宋体"/>
          <w:color w:val="auto"/>
          <w:szCs w:val="21"/>
        </w:rPr>
        <w:t>同时出现两种以上不一致的，按照前款规定的顺序修正。</w:t>
      </w:r>
      <w:bookmarkEnd w:id="568"/>
      <w:bookmarkEnd w:id="569"/>
    </w:p>
    <w:bookmarkEnd w:id="562"/>
    <w:bookmarkEnd w:id="563"/>
    <w:p>
      <w:pPr>
        <w:numPr>
          <w:ilvl w:val="0"/>
          <w:numId w:val="7"/>
        </w:numPr>
        <w:autoSpaceDE w:val="0"/>
        <w:autoSpaceDN w:val="0"/>
        <w:adjustRightInd w:val="0"/>
        <w:snapToGrid w:val="0"/>
        <w:spacing w:line="360" w:lineRule="auto"/>
        <w:outlineLvl w:val="0"/>
        <w:rPr>
          <w:rFonts w:hint="eastAsia" w:ascii="宋体" w:hAnsi="宋体" w:eastAsia="宋体" w:cs="宋体"/>
          <w:color w:val="auto"/>
          <w:szCs w:val="21"/>
        </w:rPr>
      </w:pPr>
      <w:bookmarkStart w:id="570" w:name="_Toc20418"/>
      <w:bookmarkStart w:id="571" w:name="_Toc18923"/>
      <w:bookmarkStart w:id="572" w:name="_Toc333236680"/>
      <w:bookmarkStart w:id="573" w:name="_Toc475104534"/>
      <w:r>
        <w:rPr>
          <w:rFonts w:hint="eastAsia" w:ascii="宋体" w:hAnsi="宋体" w:eastAsia="宋体" w:cs="宋体"/>
          <w:color w:val="auto"/>
          <w:szCs w:val="21"/>
        </w:rPr>
        <w:t>商务</w:t>
      </w:r>
      <w:r>
        <w:rPr>
          <w:rFonts w:hint="eastAsia" w:ascii="宋体" w:hAnsi="宋体" w:eastAsia="宋体" w:cs="宋体"/>
          <w:color w:val="auto"/>
        </w:rPr>
        <w:t>技术</w:t>
      </w:r>
      <w:r>
        <w:rPr>
          <w:rFonts w:hint="eastAsia" w:ascii="宋体" w:hAnsi="宋体" w:eastAsia="宋体" w:cs="宋体"/>
          <w:color w:val="auto"/>
          <w:szCs w:val="21"/>
        </w:rPr>
        <w:t>评定</w:t>
      </w:r>
      <w:bookmarkEnd w:id="570"/>
      <w:bookmarkEnd w:id="571"/>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由磋商小组对所有有效磋商响应文件的商务</w:t>
      </w:r>
      <w:r>
        <w:rPr>
          <w:rFonts w:hint="eastAsia" w:ascii="宋体" w:hAnsi="宋体" w:eastAsia="宋体" w:cs="宋体"/>
          <w:color w:val="auto"/>
        </w:rPr>
        <w:t>技术</w:t>
      </w:r>
      <w:r>
        <w:rPr>
          <w:rFonts w:hint="eastAsia" w:ascii="宋体" w:hAnsi="宋体" w:eastAsia="宋体" w:cs="宋体"/>
          <w:color w:val="auto"/>
          <w:szCs w:val="21"/>
        </w:rPr>
        <w:t>响应方案进行审核和分析，填写《商务响应评分表》和《</w:t>
      </w:r>
      <w:r>
        <w:rPr>
          <w:rFonts w:hint="eastAsia" w:ascii="宋体" w:hAnsi="宋体" w:eastAsia="宋体" w:cs="宋体"/>
          <w:color w:val="auto"/>
        </w:rPr>
        <w:t>技术</w:t>
      </w:r>
      <w:r>
        <w:rPr>
          <w:rFonts w:hint="eastAsia" w:ascii="宋体" w:hAnsi="宋体" w:eastAsia="宋体" w:cs="宋体"/>
          <w:color w:val="auto"/>
          <w:szCs w:val="21"/>
        </w:rPr>
        <w:t>响应评分表》。评审内容见附表。</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磋商小组各成员应当独立对每个有效响应的文件进行评价、打分，然后汇总每个供应商每项评分因素的得分。</w:t>
      </w:r>
      <w:r>
        <w:rPr>
          <w:rFonts w:hint="eastAsia" w:ascii="宋体" w:hAnsi="宋体" w:eastAsia="宋体" w:cs="宋体"/>
          <w:bCs/>
          <w:color w:val="auto"/>
        </w:rPr>
        <w:t>（四舍五入后，</w:t>
      </w:r>
      <w:r>
        <w:rPr>
          <w:rFonts w:hint="eastAsia" w:ascii="宋体" w:hAnsi="宋体" w:eastAsia="宋体" w:cs="宋体"/>
          <w:color w:val="auto"/>
          <w:szCs w:val="20"/>
        </w:rPr>
        <w:t>小数点后保留两位有效数</w:t>
      </w:r>
      <w:r>
        <w:rPr>
          <w:rFonts w:hint="eastAsia" w:ascii="宋体" w:hAnsi="宋体" w:eastAsia="宋体" w:cs="宋体"/>
          <w:bCs/>
          <w:color w:val="auto"/>
        </w:rPr>
        <w:t>）。</w:t>
      </w:r>
    </w:p>
    <w:bookmarkEnd w:id="519"/>
    <w:bookmarkEnd w:id="520"/>
    <w:bookmarkEnd w:id="521"/>
    <w:bookmarkEnd w:id="572"/>
    <w:bookmarkEnd w:id="573"/>
    <w:p>
      <w:pPr>
        <w:numPr>
          <w:ilvl w:val="0"/>
          <w:numId w:val="7"/>
        </w:numPr>
        <w:autoSpaceDE w:val="0"/>
        <w:autoSpaceDN w:val="0"/>
        <w:adjustRightInd w:val="0"/>
        <w:snapToGrid w:val="0"/>
        <w:spacing w:line="360" w:lineRule="auto"/>
        <w:outlineLvl w:val="0"/>
        <w:rPr>
          <w:rFonts w:hint="eastAsia" w:ascii="宋体" w:hAnsi="宋体" w:eastAsia="宋体" w:cs="宋体"/>
          <w:color w:val="auto"/>
          <w:szCs w:val="21"/>
        </w:rPr>
      </w:pPr>
      <w:bookmarkStart w:id="574" w:name="_Toc32559"/>
      <w:bookmarkStart w:id="575" w:name="_Toc27570"/>
      <w:bookmarkStart w:id="576" w:name="_Toc333236685"/>
      <w:bookmarkStart w:id="577" w:name="_Toc475104535"/>
      <w:r>
        <w:rPr>
          <w:rFonts w:hint="eastAsia" w:ascii="宋体" w:hAnsi="宋体" w:eastAsia="宋体" w:cs="宋体"/>
          <w:color w:val="auto"/>
          <w:szCs w:val="21"/>
        </w:rPr>
        <w:t>价格评定</w:t>
      </w:r>
      <w:bookmarkEnd w:id="574"/>
      <w:bookmarkEnd w:id="575"/>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价格核准：磋商小组对有效</w:t>
      </w:r>
      <w:r>
        <w:rPr>
          <w:rFonts w:hint="eastAsia" w:ascii="宋体" w:hAnsi="宋体" w:eastAsia="宋体" w:cs="宋体"/>
          <w:bCs/>
          <w:color w:val="auto"/>
        </w:rPr>
        <w:t>供应商</w:t>
      </w:r>
      <w:r>
        <w:rPr>
          <w:rFonts w:hint="eastAsia" w:ascii="宋体" w:hAnsi="宋体" w:eastAsia="宋体" w:cs="宋体"/>
          <w:color w:val="auto"/>
          <w:szCs w:val="21"/>
        </w:rPr>
        <w:t>的详细报价进行复核，看其是否有计算错误或供货范围上的错误。</w:t>
      </w:r>
    </w:p>
    <w:p>
      <w:pPr>
        <w:shd w:val="clear"/>
        <w:autoSpaceDE w:val="0"/>
        <w:autoSpaceDN w:val="0"/>
        <w:adjustRightInd w:val="0"/>
        <w:snapToGrid w:val="0"/>
        <w:spacing w:line="360" w:lineRule="auto"/>
        <w:ind w:firstLine="630" w:firstLineChars="3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投标人有效报价不得低于招标控制价的</w:t>
      </w:r>
      <w:r>
        <w:rPr>
          <w:rFonts w:hint="eastAsia" w:ascii="宋体" w:hAnsi="宋体" w:cs="宋体"/>
          <w:color w:val="auto"/>
          <w:szCs w:val="21"/>
          <w:highlight w:val="none"/>
          <w:lang w:val="en-US" w:eastAsia="zh-CN"/>
        </w:rPr>
        <w:t>20%。</w:t>
      </w:r>
    </w:p>
    <w:p>
      <w:pPr>
        <w:shd w:val="clear"/>
        <w:autoSpaceDE w:val="0"/>
        <w:autoSpaceDN w:val="0"/>
        <w:adjustRightInd w:val="0"/>
        <w:snapToGrid w:val="0"/>
        <w:spacing w:line="360" w:lineRule="auto"/>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Cs w:val="21"/>
          <w:highlight w:val="none"/>
        </w:rPr>
        <w:t>价格评分：</w:t>
      </w:r>
      <w:r>
        <w:rPr>
          <w:rFonts w:hint="eastAsia" w:ascii="宋体" w:hAnsi="宋体" w:eastAsia="宋体" w:cs="宋体"/>
          <w:color w:val="auto"/>
          <w:sz w:val="21"/>
          <w:szCs w:val="21"/>
        </w:rPr>
        <w:t>监理报价以竞争性报价形式的，监理报价得分以评标基准价作为计算各有效投标价得分的基础，当有效投标报价等于评标基准价时得10分；投标有效投价与评标基准价相比，每上偏 1 %扣0.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分,每下偏1%扣0.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分，最多扣10分。</w:t>
      </w:r>
    </w:p>
    <w:p>
      <w:pPr>
        <w:shd w:val="clear"/>
        <w:autoSpaceDE w:val="0"/>
        <w:autoSpaceDN w:val="0"/>
        <w:adjustRightInd w:val="0"/>
        <w:snapToGrid w:val="0"/>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偏差率=|（投标报价-评标基准价）|÷评标基准价×100%（偏差率以四舍五入的保留2位小数点，报价偏差率不足1%的，按直线内插法计算投标报价得分）</w:t>
      </w:r>
    </w:p>
    <w:p>
      <w:pPr>
        <w:shd w:val="clear"/>
        <w:autoSpaceDE w:val="0"/>
        <w:autoSpaceDN w:val="0"/>
        <w:adjustRightInd w:val="0"/>
        <w:snapToGrid w:val="0"/>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所有入围的有效投标人的投标价的算术平均值的作为评标基准价。</w:t>
      </w:r>
    </w:p>
    <w:p>
      <w:pPr>
        <w:pStyle w:val="96"/>
        <w:ind w:firstLine="480" w:firstLineChars="200"/>
        <w:rPr>
          <w:rFonts w:hint="eastAsia" w:ascii="宋体" w:hAnsi="宋体" w:eastAsia="宋体" w:cs="宋体"/>
          <w:color w:val="auto"/>
          <w:sz w:val="24"/>
          <w:szCs w:val="24"/>
          <w:highlight w:val="none"/>
          <w:lang w:eastAsia="zh-CN"/>
        </w:rPr>
      </w:pPr>
    </w:p>
    <w:p>
      <w:pPr>
        <w:pStyle w:val="164"/>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争性磋商中第二次报价作为</w:t>
      </w:r>
      <w:r>
        <w:rPr>
          <w:rFonts w:hint="eastAsia" w:ascii="宋体" w:hAnsi="宋体" w:eastAsia="宋体" w:cs="宋体"/>
          <w:color w:val="auto"/>
          <w:kern w:val="0"/>
          <w:szCs w:val="21"/>
        </w:rPr>
        <w:t>最终响应</w:t>
      </w:r>
      <w:r>
        <w:rPr>
          <w:rFonts w:hint="eastAsia" w:ascii="宋体" w:hAnsi="宋体" w:eastAsia="宋体" w:cs="宋体"/>
          <w:color w:val="auto"/>
          <w:szCs w:val="21"/>
        </w:rPr>
        <w:t>，以供应商第二次报价作为基准，计算价格扣减作为供应商的价格评分，评标价只作为分值的计算，最终成交价格按照供应商第二次响应报价为准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供应商第二次响应报价应等于或小于第一次响应报价，大于第一次响应报价的视为无效报价，磋商小组将该供应商视为放弃磋商资格</w:t>
      </w:r>
      <w:r>
        <w:rPr>
          <w:rFonts w:hint="eastAsia" w:ascii="宋体" w:hAnsi="宋体" w:eastAsia="宋体" w:cs="宋体"/>
          <w:color w:val="auto"/>
          <w:szCs w:val="21"/>
        </w:rPr>
        <w:t>。</w:t>
      </w:r>
    </w:p>
    <w:p>
      <w:pPr>
        <w:pStyle w:val="164"/>
        <w:widowControl/>
        <w:spacing w:line="360" w:lineRule="auto"/>
        <w:jc w:val="left"/>
        <w:rPr>
          <w:rFonts w:hint="eastAsia" w:ascii="宋体" w:hAnsi="宋体" w:eastAsia="宋体" w:cs="宋体"/>
          <w:color w:val="auto"/>
          <w:szCs w:val="21"/>
          <w:lang w:eastAsia="zh-TW"/>
        </w:rPr>
      </w:pPr>
      <w:r>
        <w:rPr>
          <w:rFonts w:hint="eastAsia" w:ascii="宋体" w:hAnsi="宋体" w:eastAsia="宋体" w:cs="宋体"/>
          <w:color w:val="auto"/>
          <w:szCs w:val="21"/>
        </w:rPr>
        <w:t>评标过程中，不得去掉报价中的最高报价和最低报价。因落实政府采购政策进行价格调整的，以调整后的价格计算评标基准价和投标报价。</w:t>
      </w:r>
    </w:p>
    <w:p>
      <w:pPr>
        <w:numPr>
          <w:ilvl w:val="2"/>
          <w:numId w:val="7"/>
        </w:numPr>
        <w:spacing w:line="360" w:lineRule="auto"/>
        <w:rPr>
          <w:rFonts w:hint="eastAsia" w:ascii="宋体" w:hAnsi="宋体" w:eastAsia="宋体" w:cs="宋体"/>
          <w:color w:val="auto"/>
          <w:szCs w:val="21"/>
          <w:lang w:eastAsia="zh-TW"/>
        </w:rPr>
      </w:pPr>
      <w:r>
        <w:rPr>
          <w:rFonts w:hint="eastAsia" w:ascii="宋体" w:hAnsi="宋体" w:eastAsia="宋体" w:cs="宋体"/>
          <w:color w:val="auto"/>
          <w:szCs w:val="21"/>
          <w:lang w:eastAsia="zh-TW"/>
        </w:rPr>
        <w:t>在本项目政府采购活动中，对符合《政府采购促进中小企业发展管理办法》规定的小微企业报价给予一定比例的扣除，用扣除后的价格参加评审。具体扣除办法如下：</w:t>
      </w:r>
    </w:p>
    <w:p>
      <w:pPr>
        <w:pStyle w:val="222"/>
        <w:widowControl/>
        <w:tabs>
          <w:tab w:val="left" w:pos="709"/>
        </w:tabs>
        <w:spacing w:line="360" w:lineRule="auto"/>
        <w:ind w:left="630" w:leftChars="100" w:hanging="420" w:hangingChars="20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（1）根据财政部、工业和信息化部印发的《政府采购促进中小企业发展暂行办法》（</w:t>
      </w:r>
      <w:r>
        <w:rPr>
          <w:rFonts w:hint="eastAsia" w:ascii="宋体" w:hAnsi="宋体" w:eastAsia="宋体" w:cs="宋体"/>
          <w:bCs/>
          <w:color w:val="auto"/>
          <w:szCs w:val="20"/>
        </w:rPr>
        <w:t>财库〔2020〕46</w:t>
      </w:r>
      <w:r>
        <w:rPr>
          <w:rFonts w:hint="eastAsia" w:ascii="宋体" w:hAnsi="宋体" w:eastAsia="宋体" w:cs="宋体"/>
          <w:color w:val="auto"/>
          <w:szCs w:val="21"/>
          <w:lang w:eastAsia="zh-TW"/>
        </w:rPr>
        <w:t>号）的规定，对小型和微型企业产品的价格给予6%的扣除，用扣除后的价格参与评审；投标产品中仅有部分小型和微型企业产品的，则按所投小型和微型企业产品的价格予以扣除。</w:t>
      </w:r>
    </w:p>
    <w:p>
      <w:pPr>
        <w:pStyle w:val="222"/>
        <w:widowControl/>
        <w:tabs>
          <w:tab w:val="left" w:pos="709"/>
        </w:tabs>
        <w:spacing w:line="360" w:lineRule="auto"/>
        <w:ind w:left="630" w:leftChars="100" w:hanging="420" w:hangingChars="200"/>
        <w:jc w:val="left"/>
        <w:rPr>
          <w:rFonts w:hint="eastAsia" w:ascii="宋体" w:hAnsi="宋体" w:eastAsia="宋体" w:cs="宋体"/>
          <w:color w:val="auto"/>
          <w:szCs w:val="21"/>
          <w:lang w:eastAsia="zh-TW"/>
        </w:rPr>
      </w:pPr>
      <w:r>
        <w:rPr>
          <w:rFonts w:hint="eastAsia" w:ascii="宋体" w:hAnsi="宋体" w:eastAsia="宋体" w:cs="宋体"/>
          <w:color w:val="auto"/>
          <w:szCs w:val="21"/>
        </w:rPr>
        <w:t>（2）投</w:t>
      </w:r>
      <w:r>
        <w:rPr>
          <w:rFonts w:hint="eastAsia" w:ascii="宋体" w:hAnsi="宋体" w:eastAsia="宋体" w:cs="宋体"/>
          <w:color w:val="auto"/>
          <w:szCs w:val="21"/>
          <w:lang w:eastAsia="zh-TW"/>
        </w:rPr>
        <w:t>标供应商为小型或微型企业（包括成员全部为小型或微型企业的联合体）且投标产品全部为小型或微型企业制造（工程的施工单位全部为符合政策要求的小型、微型企业，或者服务全部由符合政策要求的小型、微型承接），对投标供应商的报价给予C1的价格扣除（货物、服务项目C1的取值为6%，工程</w:t>
      </w:r>
      <w:r>
        <w:rPr>
          <w:rFonts w:hint="eastAsia" w:ascii="宋体" w:hAnsi="宋体" w:eastAsia="宋体" w:cs="宋体"/>
          <w:color w:val="auto"/>
          <w:szCs w:val="21"/>
        </w:rPr>
        <w:t xml:space="preserve"> </w:t>
      </w:r>
      <w:r>
        <w:rPr>
          <w:rFonts w:hint="eastAsia" w:ascii="宋体" w:hAnsi="宋体" w:eastAsia="宋体" w:cs="宋体"/>
          <w:color w:val="auto"/>
          <w:szCs w:val="21"/>
          <w:lang w:eastAsia="zh-TW"/>
        </w:rPr>
        <w:t>项目C1的取值为3%），即：评标价＝投标价×（1-C1）。</w:t>
      </w:r>
    </w:p>
    <w:p>
      <w:pPr>
        <w:pStyle w:val="222"/>
        <w:widowControl/>
        <w:tabs>
          <w:tab w:val="left" w:pos="709"/>
        </w:tabs>
        <w:spacing w:line="360" w:lineRule="auto"/>
        <w:ind w:left="630" w:leftChars="100" w:hanging="420" w:hangingChars="20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w:t>
      </w:r>
      <w:r>
        <w:rPr>
          <w:rFonts w:hint="eastAsia" w:ascii="宋体" w:hAnsi="宋体" w:eastAsia="宋体" w:cs="宋体"/>
          <w:color w:val="auto"/>
          <w:szCs w:val="21"/>
        </w:rPr>
        <w:t>3</w:t>
      </w:r>
      <w:r>
        <w:rPr>
          <w:rFonts w:hint="eastAsia" w:ascii="宋体" w:hAnsi="宋体" w:eastAsia="宋体" w:cs="宋体"/>
          <w:color w:val="auto"/>
          <w:szCs w:val="21"/>
          <w:lang w:eastAsia="zh-TW"/>
        </w:rPr>
        <w:t>） 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C2的价格扣除（货物、服务项目C2的取值为2%，工程项目C2的取值为1%），即：评标价＝投标价×（1-C2）。组成联合体或者接受分包的小微企业与联合体内其他企业、分包企业之间存在直接控股、管理关系的，不享受价格扣除优惠政策。</w:t>
      </w:r>
    </w:p>
    <w:p>
      <w:pPr>
        <w:pStyle w:val="222"/>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中小企业参加政府采购活动，应当出具本办法规定的《中小企业声明函》（附件10），否则不得享受相关中小企业扶持政策。中标、成交供应商享受中小企业扶持政策的，随中标、成交结果公开中标、成交供应商的《中小企业声明函》。供应商提供《中小企业声明函》内容不实的，属于提供虚假材料谋取中标、成交，依照《中华人民共和国政府采购法》等国家有关规定追究相应责任。</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监狱企业产品价格扣除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rPr>
      </w:pPr>
      <w:r>
        <w:rPr>
          <w:rFonts w:hint="eastAsia" w:ascii="宋体" w:hAnsi="宋体" w:eastAsia="宋体" w:cs="宋体"/>
          <w:bCs/>
          <w:color w:val="auto"/>
          <w:szCs w:val="21"/>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rPr>
      </w:pPr>
      <w:r>
        <w:rPr>
          <w:rFonts w:hint="eastAsia" w:ascii="宋体" w:hAnsi="宋体" w:eastAsia="宋体" w:cs="宋体"/>
          <w:bCs/>
          <w:color w:val="auto"/>
          <w:szCs w:val="21"/>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rPr>
      </w:pPr>
      <w:r>
        <w:rPr>
          <w:rFonts w:hint="eastAsia" w:ascii="宋体" w:hAnsi="宋体" w:eastAsia="宋体" w:cs="宋体"/>
          <w:bCs/>
          <w:color w:val="auto"/>
          <w:szCs w:val="21"/>
        </w:rPr>
        <w:t>（3）监狱企业参加政府采购活动时，应当提供由省级以上监狱管理局、戒毒管理局（含新疆生产建设兵团）出具的属于监狱企业的证明文件，否则不予认可。</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rPr>
      </w:pPr>
      <w:r>
        <w:rPr>
          <w:rFonts w:hint="eastAsia" w:ascii="宋体" w:hAnsi="宋体" w:eastAsia="宋体" w:cs="宋体"/>
          <w:bCs/>
          <w:color w:val="auto"/>
          <w:szCs w:val="21"/>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hint="eastAsia" w:ascii="宋体" w:hAnsi="宋体" w:eastAsia="宋体" w:cs="宋体"/>
          <w:bCs/>
          <w:color w:val="auto"/>
          <w:szCs w:val="21"/>
        </w:rPr>
      </w:pPr>
      <w:r>
        <w:rPr>
          <w:rFonts w:hint="eastAsia" w:ascii="宋体" w:hAnsi="宋体" w:eastAsia="宋体" w:cs="宋体"/>
          <w:bCs/>
          <w:color w:val="auto"/>
          <w:szCs w:val="21"/>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hint="eastAsia" w:ascii="宋体" w:hAnsi="宋体" w:eastAsia="宋体" w:cs="宋体"/>
          <w:bCs/>
          <w:color w:val="auto"/>
          <w:szCs w:val="21"/>
        </w:rPr>
      </w:pPr>
      <w:r>
        <w:rPr>
          <w:rFonts w:hint="eastAsia" w:ascii="宋体" w:hAnsi="宋体" w:eastAsia="宋体" w:cs="宋体"/>
          <w:bCs/>
          <w:color w:val="auto"/>
          <w:szCs w:val="21"/>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投标人同时为小型、微型企业、监狱企业、残疾人福利性单位任两种或以上情况的，评审中只享受一次价格扣除，不重复进行价格扣除。</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val="en-GB" w:eastAsia="zh-TW"/>
        </w:rPr>
        <w:t>投标人</w:t>
      </w:r>
      <w:r>
        <w:rPr>
          <w:rFonts w:hint="eastAsia" w:ascii="宋体" w:hAnsi="宋体" w:eastAsia="宋体" w:cs="宋体"/>
          <w:color w:val="auto"/>
          <w:szCs w:val="21"/>
          <w:lang w:eastAsia="zh-TW"/>
        </w:rPr>
        <w:t>应当提供《</w:t>
      </w:r>
      <w:r>
        <w:rPr>
          <w:rFonts w:hint="eastAsia" w:ascii="宋体" w:hAnsi="宋体" w:eastAsia="宋体" w:cs="宋体"/>
          <w:color w:val="auto"/>
          <w:szCs w:val="21"/>
          <w:lang w:val="en-GB" w:eastAsia="zh-TW"/>
        </w:rPr>
        <w:t>产品适用政府采购政策情况表</w:t>
      </w:r>
      <w:r>
        <w:rPr>
          <w:rFonts w:hint="eastAsia" w:ascii="宋体" w:hAnsi="宋体" w:eastAsia="宋体" w:cs="宋体"/>
          <w:color w:val="auto"/>
          <w:szCs w:val="21"/>
          <w:lang w:eastAsia="zh-TW"/>
        </w:rPr>
        <w:t>》</w:t>
      </w:r>
      <w:r>
        <w:rPr>
          <w:rFonts w:hint="eastAsia" w:ascii="宋体" w:hAnsi="宋体" w:eastAsia="宋体" w:cs="宋体"/>
          <w:color w:val="auto"/>
          <w:szCs w:val="21"/>
        </w:rPr>
        <w:t xml:space="preserve"> </w:t>
      </w:r>
      <w:r>
        <w:rPr>
          <w:rFonts w:hint="eastAsia" w:ascii="宋体" w:hAnsi="宋体" w:eastAsia="宋体" w:cs="宋体"/>
          <w:color w:val="auto"/>
          <w:szCs w:val="21"/>
          <w:lang w:eastAsia="zh-TW"/>
        </w:rPr>
        <w:t>。</w:t>
      </w:r>
    </w:p>
    <w:p>
      <w:pPr>
        <w:numPr>
          <w:ilvl w:val="1"/>
          <w:numId w:val="7"/>
        </w:numPr>
        <w:autoSpaceDE w:val="0"/>
        <w:autoSpaceDN w:val="0"/>
        <w:adjustRightInd w:val="0"/>
        <w:snapToGrid w:val="0"/>
        <w:spacing w:before="120" w:beforeLines="50" w:line="360" w:lineRule="auto"/>
        <w:jc w:val="left"/>
        <w:rPr>
          <w:rFonts w:hint="eastAsia" w:ascii="宋体" w:hAnsi="宋体" w:eastAsia="宋体" w:cs="宋体"/>
          <w:color w:val="auto"/>
          <w:szCs w:val="21"/>
        </w:rPr>
      </w:pPr>
      <w:r>
        <w:rPr>
          <w:rFonts w:hint="eastAsia" w:ascii="宋体" w:hAnsi="宋体" w:eastAsia="宋体" w:cs="宋体"/>
          <w:color w:val="auto"/>
          <w:szCs w:val="21"/>
        </w:rPr>
        <w:t>评标结果汇总完成后，除下列情形外，任何人不得修改评标结果：</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分值汇总计算错误的；</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分项评分超出评分标准范围的；</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评标委员会成员对客观评审因素评分不一致的；</w:t>
      </w:r>
    </w:p>
    <w:p>
      <w:pPr>
        <w:pStyle w:val="164"/>
        <w:widowControl/>
        <w:numPr>
          <w:ilvl w:val="2"/>
          <w:numId w:val="7"/>
        </w:numPr>
        <w:spacing w:line="360" w:lineRule="auto"/>
        <w:ind w:firstLineChars="0"/>
        <w:jc w:val="left"/>
        <w:rPr>
          <w:rFonts w:hint="eastAsia" w:ascii="宋体" w:hAnsi="宋体" w:eastAsia="宋体" w:cs="宋体"/>
          <w:color w:val="auto"/>
          <w:szCs w:val="21"/>
          <w:lang w:eastAsia="zh-TW"/>
        </w:rPr>
      </w:pPr>
      <w:r>
        <w:rPr>
          <w:rFonts w:hint="eastAsia" w:ascii="宋体" w:hAnsi="宋体" w:eastAsia="宋体" w:cs="宋体"/>
          <w:color w:val="auto"/>
          <w:szCs w:val="21"/>
          <w:lang w:eastAsia="zh-TW"/>
        </w:rPr>
        <w:t>经评标委员会认定评分畸高、畸低的。</w:t>
      </w:r>
    </w:p>
    <w:p>
      <w:pPr>
        <w:autoSpaceDE w:val="0"/>
        <w:autoSpaceDN w:val="0"/>
        <w:adjustRightInd w:val="0"/>
        <w:snapToGrid w:val="0"/>
        <w:spacing w:line="360" w:lineRule="auto"/>
        <w:outlineLvl w:val="0"/>
        <w:rPr>
          <w:rFonts w:hint="eastAsia" w:ascii="宋体" w:hAnsi="宋体" w:eastAsia="宋体" w:cs="宋体"/>
          <w:color w:val="auto"/>
          <w:szCs w:val="21"/>
          <w:lang w:eastAsia="zh-TW"/>
        </w:rPr>
      </w:pPr>
      <w:bookmarkStart w:id="578" w:name="_Toc26983"/>
      <w:bookmarkStart w:id="579" w:name="_Toc30393"/>
      <w:r>
        <w:rPr>
          <w:rFonts w:hint="eastAsia" w:ascii="宋体" w:hAnsi="宋体" w:eastAsia="宋体" w:cs="宋体"/>
          <w:color w:val="auto"/>
          <w:szCs w:val="21"/>
          <w:lang w:eastAsia="zh-TW"/>
        </w:rPr>
        <w:t>评标报告签署前</w:t>
      </w:r>
      <w:r>
        <w:rPr>
          <w:rFonts w:hint="eastAsia" w:ascii="宋体" w:hAnsi="宋体" w:eastAsia="宋体" w:cs="宋体"/>
          <w:color w:val="auto"/>
          <w:szCs w:val="21"/>
        </w:rPr>
        <w:t>，经复核发现存在以上情形之一的，评标委员会应当当场修改评标结果，并在评标报告中记载。</w:t>
      </w:r>
      <w:bookmarkEnd w:id="578"/>
      <w:bookmarkEnd w:id="579"/>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综合评分的计算</w:t>
      </w:r>
    </w:p>
    <w:p>
      <w:pPr>
        <w:numPr>
          <w:ilvl w:val="1"/>
          <w:numId w:val="7"/>
        </w:num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综合评分=商务得分</w:t>
      </w:r>
      <w:r>
        <w:rPr>
          <w:rFonts w:hint="eastAsia" w:ascii="宋体" w:hAnsi="宋体" w:eastAsia="宋体" w:cs="宋体"/>
          <w:bCs/>
          <w:color w:val="auto"/>
          <w:szCs w:val="21"/>
        </w:rPr>
        <w:t>+</w:t>
      </w:r>
      <w:r>
        <w:rPr>
          <w:rFonts w:hint="eastAsia" w:ascii="宋体" w:hAnsi="宋体" w:eastAsia="宋体" w:cs="宋体"/>
          <w:color w:val="auto"/>
          <w:szCs w:val="21"/>
        </w:rPr>
        <w:t>技术得分</w:t>
      </w:r>
      <w:r>
        <w:rPr>
          <w:rFonts w:hint="eastAsia" w:ascii="宋体" w:hAnsi="宋体" w:eastAsia="宋体" w:cs="宋体"/>
          <w:bCs/>
          <w:color w:val="auto"/>
          <w:szCs w:val="21"/>
        </w:rPr>
        <w:t>+</w:t>
      </w:r>
      <w:r>
        <w:rPr>
          <w:rFonts w:hint="eastAsia" w:ascii="宋体" w:hAnsi="宋体" w:eastAsia="宋体" w:cs="宋体"/>
          <w:color w:val="auto"/>
          <w:szCs w:val="21"/>
        </w:rPr>
        <w:t>价格</w:t>
      </w:r>
      <w:r>
        <w:rPr>
          <w:rFonts w:hint="eastAsia" w:ascii="宋体" w:hAnsi="宋体" w:eastAsia="宋体" w:cs="宋体"/>
          <w:bCs/>
          <w:color w:val="auto"/>
          <w:szCs w:val="21"/>
        </w:rPr>
        <w:t>得分。</w:t>
      </w:r>
      <w:r>
        <w:rPr>
          <w:rFonts w:hint="eastAsia" w:ascii="宋体" w:hAnsi="宋体" w:eastAsia="宋体" w:cs="宋体"/>
          <w:color w:val="auto"/>
          <w:szCs w:val="21"/>
        </w:rPr>
        <w:t>各项得分按四舍五入原则精确到小数点后两位。</w:t>
      </w:r>
    </w:p>
    <w:p>
      <w:pPr>
        <w:numPr>
          <w:ilvl w:val="0"/>
          <w:numId w:val="7"/>
        </w:numPr>
        <w:autoSpaceDE w:val="0"/>
        <w:autoSpaceDN w:val="0"/>
        <w:adjustRightInd w:val="0"/>
        <w:snapToGrid w:val="0"/>
        <w:spacing w:line="360" w:lineRule="auto"/>
        <w:outlineLvl w:val="0"/>
        <w:rPr>
          <w:rFonts w:hint="eastAsia" w:ascii="宋体" w:hAnsi="宋体" w:eastAsia="宋体" w:cs="宋体"/>
          <w:color w:val="auto"/>
          <w:szCs w:val="21"/>
        </w:rPr>
      </w:pPr>
      <w:bookmarkStart w:id="580" w:name="_Toc17418"/>
      <w:bookmarkStart w:id="581" w:name="_Toc27755"/>
      <w:r>
        <w:rPr>
          <w:rFonts w:hint="eastAsia" w:ascii="宋体" w:hAnsi="宋体" w:eastAsia="宋体" w:cs="宋体"/>
          <w:color w:val="auto"/>
          <w:szCs w:val="21"/>
        </w:rPr>
        <w:t>附件</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76"/>
      <w:bookmarkEnd w:id="577"/>
      <w:bookmarkEnd w:id="580"/>
      <w:bookmarkEnd w:id="581"/>
    </w:p>
    <w:p>
      <w:pPr>
        <w:spacing w:line="360" w:lineRule="auto"/>
        <w:ind w:firstLine="460" w:firstLineChars="192"/>
        <w:rPr>
          <w:rFonts w:hint="eastAsia" w:ascii="宋体" w:hAnsi="宋体" w:eastAsia="宋体" w:cs="宋体"/>
          <w:color w:val="auto"/>
          <w:kern w:val="0"/>
          <w:szCs w:val="21"/>
        </w:rPr>
      </w:pPr>
      <w:r>
        <w:rPr>
          <w:rFonts w:hint="eastAsia" w:ascii="宋体" w:hAnsi="宋体" w:eastAsia="宋体" w:cs="宋体"/>
          <w:bCs/>
          <w:color w:val="auto"/>
          <w:sz w:val="24"/>
        </w:rPr>
        <w:t>本</w:t>
      </w:r>
      <w:r>
        <w:rPr>
          <w:rFonts w:hint="eastAsia" w:ascii="宋体" w:hAnsi="宋体" w:eastAsia="宋体" w:cs="宋体"/>
          <w:color w:val="auto"/>
          <w:kern w:val="0"/>
          <w:szCs w:val="21"/>
        </w:rPr>
        <w:t>评标文件包括以下评标过程中所需文件附件：</w:t>
      </w:r>
    </w:p>
    <w:p>
      <w:pPr>
        <w:spacing w:line="360" w:lineRule="auto"/>
        <w:ind w:left="720" w:leftChars="343"/>
        <w:rPr>
          <w:rFonts w:hint="eastAsia" w:ascii="宋体" w:hAnsi="宋体" w:eastAsia="宋体" w:cs="宋体"/>
          <w:color w:val="auto"/>
          <w:kern w:val="0"/>
          <w:szCs w:val="21"/>
        </w:rPr>
      </w:pPr>
      <w:r>
        <w:rPr>
          <w:rFonts w:hint="eastAsia" w:ascii="宋体" w:hAnsi="宋体" w:eastAsia="宋体" w:cs="宋体"/>
          <w:color w:val="auto"/>
          <w:kern w:val="0"/>
          <w:szCs w:val="21"/>
        </w:rPr>
        <w:t>附件1  资格性审查及符合性检查表</w:t>
      </w:r>
    </w:p>
    <w:p>
      <w:pPr>
        <w:spacing w:line="360" w:lineRule="auto"/>
        <w:ind w:left="720" w:leftChars="343"/>
        <w:rPr>
          <w:rFonts w:hint="eastAsia" w:ascii="宋体" w:hAnsi="宋体" w:eastAsia="宋体" w:cs="宋体"/>
          <w:color w:val="auto"/>
          <w:kern w:val="0"/>
          <w:szCs w:val="21"/>
        </w:rPr>
      </w:pPr>
      <w:r>
        <w:rPr>
          <w:rFonts w:hint="eastAsia" w:ascii="宋体" w:hAnsi="宋体" w:eastAsia="宋体" w:cs="宋体"/>
          <w:color w:val="auto"/>
          <w:kern w:val="0"/>
          <w:szCs w:val="21"/>
        </w:rPr>
        <w:t>附件2  技术响应评分标准</w:t>
      </w:r>
    </w:p>
    <w:p>
      <w:pPr>
        <w:spacing w:line="360" w:lineRule="auto"/>
        <w:ind w:left="720" w:leftChars="343"/>
        <w:rPr>
          <w:rFonts w:hint="eastAsia" w:ascii="宋体" w:hAnsi="宋体" w:eastAsia="宋体" w:cs="宋体"/>
          <w:color w:val="auto"/>
          <w:kern w:val="0"/>
          <w:szCs w:val="21"/>
        </w:rPr>
      </w:pPr>
      <w:r>
        <w:rPr>
          <w:rFonts w:hint="eastAsia" w:ascii="宋体" w:hAnsi="宋体" w:eastAsia="宋体" w:cs="宋体"/>
          <w:color w:val="auto"/>
          <w:kern w:val="0"/>
          <w:szCs w:val="21"/>
        </w:rPr>
        <w:t>附件3  商务响应评分标准</w:t>
      </w:r>
    </w:p>
    <w:p>
      <w:pPr>
        <w:spacing w:line="360" w:lineRule="auto"/>
        <w:ind w:left="720" w:leftChars="343"/>
        <w:rPr>
          <w:rFonts w:hint="eastAsia" w:ascii="宋体" w:hAnsi="宋体" w:eastAsia="宋体" w:cs="宋体"/>
          <w:color w:val="auto"/>
          <w:kern w:val="0"/>
          <w:szCs w:val="21"/>
        </w:rPr>
      </w:pPr>
      <w:r>
        <w:rPr>
          <w:rFonts w:hint="eastAsia" w:ascii="宋体" w:hAnsi="宋体" w:eastAsia="宋体" w:cs="宋体"/>
          <w:color w:val="auto"/>
          <w:kern w:val="0"/>
          <w:szCs w:val="21"/>
        </w:rPr>
        <w:t>附件4  价格评审表</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附件1</w:t>
      </w:r>
    </w:p>
    <w:p>
      <w:pPr>
        <w:pStyle w:val="4"/>
        <w:rPr>
          <w:rFonts w:hint="eastAsia" w:ascii="宋体" w:hAnsi="宋体" w:eastAsia="宋体" w:cs="宋体"/>
          <w:color w:val="auto"/>
          <w:sz w:val="24"/>
        </w:rPr>
      </w:pPr>
      <w:bookmarkStart w:id="582" w:name="_Toc475104536"/>
      <w:bookmarkStart w:id="583" w:name="_Toc23782"/>
      <w:bookmarkStart w:id="584" w:name="_Toc4729"/>
      <w:r>
        <w:rPr>
          <w:rFonts w:hint="eastAsia" w:ascii="宋体" w:hAnsi="宋体" w:eastAsia="宋体" w:cs="宋体"/>
          <w:color w:val="auto"/>
          <w:sz w:val="24"/>
        </w:rPr>
        <w:t>资格性审查及符合性检查表</w:t>
      </w:r>
      <w:bookmarkEnd w:id="582"/>
      <w:bookmarkEnd w:id="583"/>
      <w:bookmarkEnd w:id="584"/>
    </w:p>
    <w:p>
      <w:pPr>
        <w:pStyle w:val="36"/>
        <w:tabs>
          <w:tab w:val="left" w:pos="735"/>
        </w:tabs>
        <w:snapToGrid w:val="0"/>
        <w:spacing w:line="360" w:lineRule="auto"/>
        <w:rPr>
          <w:rFonts w:hint="eastAsia" w:ascii="宋体" w:hAnsi="宋体" w:eastAsia="宋体" w:cs="宋体"/>
          <w:color w:val="auto"/>
        </w:rPr>
      </w:pPr>
      <w:r>
        <w:rPr>
          <w:rFonts w:hint="eastAsia" w:ascii="宋体" w:hAnsi="宋体" w:eastAsia="宋体" w:cs="宋体"/>
          <w:bCs/>
          <w:color w:val="auto"/>
          <w:szCs w:val="21"/>
        </w:rPr>
        <w:t>　　　　　　　</w:t>
      </w:r>
    </w:p>
    <w:p>
      <w:pPr>
        <w:pStyle w:val="36"/>
        <w:tabs>
          <w:tab w:val="left" w:pos="735"/>
        </w:tabs>
        <w:snapToGrid w:val="0"/>
        <w:spacing w:line="360" w:lineRule="auto"/>
        <w:ind w:left="0" w:leftChars="0"/>
        <w:rPr>
          <w:rFonts w:hint="eastAsia" w:ascii="宋体" w:hAnsi="宋体" w:eastAsia="宋体" w:cs="宋体"/>
          <w:color w:val="auto"/>
          <w:szCs w:val="21"/>
        </w:rPr>
      </w:pPr>
      <w:r>
        <w:rPr>
          <w:rFonts w:hint="eastAsia" w:ascii="宋体" w:hAnsi="宋体" w:eastAsia="宋体" w:cs="宋体"/>
          <w:color w:val="auto"/>
        </w:rPr>
        <w:t>项目名称：                                                    项目编号：</w:t>
      </w:r>
    </w:p>
    <w:tbl>
      <w:tblPr>
        <w:tblStyle w:val="88"/>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hint="eastAsia" w:ascii="宋体" w:hAnsi="宋体" w:eastAsia="宋体" w:cs="宋体"/>
                <w:color w:val="auto"/>
                <w:szCs w:val="21"/>
              </w:rPr>
            </w:pPr>
          </w:p>
          <w:p>
            <w:pPr>
              <w:spacing w:line="360" w:lineRule="auto"/>
              <w:ind w:right="105"/>
              <w:jc w:val="right"/>
              <w:rPr>
                <w:rFonts w:hint="eastAsia" w:ascii="宋体" w:hAnsi="宋体" w:eastAsia="宋体" w:cs="宋体"/>
                <w:color w:val="auto"/>
                <w:szCs w:val="21"/>
              </w:rPr>
            </w:pPr>
            <w:r>
              <w:rPr>
                <w:rFonts w:hint="eastAsia" w:ascii="宋体" w:hAnsi="宋体" w:eastAsia="宋体" w:cs="宋体"/>
                <w:bCs/>
                <w:color w:val="auto"/>
              </w:rPr>
              <w:t>供应商</w:t>
            </w:r>
            <w:r>
              <w:rPr>
                <w:rFonts w:hint="eastAsia" w:ascii="宋体" w:hAnsi="宋体" w:eastAsia="宋体" w:cs="宋体"/>
                <w:color w:val="auto"/>
                <w:szCs w:val="21"/>
              </w:rPr>
              <w:t>名称</w:t>
            </w:r>
          </w:p>
          <w:p>
            <w:pPr>
              <w:spacing w:line="360" w:lineRule="auto"/>
              <w:jc w:val="right"/>
              <w:rPr>
                <w:rFonts w:hint="eastAsia" w:ascii="宋体" w:hAnsi="宋体" w:eastAsia="宋体" w:cs="宋体"/>
                <w:color w:val="auto"/>
                <w:szCs w:val="21"/>
              </w:rPr>
            </w:pPr>
          </w:p>
          <w:p>
            <w:pPr>
              <w:spacing w:line="360" w:lineRule="auto"/>
              <w:ind w:right="525"/>
              <w:jc w:val="right"/>
              <w:rPr>
                <w:rFonts w:hint="eastAsia" w:ascii="宋体" w:hAnsi="宋体" w:eastAsia="宋体" w:cs="宋体"/>
                <w:color w:val="auto"/>
                <w:szCs w:val="21"/>
              </w:rPr>
            </w:pPr>
            <w:r>
              <w:rPr>
                <w:rFonts w:hint="eastAsia" w:ascii="宋体" w:hAnsi="宋体" w:eastAsia="宋体" w:cs="宋体"/>
                <w:color w:val="auto"/>
                <w:szCs w:val="21"/>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9"/>
              <w:widowControl w:val="0"/>
              <w:pBdr>
                <w:bottom w:val="none" w:color="auto" w:sz="0" w:space="0"/>
                <w:right w:val="none" w:color="auto" w:sz="0" w:space="0"/>
              </w:pBdr>
              <w:spacing w:before="0" w:beforeAutospacing="0" w:after="0" w:afterAutospacing="0" w:line="360" w:lineRule="auto"/>
              <w:jc w:val="both"/>
              <w:rPr>
                <w:rFonts w:hint="eastAsia" w:ascii="宋体" w:hAnsi="宋体" w:eastAsia="宋体" w:cs="宋体"/>
                <w:color w:val="auto"/>
                <w:kern w:val="2"/>
              </w:rPr>
            </w:pPr>
            <w:r>
              <w:rPr>
                <w:rFonts w:hint="eastAsia" w:ascii="宋体" w:hAnsi="宋体" w:eastAsia="宋体" w:cs="宋体"/>
                <w:color w:val="auto"/>
                <w:kern w:val="2"/>
              </w:rPr>
              <w:t>满足</w:t>
            </w:r>
            <w:r>
              <w:rPr>
                <w:rFonts w:hint="eastAsia" w:ascii="宋体" w:hAnsi="宋体" w:eastAsia="宋体" w:cs="宋体"/>
                <w:bCs/>
                <w:color w:val="auto"/>
              </w:rPr>
              <w:t>供应商</w:t>
            </w:r>
            <w:r>
              <w:rPr>
                <w:rFonts w:hint="eastAsia" w:ascii="宋体" w:hAnsi="宋体" w:eastAsia="宋体" w:cs="宋体"/>
                <w:color w:val="auto"/>
                <w:kern w:val="2"/>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9"/>
              <w:widowControl w:val="0"/>
              <w:pBdr>
                <w:bottom w:val="none" w:color="auto" w:sz="0" w:space="0"/>
                <w:right w:val="none" w:color="auto" w:sz="0" w:space="0"/>
              </w:pBdr>
              <w:spacing w:before="0" w:beforeAutospacing="0" w:after="0" w:afterAutospacing="0" w:line="360" w:lineRule="auto"/>
              <w:jc w:val="both"/>
              <w:rPr>
                <w:rFonts w:hint="eastAsia" w:ascii="宋体" w:hAnsi="宋体" w:eastAsia="宋体" w:cs="宋体"/>
                <w:color w:val="auto"/>
                <w:kern w:val="2"/>
              </w:rPr>
            </w:pPr>
            <w:r>
              <w:rPr>
                <w:rFonts w:hint="eastAsia" w:ascii="宋体" w:hAnsi="宋体" w:eastAsia="宋体" w:cs="宋体"/>
                <w:color w:val="auto"/>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9"/>
              <w:widowControl w:val="0"/>
              <w:pBdr>
                <w:bottom w:val="none" w:color="auto" w:sz="0" w:space="0"/>
                <w:right w:val="none" w:color="auto" w:sz="0" w:space="0"/>
              </w:pBdr>
              <w:spacing w:before="0" w:beforeAutospacing="0" w:after="0" w:afterAutospacing="0" w:line="360" w:lineRule="auto"/>
              <w:jc w:val="both"/>
              <w:rPr>
                <w:rFonts w:hint="eastAsia" w:ascii="宋体" w:hAnsi="宋体" w:eastAsia="宋体" w:cs="宋体"/>
                <w:color w:val="auto"/>
              </w:rPr>
            </w:pPr>
            <w:r>
              <w:rPr>
                <w:rFonts w:hint="eastAsia" w:ascii="宋体" w:hAnsi="宋体" w:eastAsia="宋体" w:cs="宋体"/>
                <w:color w:val="auto"/>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9"/>
              <w:widowControl w:val="0"/>
              <w:pBdr>
                <w:bottom w:val="none" w:color="auto" w:sz="0" w:space="0"/>
                <w:right w:val="none" w:color="auto" w:sz="0" w:space="0"/>
              </w:pBdr>
              <w:spacing w:before="0" w:beforeAutospacing="0" w:after="0" w:afterAutospacing="0" w:line="360" w:lineRule="auto"/>
              <w:jc w:val="both"/>
              <w:rPr>
                <w:rFonts w:hint="default" w:ascii="宋体" w:hAnsi="宋体" w:eastAsia="宋体" w:cs="宋体"/>
                <w:color w:val="auto"/>
                <w:lang w:val="en-US" w:eastAsia="zh-CN"/>
              </w:rPr>
            </w:pPr>
            <w:r>
              <w:rPr>
                <w:rFonts w:hint="eastAsia" w:ascii="宋体" w:hAnsi="宋体" w:eastAsia="宋体" w:cs="宋体"/>
                <w:color w:val="auto"/>
              </w:rPr>
              <w:t>没有选择性报价及备选方案。首次报价固定唯一，且没有超采购项目</w:t>
            </w:r>
            <w:r>
              <w:rPr>
                <w:rFonts w:hint="eastAsia" w:ascii="宋体" w:hAnsi="宋体" w:eastAsia="宋体" w:cs="宋体"/>
                <w:color w:val="auto"/>
                <w:lang w:val="en-US" w:eastAsia="zh-CN"/>
              </w:rPr>
              <w:t>监理最高限价</w:t>
            </w:r>
            <w:r>
              <w:rPr>
                <w:rFonts w:hint="eastAsia" w:cs="宋体"/>
                <w:color w:val="auto"/>
                <w:lang w:val="en-US" w:eastAsia="zh-CN"/>
              </w:rPr>
              <w:t>或低于最高限价的20%</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9"/>
              <w:widowControl w:val="0"/>
              <w:pBdr>
                <w:bottom w:val="none" w:color="auto" w:sz="0" w:space="0"/>
                <w:right w:val="none" w:color="auto" w:sz="0" w:space="0"/>
              </w:pBdr>
              <w:spacing w:before="0" w:beforeAutospacing="0" w:after="0" w:afterAutospacing="0" w:line="360" w:lineRule="auto"/>
              <w:jc w:val="both"/>
              <w:rPr>
                <w:rFonts w:hint="eastAsia" w:ascii="宋体" w:hAnsi="宋体" w:eastAsia="宋体" w:cs="宋体"/>
                <w:color w:val="auto"/>
              </w:rPr>
            </w:pPr>
            <w:r>
              <w:rPr>
                <w:rFonts w:hint="eastAsia" w:ascii="宋体" w:hAnsi="宋体" w:eastAsia="宋体" w:cs="宋体"/>
                <w:color w:val="auto"/>
              </w:rPr>
              <w:t>没有被磋商小组认定</w:t>
            </w:r>
            <w:r>
              <w:rPr>
                <w:rFonts w:hint="eastAsia" w:ascii="宋体" w:hAnsi="宋体" w:eastAsia="宋体" w:cs="宋体"/>
                <w:bCs/>
                <w:color w:val="auto"/>
              </w:rPr>
              <w:t>供应商</w:t>
            </w:r>
            <w:r>
              <w:rPr>
                <w:rFonts w:hint="eastAsia" w:ascii="宋体" w:hAnsi="宋体" w:eastAsia="宋体" w:cs="宋体"/>
                <w:color w:val="auto"/>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本项目不接受联合体投标</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zCs w:val="21"/>
              </w:rPr>
            </w:pPr>
          </w:p>
        </w:tc>
      </w:tr>
    </w:tbl>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备注：</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1．表中填写“○”表示该项符合竞争性磋商文件要求，“×”表示该项不符合竞争性磋商文件要求。</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2．在结论栏中填写“通过”或“不通过”。</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3.供应商的所有评审项均填写“○”才被视为“通过”，其中一项为“×”则被视为不通过。</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4. 如对本表中某种情形的评审意见不一致时，以少数服从多数的原则作为磋商小组对该情形的认定结论。</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评委签名：</w:t>
      </w:r>
      <w:r>
        <w:rPr>
          <w:rFonts w:hint="eastAsia" w:ascii="宋体" w:hAnsi="宋体" w:eastAsia="宋体" w:cs="宋体"/>
          <w:bCs/>
          <w:color w:val="auto"/>
          <w:szCs w:val="21"/>
        </w:rPr>
        <w:t xml:space="preserve">                                            日期：   年  月  日</w:t>
      </w:r>
    </w:p>
    <w:p>
      <w:pPr>
        <w:rPr>
          <w:rFonts w:hint="eastAsia" w:ascii="宋体" w:hAnsi="宋体" w:eastAsia="宋体" w:cs="宋体"/>
          <w:b/>
          <w:color w:val="auto"/>
          <w:sz w:val="24"/>
        </w:rPr>
      </w:pPr>
      <w:r>
        <w:rPr>
          <w:rFonts w:hint="eastAsia" w:ascii="宋体" w:hAnsi="宋体" w:eastAsia="宋体" w:cs="宋体"/>
          <w:b/>
          <w:color w:val="auto"/>
          <w:sz w:val="24"/>
        </w:rPr>
        <w:br w:type="page"/>
      </w:r>
    </w:p>
    <w:p>
      <w:pPr>
        <w:tabs>
          <w:tab w:val="left" w:pos="720"/>
        </w:tabs>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附件2                          技术部分评分表</w:t>
      </w:r>
    </w:p>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项目名称：                                          项目编号：</w:t>
      </w:r>
    </w:p>
    <w:tbl>
      <w:tblPr>
        <w:tblStyle w:val="88"/>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498"/>
        <w:gridCol w:w="7293"/>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hint="eastAsia" w:ascii="宋体" w:hAnsi="宋体" w:eastAsia="宋体" w:cs="宋体"/>
                <w:color w:val="auto"/>
              </w:rPr>
            </w:pPr>
            <w:bookmarkStart w:id="585" w:name="_Hlk66711333"/>
            <w:r>
              <w:rPr>
                <w:rFonts w:hint="eastAsia" w:ascii="宋体" w:hAnsi="宋体" w:eastAsia="宋体" w:cs="宋体"/>
                <w:color w:val="auto"/>
              </w:rPr>
              <w:t>序号</w:t>
            </w:r>
          </w:p>
        </w:tc>
        <w:tc>
          <w:tcPr>
            <w:tcW w:w="1498" w:type="dxa"/>
            <w:tcBorders>
              <w:top w:val="single" w:color="auto" w:sz="4" w:space="0"/>
            </w:tcBorders>
            <w:shd w:val="clear" w:color="auto" w:fill="FFFFFF"/>
            <w:vAlign w:val="center"/>
          </w:tcPr>
          <w:p>
            <w:pPr>
              <w:snapToGrid w:val="0"/>
              <w:rPr>
                <w:rFonts w:hint="eastAsia" w:ascii="宋体" w:hAnsi="宋体" w:eastAsia="宋体" w:cs="宋体"/>
                <w:color w:val="auto"/>
              </w:rPr>
            </w:pPr>
            <w:r>
              <w:rPr>
                <w:rFonts w:hint="eastAsia" w:ascii="宋体" w:hAnsi="宋体" w:eastAsia="宋体" w:cs="宋体"/>
                <w:color w:val="auto"/>
              </w:rPr>
              <w:t>评分项目</w:t>
            </w:r>
          </w:p>
        </w:tc>
        <w:tc>
          <w:tcPr>
            <w:tcW w:w="7293" w:type="dxa"/>
            <w:tcBorders>
              <w:top w:val="single" w:color="auto" w:sz="4" w:space="0"/>
            </w:tcBorders>
            <w:shd w:val="clear" w:color="auto" w:fill="FFFFFF"/>
            <w:vAlign w:val="center"/>
          </w:tcPr>
          <w:p>
            <w:pPr>
              <w:snapToGrid w:val="0"/>
              <w:jc w:val="left"/>
              <w:rPr>
                <w:rFonts w:hint="eastAsia" w:ascii="宋体" w:hAnsi="宋体" w:eastAsia="宋体" w:cs="宋体"/>
                <w:color w:val="auto"/>
              </w:rPr>
            </w:pPr>
            <w:r>
              <w:rPr>
                <w:rFonts w:hint="eastAsia" w:ascii="宋体" w:hAnsi="宋体" w:eastAsia="宋体" w:cs="宋体"/>
                <w:color w:val="auto"/>
              </w:rPr>
              <w:t>评分标准</w:t>
            </w:r>
          </w:p>
        </w:tc>
        <w:tc>
          <w:tcPr>
            <w:tcW w:w="696" w:type="dxa"/>
            <w:tcBorders>
              <w:top w:val="single" w:color="auto" w:sz="4" w:space="0"/>
            </w:tcBorders>
            <w:shd w:val="clear" w:color="auto" w:fill="FFFFFF"/>
            <w:vAlign w:val="center"/>
          </w:tcPr>
          <w:p>
            <w:pPr>
              <w:snapToGrid w:val="0"/>
              <w:spacing w:line="360" w:lineRule="auto"/>
              <w:jc w:val="center"/>
              <w:rPr>
                <w:rFonts w:hint="eastAsia" w:ascii="宋体" w:hAnsi="宋体" w:eastAsia="宋体" w:cs="宋体"/>
                <w:bCs/>
                <w:color w:val="auto"/>
                <w:szCs w:val="21"/>
              </w:rPr>
            </w:pPr>
            <w:r>
              <w:rPr>
                <w:rFonts w:hint="eastAsia" w:ascii="宋体" w:hAnsi="宋体" w:eastAsia="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w:t>
            </w:r>
          </w:p>
        </w:tc>
        <w:tc>
          <w:tcPr>
            <w:tcW w:w="1498" w:type="dxa"/>
            <w:tcBorders>
              <w:top w:val="single" w:color="auto" w:sz="4" w:space="0"/>
              <w:bottom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szCs w:val="21"/>
              </w:rPr>
              <w:t>对项目的总体要求的理解和把握程度</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考查投标人对本项目的需求理解和分析程度。对比各投标文件响应情况，按档次打分：</w:t>
            </w:r>
          </w:p>
          <w:p>
            <w:pPr>
              <w:rPr>
                <w:rFonts w:hint="eastAsia" w:ascii="宋体" w:hAnsi="宋体" w:eastAsia="宋体" w:cs="宋体"/>
                <w:color w:val="auto"/>
              </w:rPr>
            </w:pPr>
            <w:r>
              <w:rPr>
                <w:rFonts w:hint="eastAsia" w:ascii="宋体" w:hAnsi="宋体" w:eastAsia="宋体" w:cs="宋体"/>
                <w:color w:val="auto"/>
                <w:szCs w:val="21"/>
              </w:rPr>
              <w:t>优（8-10分），良（6-7分），中（3-5分），差（0-2分）。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2</w:t>
            </w:r>
          </w:p>
        </w:tc>
        <w:tc>
          <w:tcPr>
            <w:tcW w:w="1498" w:type="dxa"/>
            <w:tcBorders>
              <w:top w:val="single" w:color="auto" w:sz="4" w:space="0"/>
              <w:bottom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szCs w:val="21"/>
              </w:rPr>
              <w:t>监理工作的实施方案</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包括监理工作目标、工作内容、工作方法、项目管理办法及措施等。对比各投标文件响应情况，按档次打分：</w:t>
            </w:r>
          </w:p>
          <w:p>
            <w:pPr>
              <w:rPr>
                <w:rFonts w:hint="eastAsia" w:ascii="宋体" w:hAnsi="宋体" w:eastAsia="宋体" w:cs="宋体"/>
                <w:color w:val="auto"/>
              </w:rPr>
            </w:pPr>
            <w:r>
              <w:rPr>
                <w:rFonts w:hint="eastAsia" w:ascii="宋体" w:hAnsi="宋体" w:eastAsia="宋体" w:cs="宋体"/>
                <w:color w:val="auto"/>
                <w:szCs w:val="21"/>
              </w:rPr>
              <w:t>优（12-15分），良（8-11分），中（4-7分），差（0-3分）。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3</w:t>
            </w:r>
          </w:p>
        </w:tc>
        <w:tc>
          <w:tcPr>
            <w:tcW w:w="1498" w:type="dxa"/>
            <w:tcBorders>
              <w:top w:val="single" w:color="auto" w:sz="4" w:space="0"/>
              <w:bottom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szCs w:val="21"/>
              </w:rPr>
              <w:t>质量控制的方法和措施</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对把握本项目建设质量、发挥项目建设的整体效益有较好的思路和控制方法。对比各投标文件响应情况，按档次打分：</w:t>
            </w:r>
          </w:p>
          <w:p>
            <w:pPr>
              <w:rPr>
                <w:rFonts w:hint="eastAsia" w:ascii="宋体" w:hAnsi="宋体" w:eastAsia="宋体" w:cs="宋体"/>
                <w:color w:val="auto"/>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7-8</w:t>
            </w:r>
            <w:r>
              <w:rPr>
                <w:rFonts w:hint="eastAsia" w:ascii="宋体" w:hAnsi="宋体" w:eastAsia="宋体" w:cs="宋体"/>
                <w:color w:val="auto"/>
                <w:szCs w:val="21"/>
              </w:rPr>
              <w:t>分），良（</w:t>
            </w:r>
            <w:r>
              <w:rPr>
                <w:rFonts w:hint="eastAsia" w:ascii="宋体" w:hAnsi="宋体" w:eastAsia="宋体" w:cs="宋体"/>
                <w:color w:val="auto"/>
                <w:szCs w:val="21"/>
                <w:lang w:val="en-US" w:eastAsia="zh-CN"/>
              </w:rPr>
              <w:t>5-6</w:t>
            </w:r>
            <w:r>
              <w:rPr>
                <w:rFonts w:hint="eastAsia" w:ascii="宋体" w:hAnsi="宋体" w:eastAsia="宋体" w:cs="宋体"/>
                <w:color w:val="auto"/>
                <w:szCs w:val="21"/>
              </w:rPr>
              <w:t>分），中（</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分），差（</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4</w:t>
            </w:r>
          </w:p>
        </w:tc>
        <w:tc>
          <w:tcPr>
            <w:tcW w:w="1498" w:type="dxa"/>
            <w:tcBorders>
              <w:top w:val="single" w:color="auto" w:sz="4" w:space="0"/>
              <w:bottom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szCs w:val="21"/>
              </w:rPr>
              <w:t>进度控制的方法和措施</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对项目进度控制的把握、项目里程碑的控制有较好的思路和方法。对比各投标文件响应情况，按档次打分：</w:t>
            </w:r>
          </w:p>
          <w:p>
            <w:pPr>
              <w:rPr>
                <w:rFonts w:hint="eastAsia" w:ascii="宋体" w:hAnsi="宋体" w:eastAsia="宋体" w:cs="宋体"/>
                <w:color w:val="auto"/>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7-8</w:t>
            </w:r>
            <w:r>
              <w:rPr>
                <w:rFonts w:hint="eastAsia" w:ascii="宋体" w:hAnsi="宋体" w:eastAsia="宋体" w:cs="宋体"/>
                <w:color w:val="auto"/>
                <w:szCs w:val="21"/>
              </w:rPr>
              <w:t>分），良（</w:t>
            </w:r>
            <w:r>
              <w:rPr>
                <w:rFonts w:hint="eastAsia" w:ascii="宋体" w:hAnsi="宋体" w:eastAsia="宋体" w:cs="宋体"/>
                <w:color w:val="auto"/>
                <w:szCs w:val="21"/>
                <w:lang w:val="en-US" w:eastAsia="zh-CN"/>
              </w:rPr>
              <w:t>5-6</w:t>
            </w:r>
            <w:r>
              <w:rPr>
                <w:rFonts w:hint="eastAsia" w:ascii="宋体" w:hAnsi="宋体" w:eastAsia="宋体" w:cs="宋体"/>
                <w:color w:val="auto"/>
                <w:szCs w:val="21"/>
              </w:rPr>
              <w:t>分），中（</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分），差（</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5</w:t>
            </w:r>
          </w:p>
        </w:tc>
        <w:tc>
          <w:tcPr>
            <w:tcW w:w="1498" w:type="dxa"/>
            <w:tcBorders>
              <w:top w:val="single" w:color="auto" w:sz="4" w:space="0"/>
              <w:bottom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szCs w:val="21"/>
              </w:rPr>
              <w:t>投资控制的方法和措施</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对项目建设成本管理的方法和措施，有较好的控制手段和管理方法。对比各投标文件响应情况，按档次打分：</w:t>
            </w:r>
          </w:p>
          <w:p>
            <w:pPr>
              <w:rPr>
                <w:rFonts w:hint="eastAsia" w:ascii="宋体" w:hAnsi="宋体" w:eastAsia="宋体" w:cs="宋体"/>
                <w:color w:val="auto"/>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7-8</w:t>
            </w:r>
            <w:r>
              <w:rPr>
                <w:rFonts w:hint="eastAsia" w:ascii="宋体" w:hAnsi="宋体" w:eastAsia="宋体" w:cs="宋体"/>
                <w:color w:val="auto"/>
                <w:szCs w:val="21"/>
              </w:rPr>
              <w:t>分），良（</w:t>
            </w:r>
            <w:r>
              <w:rPr>
                <w:rFonts w:hint="eastAsia" w:ascii="宋体" w:hAnsi="宋体" w:eastAsia="宋体" w:cs="宋体"/>
                <w:color w:val="auto"/>
                <w:szCs w:val="21"/>
                <w:lang w:val="en-US" w:eastAsia="zh-CN"/>
              </w:rPr>
              <w:t>5-6</w:t>
            </w:r>
            <w:r>
              <w:rPr>
                <w:rFonts w:hint="eastAsia" w:ascii="宋体" w:hAnsi="宋体" w:eastAsia="宋体" w:cs="宋体"/>
                <w:color w:val="auto"/>
                <w:szCs w:val="21"/>
              </w:rPr>
              <w:t>分），中（</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分），差（</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6</w:t>
            </w:r>
          </w:p>
        </w:tc>
        <w:tc>
          <w:tcPr>
            <w:tcW w:w="1498" w:type="dxa"/>
            <w:tcBorders>
              <w:top w:val="single" w:color="auto" w:sz="4" w:space="0"/>
              <w:bottom w:val="single" w:color="auto" w:sz="4" w:space="0"/>
            </w:tcBorders>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安全、文明施工管理</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考查投标人对本项目的安全、文明施工管理。对比各投标文件响应情况，按档次打分：</w:t>
            </w:r>
          </w:p>
          <w:p>
            <w:pPr>
              <w:rPr>
                <w:rFonts w:hint="eastAsia" w:ascii="宋体" w:hAnsi="宋体" w:eastAsia="宋体" w:cs="宋体"/>
                <w:color w:val="auto"/>
                <w:kern w:val="0"/>
                <w:sz w:val="21"/>
                <w:szCs w:val="21"/>
                <w:lang w:val="en-GB" w:eastAsia="zh-CN" w:bidi="ar-SA"/>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7-8</w:t>
            </w:r>
            <w:r>
              <w:rPr>
                <w:rFonts w:hint="eastAsia" w:ascii="宋体" w:hAnsi="宋体" w:eastAsia="宋体" w:cs="宋体"/>
                <w:color w:val="auto"/>
                <w:szCs w:val="21"/>
              </w:rPr>
              <w:t>分），良（</w:t>
            </w:r>
            <w:r>
              <w:rPr>
                <w:rFonts w:hint="eastAsia" w:ascii="宋体" w:hAnsi="宋体" w:eastAsia="宋体" w:cs="宋体"/>
                <w:color w:val="auto"/>
                <w:szCs w:val="21"/>
                <w:lang w:val="en-US" w:eastAsia="zh-CN"/>
              </w:rPr>
              <w:t>5-6</w:t>
            </w:r>
            <w:r>
              <w:rPr>
                <w:rFonts w:hint="eastAsia" w:ascii="宋体" w:hAnsi="宋体" w:eastAsia="宋体" w:cs="宋体"/>
                <w:color w:val="auto"/>
                <w:szCs w:val="21"/>
              </w:rPr>
              <w:t>分），中（</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分），差（</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rPr>
            </w:pPr>
            <w:r>
              <w:rPr>
                <w:rFonts w:hint="eastAsia" w:ascii="宋体" w:hAnsi="宋体" w:cs="宋体"/>
                <w:color w:val="auto"/>
                <w:lang w:val="en-US" w:eastAsia="zh-CN"/>
              </w:rPr>
              <w:t>7</w:t>
            </w:r>
          </w:p>
        </w:tc>
        <w:tc>
          <w:tcPr>
            <w:tcW w:w="1498" w:type="dxa"/>
            <w:tcBorders>
              <w:top w:val="single" w:color="auto" w:sz="4" w:space="0"/>
              <w:bottom w:val="single" w:color="auto" w:sz="4" w:space="0"/>
            </w:tcBorders>
            <w:vAlign w:val="center"/>
          </w:tcPr>
          <w:p>
            <w:pP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1"/>
              </w:rPr>
              <w:t>重点难点监控措施</w:t>
            </w:r>
          </w:p>
        </w:tc>
        <w:tc>
          <w:tcPr>
            <w:tcW w:w="7293"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考查投标人对本项目的重点难点监控，措施具有针对性、具体、可操作性强。对比各投标文件响应情况，按档次打分：</w:t>
            </w:r>
          </w:p>
          <w:p>
            <w:pPr>
              <w:rPr>
                <w:rFonts w:hint="eastAsia" w:ascii="宋体" w:hAnsi="宋体" w:eastAsia="宋体" w:cs="宋体"/>
                <w:color w:val="auto"/>
                <w:kern w:val="2"/>
                <w:sz w:val="21"/>
                <w:szCs w:val="24"/>
                <w:lang w:val="en-GB" w:eastAsia="zh-CN" w:bidi="ar-SA"/>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7-8</w:t>
            </w:r>
            <w:r>
              <w:rPr>
                <w:rFonts w:hint="eastAsia" w:ascii="宋体" w:hAnsi="宋体" w:eastAsia="宋体" w:cs="宋体"/>
                <w:color w:val="auto"/>
                <w:szCs w:val="21"/>
              </w:rPr>
              <w:t>分），良（</w:t>
            </w:r>
            <w:r>
              <w:rPr>
                <w:rFonts w:hint="eastAsia" w:ascii="宋体" w:hAnsi="宋体" w:eastAsia="宋体" w:cs="宋体"/>
                <w:color w:val="auto"/>
                <w:szCs w:val="21"/>
                <w:lang w:val="en-US" w:eastAsia="zh-CN"/>
              </w:rPr>
              <w:t>5-6</w:t>
            </w:r>
            <w:r>
              <w:rPr>
                <w:rFonts w:hint="eastAsia" w:ascii="宋体" w:hAnsi="宋体" w:eastAsia="宋体" w:cs="宋体"/>
                <w:color w:val="auto"/>
                <w:szCs w:val="21"/>
              </w:rPr>
              <w:t>分），中（</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分），差（</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96" w:type="dxa"/>
            <w:tcBorders>
              <w:top w:val="single" w:color="auto" w:sz="4" w:space="0"/>
              <w:bottom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524" w:type="dxa"/>
            <w:gridSpan w:val="3"/>
            <w:tcBorders>
              <w:top w:val="single" w:color="auto" w:sz="4" w:space="0"/>
              <w:bottom w:val="single" w:color="auto" w:sz="4" w:space="0"/>
            </w:tcBorders>
            <w:vAlign w:val="center"/>
          </w:tcPr>
          <w:p>
            <w:pPr>
              <w:snapToGrid w:val="0"/>
              <w:jc w:val="center"/>
              <w:rPr>
                <w:rFonts w:hint="eastAsia" w:ascii="宋体" w:hAnsi="宋体" w:eastAsia="宋体" w:cs="宋体"/>
                <w:color w:val="auto"/>
              </w:rPr>
            </w:pPr>
            <w:r>
              <w:rPr>
                <w:rFonts w:hint="eastAsia" w:ascii="宋体" w:hAnsi="宋体" w:eastAsia="宋体" w:cs="宋体"/>
                <w:color w:val="auto"/>
              </w:rPr>
              <w:t>合计</w:t>
            </w:r>
          </w:p>
        </w:tc>
        <w:tc>
          <w:tcPr>
            <w:tcW w:w="696" w:type="dxa"/>
            <w:tcBorders>
              <w:top w:val="single" w:color="auto" w:sz="4" w:space="0"/>
              <w:bottom w:val="single" w:color="auto" w:sz="4" w:space="0"/>
            </w:tcBorders>
            <w:vAlign w:val="center"/>
          </w:tcPr>
          <w:p>
            <w:pPr>
              <w:snapToGrid w:val="0"/>
              <w:jc w:val="center"/>
              <w:rPr>
                <w:rFonts w:hint="eastAsia" w:ascii="宋体" w:hAnsi="宋体" w:eastAsia="宋体" w:cs="宋体"/>
                <w:color w:val="auto"/>
              </w:rPr>
            </w:pPr>
            <w:r>
              <w:rPr>
                <w:rFonts w:hint="eastAsia" w:ascii="宋体" w:hAnsi="宋体" w:eastAsia="宋体" w:cs="宋体"/>
                <w:color w:val="auto"/>
              </w:rPr>
              <w:t>60分</w:t>
            </w:r>
          </w:p>
        </w:tc>
      </w:tr>
      <w:bookmarkEnd w:id="585"/>
    </w:tbl>
    <w:p>
      <w:pPr>
        <w:snapToGrid w:val="0"/>
        <w:rPr>
          <w:rFonts w:hint="eastAsia" w:ascii="宋体" w:hAnsi="宋体" w:eastAsia="宋体" w:cs="宋体"/>
          <w:b/>
          <w:bCs/>
          <w:color w:val="auto"/>
        </w:rPr>
      </w:pPr>
      <w:r>
        <w:rPr>
          <w:rFonts w:hint="eastAsia" w:ascii="宋体" w:hAnsi="宋体" w:eastAsia="宋体" w:cs="宋体"/>
          <w:b/>
          <w:bCs/>
          <w:color w:val="auto"/>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eastAsia="宋体" w:cs="宋体"/>
          <w:bCs/>
          <w:color w:val="auto"/>
          <w:szCs w:val="21"/>
        </w:rPr>
      </w:pPr>
    </w:p>
    <w:p>
      <w:pPr>
        <w:tabs>
          <w:tab w:val="left" w:pos="720"/>
        </w:tabs>
        <w:snapToGrid w:val="0"/>
        <w:ind w:firstLine="210" w:firstLineChars="100"/>
        <w:rPr>
          <w:rFonts w:hint="eastAsia" w:ascii="宋体" w:hAnsi="宋体" w:eastAsia="宋体" w:cs="宋体"/>
          <w:color w:val="auto"/>
        </w:rPr>
      </w:pPr>
      <w:r>
        <w:rPr>
          <w:rFonts w:hint="eastAsia" w:ascii="宋体" w:hAnsi="宋体" w:eastAsia="宋体" w:cs="宋体"/>
          <w:bCs/>
          <w:color w:val="auto"/>
          <w:szCs w:val="21"/>
        </w:rPr>
        <w:t>评委签名：                                                    日期：   年  月  日</w:t>
      </w:r>
    </w:p>
    <w:p>
      <w:pP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 xml:space="preserve">附件3 </w:t>
      </w:r>
    </w:p>
    <w:p>
      <w:pPr>
        <w:tabs>
          <w:tab w:val="left" w:pos="720"/>
        </w:tabs>
        <w:snapToGrid w:val="0"/>
        <w:ind w:firstLine="241" w:firstLineChars="100"/>
        <w:jc w:val="center"/>
        <w:rPr>
          <w:rFonts w:hint="eastAsia" w:ascii="宋体" w:hAnsi="宋体" w:eastAsia="宋体" w:cs="宋体"/>
          <w:b/>
          <w:color w:val="auto"/>
          <w:sz w:val="24"/>
        </w:rPr>
      </w:pPr>
      <w:r>
        <w:rPr>
          <w:rFonts w:hint="eastAsia" w:ascii="宋体" w:hAnsi="宋体" w:eastAsia="宋体" w:cs="宋体"/>
          <w:b/>
          <w:color w:val="auto"/>
          <w:sz w:val="24"/>
        </w:rPr>
        <w:t>商务部分评分表</w:t>
      </w:r>
    </w:p>
    <w:p>
      <w:pPr>
        <w:tabs>
          <w:tab w:val="left" w:pos="720"/>
        </w:tabs>
        <w:snapToGrid w:val="0"/>
        <w:ind w:firstLine="210" w:firstLineChars="100"/>
        <w:rPr>
          <w:rFonts w:hint="eastAsia" w:ascii="宋体" w:hAnsi="宋体" w:eastAsia="宋体" w:cs="宋体"/>
          <w:bCs/>
          <w:color w:val="auto"/>
          <w:szCs w:val="21"/>
        </w:rPr>
      </w:pPr>
      <w:r>
        <w:rPr>
          <w:rFonts w:hint="eastAsia" w:ascii="宋体" w:hAnsi="宋体" w:eastAsia="宋体" w:cs="宋体"/>
          <w:bCs/>
          <w:color w:val="auto"/>
          <w:szCs w:val="21"/>
        </w:rPr>
        <w:t xml:space="preserve">项目名称：                                                 </w:t>
      </w:r>
    </w:p>
    <w:p>
      <w:pPr>
        <w:tabs>
          <w:tab w:val="left" w:pos="720"/>
        </w:tabs>
        <w:snapToGrid w:val="0"/>
        <w:ind w:firstLine="210" w:firstLineChars="100"/>
        <w:rPr>
          <w:rFonts w:hint="eastAsia" w:ascii="宋体" w:hAnsi="宋体" w:eastAsia="宋体" w:cs="宋体"/>
          <w:bCs/>
          <w:color w:val="auto"/>
          <w:szCs w:val="21"/>
        </w:rPr>
      </w:pPr>
      <w:r>
        <w:rPr>
          <w:rFonts w:hint="eastAsia" w:ascii="宋体" w:hAnsi="宋体" w:eastAsia="宋体" w:cs="宋体"/>
          <w:bCs/>
          <w:color w:val="auto"/>
          <w:szCs w:val="21"/>
        </w:rPr>
        <w:t>项目编号：</w:t>
      </w:r>
    </w:p>
    <w:tbl>
      <w:tblPr>
        <w:tblStyle w:val="89"/>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15"/>
        <w:gridCol w:w="800"/>
        <w:gridCol w:w="64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eastAsia="zh-CN"/>
              </w:rPr>
            </w:pPr>
            <w:r>
              <w:rPr>
                <w:rFonts w:hint="eastAsia" w:ascii="宋体" w:hAnsi="宋体" w:eastAsia="宋体" w:cs="宋体"/>
                <w:bCs/>
                <w:color w:val="auto"/>
                <w:szCs w:val="21"/>
                <w:vertAlign w:val="baseline"/>
                <w:lang w:eastAsia="zh-CN"/>
              </w:rPr>
              <w:t>序号</w:t>
            </w:r>
          </w:p>
        </w:tc>
        <w:tc>
          <w:tcPr>
            <w:tcW w:w="1015" w:type="dxa"/>
            <w:vAlign w:val="center"/>
          </w:tcPr>
          <w:p>
            <w:pPr>
              <w:pStyle w:val="96"/>
              <w:jc w:val="center"/>
              <w:rPr>
                <w:rFonts w:hint="eastAsia" w:ascii="宋体" w:hAnsi="宋体" w:eastAsia="宋体" w:cs="宋体"/>
                <w:bCs/>
                <w:color w:val="auto"/>
                <w:szCs w:val="21"/>
                <w:vertAlign w:val="baseline"/>
                <w:lang w:eastAsia="zh-CN"/>
              </w:rPr>
            </w:pPr>
            <w:r>
              <w:rPr>
                <w:rFonts w:hint="eastAsia" w:ascii="宋体" w:hAnsi="宋体" w:eastAsia="宋体" w:cs="宋体"/>
                <w:bCs/>
                <w:color w:val="auto"/>
                <w:szCs w:val="21"/>
                <w:vertAlign w:val="baseline"/>
                <w:lang w:eastAsia="zh-CN"/>
              </w:rPr>
              <w:t>评分项目</w:t>
            </w:r>
          </w:p>
        </w:tc>
        <w:tc>
          <w:tcPr>
            <w:tcW w:w="7234" w:type="dxa"/>
            <w:gridSpan w:val="2"/>
            <w:vAlign w:val="center"/>
          </w:tcPr>
          <w:p>
            <w:pPr>
              <w:pStyle w:val="96"/>
              <w:jc w:val="center"/>
              <w:rPr>
                <w:rFonts w:hint="eastAsia" w:ascii="宋体" w:hAnsi="宋体" w:eastAsia="宋体" w:cs="宋体"/>
                <w:bCs/>
                <w:color w:val="auto"/>
                <w:szCs w:val="21"/>
                <w:vertAlign w:val="baseline"/>
                <w:lang w:eastAsia="zh-CN"/>
              </w:rPr>
            </w:pPr>
            <w:r>
              <w:rPr>
                <w:rFonts w:hint="eastAsia" w:ascii="宋体" w:hAnsi="宋体" w:eastAsia="宋体" w:cs="宋体"/>
                <w:bCs/>
                <w:color w:val="auto"/>
                <w:szCs w:val="21"/>
                <w:vertAlign w:val="baseline"/>
                <w:lang w:eastAsia="zh-CN"/>
              </w:rPr>
              <w:t>评分标准</w:t>
            </w:r>
          </w:p>
        </w:tc>
        <w:tc>
          <w:tcPr>
            <w:tcW w:w="850" w:type="dxa"/>
            <w:vAlign w:val="center"/>
          </w:tcPr>
          <w:p>
            <w:pPr>
              <w:pStyle w:val="96"/>
              <w:jc w:val="center"/>
              <w:rPr>
                <w:rFonts w:hint="eastAsia" w:ascii="宋体" w:hAnsi="宋体" w:eastAsia="宋体" w:cs="宋体"/>
                <w:bCs/>
                <w:color w:val="auto"/>
                <w:szCs w:val="21"/>
                <w:vertAlign w:val="baseline"/>
                <w:lang w:eastAsia="zh-CN"/>
              </w:rPr>
            </w:pPr>
            <w:r>
              <w:rPr>
                <w:rFonts w:hint="eastAsia" w:ascii="宋体" w:hAnsi="宋体" w:eastAsia="宋体" w:cs="宋体"/>
                <w:bCs/>
                <w:color w:val="auto"/>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1</w:t>
            </w:r>
          </w:p>
        </w:tc>
        <w:tc>
          <w:tcPr>
            <w:tcW w:w="1015"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rPr>
              <w:t>商务响应程度</w:t>
            </w:r>
          </w:p>
        </w:tc>
        <w:tc>
          <w:tcPr>
            <w:tcW w:w="7234" w:type="dxa"/>
            <w:gridSpan w:val="2"/>
            <w:vAlign w:val="center"/>
          </w:tcPr>
          <w:p>
            <w:pPr>
              <w:snapToGrid w:val="0"/>
              <w:rPr>
                <w:rFonts w:hint="eastAsia" w:ascii="宋体" w:hAnsi="宋体" w:eastAsia="宋体" w:cs="宋体"/>
                <w:color w:val="auto"/>
              </w:rPr>
            </w:pPr>
            <w:r>
              <w:rPr>
                <w:rFonts w:hint="eastAsia" w:ascii="宋体" w:hAnsi="宋体" w:eastAsia="宋体" w:cs="宋体"/>
                <w:color w:val="auto"/>
              </w:rPr>
              <w:t>供应商对商务要求的响应程度。</w:t>
            </w:r>
          </w:p>
          <w:p>
            <w:pPr>
              <w:snapToGrid w:val="0"/>
              <w:rPr>
                <w:rFonts w:hint="eastAsia" w:ascii="宋体" w:hAnsi="宋体" w:eastAsia="宋体" w:cs="宋体"/>
                <w:color w:val="auto"/>
              </w:rPr>
            </w:pPr>
            <w:r>
              <w:rPr>
                <w:rFonts w:hint="eastAsia" w:ascii="宋体" w:hAnsi="宋体" w:eastAsia="宋体" w:cs="宋体"/>
                <w:color w:val="auto"/>
              </w:rPr>
              <w:t>1.完全满足竞争性磋商文件要求的得</w:t>
            </w:r>
            <w:r>
              <w:rPr>
                <w:rFonts w:hint="eastAsia" w:ascii="宋体" w:hAnsi="宋体" w:eastAsia="宋体" w:cs="宋体"/>
                <w:color w:val="auto"/>
                <w:lang w:val="en-US" w:eastAsia="zh-CN"/>
              </w:rPr>
              <w:t>2</w:t>
            </w:r>
            <w:r>
              <w:rPr>
                <w:rFonts w:hint="eastAsia" w:ascii="宋体" w:hAnsi="宋体" w:eastAsia="宋体" w:cs="宋体"/>
                <w:color w:val="auto"/>
              </w:rPr>
              <w:t>分；</w:t>
            </w:r>
          </w:p>
          <w:p>
            <w:pPr>
              <w:snapToGrid w:val="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.有部分不满足竞争性磋商文件要求的得1分；</w:t>
            </w:r>
          </w:p>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lang w:val="en-US" w:eastAsia="zh-CN"/>
              </w:rPr>
              <w:t>3</w:t>
            </w:r>
            <w:r>
              <w:rPr>
                <w:rFonts w:hint="eastAsia" w:ascii="宋体" w:hAnsi="宋体" w:eastAsia="宋体" w:cs="宋体"/>
                <w:color w:val="auto"/>
              </w:rPr>
              <w:t>.其他不得分。</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2</w:t>
            </w:r>
          </w:p>
        </w:tc>
        <w:tc>
          <w:tcPr>
            <w:tcW w:w="1015"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rPr>
              <w:t>履约情况</w:t>
            </w:r>
          </w:p>
        </w:tc>
        <w:tc>
          <w:tcPr>
            <w:tcW w:w="7234" w:type="dxa"/>
            <w:gridSpan w:val="2"/>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连续10年(含10年）或以上</w:t>
            </w:r>
            <w:r>
              <w:rPr>
                <w:rFonts w:hint="eastAsia" w:ascii="宋体" w:hAnsi="宋体" w:eastAsia="宋体" w:cs="宋体"/>
                <w:color w:val="auto"/>
                <w:kern w:val="0"/>
                <w:szCs w:val="21"/>
              </w:rPr>
              <w:t>获得工商部门颁发“守合同重信用企业称号”的，得5分；</w:t>
            </w:r>
            <w:r>
              <w:rPr>
                <w:rFonts w:hint="eastAsia" w:ascii="宋体" w:hAnsi="宋体" w:eastAsia="宋体" w:cs="宋体"/>
                <w:color w:val="auto"/>
                <w:kern w:val="0"/>
                <w:szCs w:val="21"/>
                <w:lang w:val="en-US" w:eastAsia="zh-CN"/>
              </w:rPr>
              <w:t>连续9至5年（含5年）</w:t>
            </w:r>
            <w:r>
              <w:rPr>
                <w:rFonts w:hint="eastAsia" w:ascii="宋体" w:hAnsi="宋体" w:eastAsia="宋体" w:cs="宋体"/>
                <w:color w:val="auto"/>
                <w:kern w:val="0"/>
                <w:szCs w:val="21"/>
              </w:rPr>
              <w:t>获得工商部门颁发“守合同重信用企业称号”的，得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其他不得分。</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3</w:t>
            </w:r>
          </w:p>
        </w:tc>
        <w:tc>
          <w:tcPr>
            <w:tcW w:w="1015"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rPr>
              <w:t>综合实力</w:t>
            </w:r>
          </w:p>
        </w:tc>
        <w:tc>
          <w:tcPr>
            <w:tcW w:w="7234" w:type="dxa"/>
            <w:gridSpan w:val="2"/>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提供企业</w:t>
            </w:r>
            <w:r>
              <w:rPr>
                <w:rFonts w:hint="eastAsia" w:ascii="宋体" w:hAnsi="宋体" w:eastAsia="宋体" w:cs="宋体"/>
                <w:color w:val="auto"/>
                <w:szCs w:val="21"/>
                <w:lang w:val="en-US" w:eastAsia="zh-CN"/>
              </w:rPr>
              <w:t>监理资质证书</w:t>
            </w:r>
            <w:r>
              <w:rPr>
                <w:rFonts w:hint="eastAsia" w:ascii="宋体" w:hAnsi="宋体" w:eastAsia="宋体" w:cs="宋体"/>
                <w:color w:val="auto"/>
                <w:szCs w:val="21"/>
              </w:rPr>
              <w:t>：（1）</w:t>
            </w:r>
            <w:r>
              <w:rPr>
                <w:rFonts w:hint="eastAsia" w:ascii="宋体" w:hAnsi="宋体" w:eastAsia="宋体" w:cs="宋体"/>
                <w:color w:val="auto"/>
                <w:szCs w:val="21"/>
                <w:lang w:val="en-US" w:eastAsia="zh-CN"/>
              </w:rPr>
              <w:t>具有监理综合资质或房屋建筑工程监理甲级资质证书的得5分</w:t>
            </w:r>
            <w:r>
              <w:rPr>
                <w:rFonts w:hint="eastAsia" w:ascii="宋体" w:hAnsi="宋体" w:eastAsia="宋体" w:cs="宋体"/>
                <w:color w:val="auto"/>
                <w:szCs w:val="21"/>
              </w:rPr>
              <w:t>；（2）</w:t>
            </w:r>
            <w:r>
              <w:rPr>
                <w:rFonts w:hint="eastAsia" w:ascii="宋体" w:hAnsi="宋体" w:eastAsia="宋体" w:cs="宋体"/>
                <w:color w:val="auto"/>
                <w:szCs w:val="21"/>
                <w:lang w:val="en-US" w:eastAsia="zh-CN"/>
              </w:rPr>
              <w:t>具有房屋建筑工程监理乙级资质证书的得2分</w:t>
            </w:r>
            <w:r>
              <w:rPr>
                <w:rFonts w:hint="eastAsia" w:ascii="宋体" w:hAnsi="宋体" w:eastAsia="宋体" w:cs="宋体"/>
                <w:color w:val="auto"/>
                <w:szCs w:val="21"/>
              </w:rPr>
              <w:t>。注：需提供证书复印件加盖公章。</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4</w:t>
            </w:r>
          </w:p>
        </w:tc>
        <w:tc>
          <w:tcPr>
            <w:tcW w:w="1015" w:type="dxa"/>
            <w:vAlign w:val="center"/>
          </w:tcPr>
          <w:p>
            <w:pPr>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业绩</w:t>
            </w:r>
          </w:p>
        </w:tc>
        <w:tc>
          <w:tcPr>
            <w:tcW w:w="7234" w:type="dxa"/>
            <w:gridSpan w:val="2"/>
            <w:vAlign w:val="center"/>
          </w:tcPr>
          <w:p>
            <w:pPr>
              <w:snapToGrid w:val="0"/>
              <w:rPr>
                <w:rFonts w:hint="eastAsia" w:ascii="宋体" w:hAnsi="宋体" w:eastAsia="宋体" w:cs="宋体"/>
                <w:color w:val="auto"/>
              </w:rPr>
            </w:pPr>
            <w:r>
              <w:rPr>
                <w:rFonts w:hint="eastAsia" w:ascii="宋体" w:hAnsi="宋体" w:eastAsia="宋体" w:cs="宋体"/>
                <w:color w:val="auto"/>
              </w:rPr>
              <w:t>投标人201</w:t>
            </w:r>
            <w:r>
              <w:rPr>
                <w:rFonts w:hint="eastAsia" w:ascii="宋体" w:hAnsi="宋体" w:eastAsia="宋体" w:cs="宋体"/>
                <w:color w:val="auto"/>
                <w:lang w:val="en-US" w:eastAsia="zh-CN"/>
              </w:rPr>
              <w:t>9</w:t>
            </w:r>
            <w:r>
              <w:rPr>
                <w:rFonts w:hint="eastAsia" w:ascii="宋体" w:hAnsi="宋体" w:eastAsia="宋体" w:cs="宋体"/>
                <w:color w:val="auto"/>
              </w:rPr>
              <w:t>年1月1日至今承担过同类项目业绩的，每个业绩得</w:t>
            </w:r>
            <w:r>
              <w:rPr>
                <w:rFonts w:hint="eastAsia" w:ascii="宋体" w:hAnsi="宋体" w:eastAsia="宋体" w:cs="宋体"/>
                <w:color w:val="auto"/>
                <w:lang w:val="en-US" w:eastAsia="zh-CN"/>
              </w:rPr>
              <w:t>1.5</w:t>
            </w:r>
            <w:r>
              <w:rPr>
                <w:rFonts w:hint="eastAsia" w:ascii="宋体" w:hAnsi="宋体" w:eastAsia="宋体" w:cs="宋体"/>
                <w:color w:val="auto"/>
              </w:rPr>
              <w:t>分，满分</w:t>
            </w:r>
            <w:r>
              <w:rPr>
                <w:rFonts w:hint="eastAsia" w:ascii="宋体" w:hAnsi="宋体" w:eastAsia="宋体" w:cs="宋体"/>
                <w:color w:val="auto"/>
                <w:lang w:val="en-US" w:eastAsia="zh-CN"/>
              </w:rPr>
              <w:t>3</w:t>
            </w:r>
            <w:r>
              <w:rPr>
                <w:rFonts w:hint="eastAsia" w:ascii="宋体" w:hAnsi="宋体" w:eastAsia="宋体" w:cs="宋体"/>
                <w:color w:val="auto"/>
              </w:rPr>
              <w:t>分，其他不得分。</w:t>
            </w:r>
          </w:p>
          <w:p>
            <w:pPr>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rPr>
              <w:t>（注：业绩需提供合同</w:t>
            </w:r>
            <w:r>
              <w:rPr>
                <w:rFonts w:hint="eastAsia" w:ascii="宋体" w:hAnsi="宋体" w:eastAsia="宋体" w:cs="宋体"/>
                <w:color w:val="auto"/>
                <w:lang w:val="en-US" w:eastAsia="zh-CN"/>
              </w:rPr>
              <w:t>和竣工验收报告</w:t>
            </w:r>
            <w:r>
              <w:rPr>
                <w:rFonts w:hint="eastAsia" w:ascii="宋体" w:hAnsi="宋体" w:eastAsia="宋体" w:cs="宋体"/>
                <w:color w:val="auto"/>
              </w:rPr>
              <w:t>复印件，以</w:t>
            </w:r>
            <w:r>
              <w:rPr>
                <w:rFonts w:hint="eastAsia" w:ascii="宋体" w:hAnsi="宋体" w:eastAsia="宋体" w:cs="宋体"/>
                <w:color w:val="auto"/>
                <w:lang w:val="en-US" w:eastAsia="zh-CN"/>
              </w:rPr>
              <w:t>竣工验收报告</w:t>
            </w:r>
            <w:r>
              <w:rPr>
                <w:rFonts w:hint="eastAsia" w:ascii="宋体" w:hAnsi="宋体" w:eastAsia="宋体" w:cs="宋体"/>
                <w:color w:val="auto"/>
              </w:rPr>
              <w:t>时间为准。）</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5</w:t>
            </w:r>
          </w:p>
        </w:tc>
        <w:tc>
          <w:tcPr>
            <w:tcW w:w="1015" w:type="dxa"/>
            <w:vAlign w:val="center"/>
          </w:tcPr>
          <w:p>
            <w:pPr>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lang w:eastAsia="zh-CN"/>
              </w:rPr>
              <w:t>获奖情况</w:t>
            </w:r>
          </w:p>
        </w:tc>
        <w:tc>
          <w:tcPr>
            <w:tcW w:w="7234" w:type="dxa"/>
            <w:gridSpan w:val="2"/>
            <w:vAlign w:val="center"/>
          </w:tcPr>
          <w:p>
            <w:pPr>
              <w:snapToGrid w:val="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1"/>
              </w:rPr>
              <w:t>获得过省级或以上奖项的每项得</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szCs w:val="21"/>
              </w:rPr>
              <w:t>获得过地市级奖项的每项</w:t>
            </w:r>
            <w:r>
              <w:rPr>
                <w:rFonts w:hint="eastAsia" w:ascii="宋体" w:hAnsi="宋体" w:eastAsia="宋体" w:cs="宋体"/>
                <w:color w:val="auto"/>
              </w:rPr>
              <w:t>得</w:t>
            </w:r>
            <w:r>
              <w:rPr>
                <w:rFonts w:hint="eastAsia" w:ascii="宋体" w:hAnsi="宋体" w:eastAsia="宋体" w:cs="宋体"/>
                <w:color w:val="auto"/>
                <w:lang w:val="en-US" w:eastAsia="zh-CN"/>
              </w:rPr>
              <w:t>1</w:t>
            </w:r>
            <w:r>
              <w:rPr>
                <w:rFonts w:hint="eastAsia" w:ascii="宋体" w:hAnsi="宋体" w:eastAsia="宋体" w:cs="宋体"/>
                <w:color w:val="auto"/>
              </w:rPr>
              <w:t>分；没有的不得分。</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6</w:t>
            </w:r>
          </w:p>
        </w:tc>
        <w:tc>
          <w:tcPr>
            <w:tcW w:w="1015" w:type="dxa"/>
            <w:vAlign w:val="center"/>
          </w:tcPr>
          <w:p>
            <w:pPr>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管理体系</w:t>
            </w:r>
          </w:p>
        </w:tc>
        <w:tc>
          <w:tcPr>
            <w:tcW w:w="7234" w:type="dxa"/>
            <w:gridSpan w:val="2"/>
            <w:vAlign w:val="center"/>
          </w:tcPr>
          <w:p>
            <w:pPr>
              <w:snapToGrid w:val="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同时具备ISO质量管理、职业健康管理、环境安全管理体系认证证书且在有效期内的得3分；</w:t>
            </w:r>
            <w:r>
              <w:rPr>
                <w:rFonts w:hint="eastAsia" w:ascii="宋体" w:hAnsi="宋体" w:cs="宋体"/>
                <w:color w:val="auto"/>
                <w:lang w:val="en-US" w:eastAsia="zh-CN"/>
              </w:rPr>
              <w:t>缺</w:t>
            </w:r>
            <w:r>
              <w:rPr>
                <w:rFonts w:hint="eastAsia" w:ascii="宋体" w:hAnsi="宋体" w:eastAsia="宋体" w:cs="宋体"/>
                <w:color w:val="auto"/>
                <w:lang w:val="en-US" w:eastAsia="zh-CN"/>
              </w:rPr>
              <w:t>一项扣1分。</w:t>
            </w:r>
            <w:r>
              <w:rPr>
                <w:rFonts w:hint="eastAsia" w:ascii="宋体" w:hAnsi="宋体" w:eastAsia="宋体" w:cs="宋体"/>
                <w:color w:val="auto"/>
                <w:szCs w:val="21"/>
              </w:rPr>
              <w:t>注：需提供证书复印件加盖公章。</w:t>
            </w:r>
          </w:p>
        </w:tc>
        <w:tc>
          <w:tcPr>
            <w:tcW w:w="850" w:type="dxa"/>
            <w:vAlign w:val="center"/>
          </w:tcPr>
          <w:p>
            <w:pPr>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7</w:t>
            </w:r>
          </w:p>
        </w:tc>
        <w:tc>
          <w:tcPr>
            <w:tcW w:w="1015" w:type="dxa"/>
            <w:vMerge w:val="restart"/>
            <w:vAlign w:val="center"/>
          </w:tcPr>
          <w:p>
            <w:pPr>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监理人员配置</w:t>
            </w:r>
          </w:p>
        </w:tc>
        <w:tc>
          <w:tcPr>
            <w:tcW w:w="800" w:type="dxa"/>
            <w:vAlign w:val="center"/>
          </w:tcPr>
          <w:p>
            <w:pPr>
              <w:snapToGrid w:val="0"/>
              <w:jc w:val="center"/>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rPr>
              <w:t>项目总监情况</w:t>
            </w:r>
          </w:p>
        </w:tc>
        <w:tc>
          <w:tcPr>
            <w:tcW w:w="6434" w:type="dxa"/>
            <w:vAlign w:val="center"/>
          </w:tcPr>
          <w:p>
            <w:pPr>
              <w:pStyle w:val="96"/>
              <w:numPr>
                <w:ilvl w:val="0"/>
                <w:numId w:val="8"/>
              </w:num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具备住房和城乡建设部的注册监理工程师证书（专业为房屋建筑工程），且具有中级工程师(或以上）职称的得</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lang w:eastAsia="zh-CN"/>
              </w:rPr>
              <w:t>分；</w:t>
            </w:r>
          </w:p>
          <w:p>
            <w:pPr>
              <w:pStyle w:val="96"/>
              <w:numPr>
                <w:ilvl w:val="0"/>
                <w:numId w:val="8"/>
              </w:num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201</w:t>
            </w:r>
            <w:r>
              <w:rPr>
                <w:rFonts w:hint="eastAsia" w:ascii="宋体" w:hAnsi="宋体" w:eastAsia="宋体" w:cs="宋体"/>
                <w:b w:val="0"/>
                <w:bCs w:val="0"/>
                <w:color w:val="auto"/>
                <w:lang w:val="en-US" w:eastAsia="zh-CN"/>
              </w:rPr>
              <w:t>9</w:t>
            </w:r>
            <w:r>
              <w:rPr>
                <w:rFonts w:hint="eastAsia" w:ascii="宋体" w:hAnsi="宋体" w:eastAsia="宋体" w:cs="宋体"/>
                <w:b w:val="0"/>
                <w:bCs w:val="0"/>
                <w:color w:val="auto"/>
                <w:lang w:eastAsia="zh-CN"/>
              </w:rPr>
              <w:t>年1月1 日至今项目总监完成过质量合格的类似工程施工监理业绩的，得</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lang w:eastAsia="zh-CN"/>
              </w:rPr>
              <w:t>分（注：需提供监理合同及竣工验收报告（或竣工验收备案表）复印件作为证明材料，不提供的不得分。）；</w:t>
            </w:r>
          </w:p>
          <w:p>
            <w:pPr>
              <w:pStyle w:val="96"/>
              <w:numPr>
                <w:ilvl w:val="0"/>
                <w:numId w:val="8"/>
              </w:num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本项最多得</w:t>
            </w:r>
            <w:r>
              <w:rPr>
                <w:rFonts w:hint="eastAsia" w:ascii="宋体" w:hAnsi="宋体" w:cs="宋体"/>
                <w:b w:val="0"/>
                <w:bCs w:val="0"/>
                <w:color w:val="auto"/>
                <w:lang w:val="en-US" w:eastAsia="zh-CN"/>
              </w:rPr>
              <w:t>2</w:t>
            </w:r>
            <w:r>
              <w:rPr>
                <w:rFonts w:hint="eastAsia" w:ascii="宋体" w:hAnsi="宋体" w:eastAsia="宋体" w:cs="宋体"/>
                <w:b w:val="0"/>
                <w:bCs w:val="0"/>
                <w:color w:val="auto"/>
                <w:lang w:eastAsia="zh-CN"/>
              </w:rPr>
              <w:t>分。（需提供身份证、职称证、相关资格证、注册证及近三个月在本单位购买的社保证明文件等证明材料）</w:t>
            </w:r>
          </w:p>
        </w:tc>
        <w:tc>
          <w:tcPr>
            <w:tcW w:w="850" w:type="dxa"/>
            <w:vMerge w:val="restart"/>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pStyle w:val="96"/>
              <w:rPr>
                <w:rFonts w:hint="eastAsia" w:ascii="宋体" w:hAnsi="宋体" w:eastAsia="宋体" w:cs="宋体"/>
                <w:bCs/>
                <w:color w:val="auto"/>
                <w:szCs w:val="21"/>
                <w:vertAlign w:val="baseline"/>
                <w:lang w:val="en-US" w:eastAsia="zh-CN"/>
              </w:rPr>
            </w:pPr>
          </w:p>
        </w:tc>
        <w:tc>
          <w:tcPr>
            <w:tcW w:w="1015" w:type="dxa"/>
            <w:vMerge w:val="continue"/>
          </w:tcPr>
          <w:p>
            <w:pPr>
              <w:pStyle w:val="96"/>
              <w:rPr>
                <w:rFonts w:hint="eastAsia" w:ascii="宋体" w:hAnsi="宋体" w:eastAsia="宋体" w:cs="宋体"/>
                <w:bCs/>
                <w:color w:val="auto"/>
                <w:szCs w:val="21"/>
                <w:vertAlign w:val="baseline"/>
              </w:rPr>
            </w:pPr>
          </w:p>
        </w:tc>
        <w:tc>
          <w:tcPr>
            <w:tcW w:w="800" w:type="dxa"/>
            <w:vAlign w:val="center"/>
          </w:tcPr>
          <w:p>
            <w:pPr>
              <w:snapToGrid w:val="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项目总监代表情况</w:t>
            </w:r>
          </w:p>
        </w:tc>
        <w:tc>
          <w:tcPr>
            <w:tcW w:w="6434" w:type="dxa"/>
            <w:vAlign w:val="center"/>
          </w:tcPr>
          <w:p>
            <w:pPr>
              <w:pStyle w:val="96"/>
              <w:numPr>
                <w:ilvl w:val="0"/>
                <w:numId w:val="8"/>
              </w:num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具有住房和城乡建设部的注册监理工程师证书（专业为房屋建筑工程），得</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lang w:eastAsia="zh-CN"/>
              </w:rPr>
              <w:t>分；</w:t>
            </w:r>
          </w:p>
          <w:p>
            <w:pPr>
              <w:pStyle w:val="96"/>
              <w:numPr>
                <w:ilvl w:val="0"/>
                <w:numId w:val="8"/>
              </w:num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具有</w:t>
            </w:r>
            <w:r>
              <w:rPr>
                <w:rFonts w:hint="eastAsia" w:ascii="宋体" w:hAnsi="宋体" w:cs="宋体"/>
                <w:b w:val="0"/>
                <w:bCs w:val="0"/>
                <w:color w:val="auto"/>
                <w:lang w:eastAsia="zh-CN"/>
              </w:rPr>
              <w:t>中级</w:t>
            </w:r>
            <w:r>
              <w:rPr>
                <w:rFonts w:hint="eastAsia" w:ascii="宋体" w:hAnsi="宋体" w:eastAsia="宋体" w:cs="宋体"/>
                <w:b w:val="0"/>
                <w:bCs w:val="0"/>
                <w:color w:val="auto"/>
                <w:lang w:eastAsia="zh-CN"/>
              </w:rPr>
              <w:t>工程师</w:t>
            </w:r>
            <w:r>
              <w:rPr>
                <w:rFonts w:hint="eastAsia" w:ascii="宋体" w:hAnsi="宋体" w:cs="宋体"/>
                <w:b w:val="0"/>
                <w:bCs w:val="0"/>
                <w:color w:val="auto"/>
                <w:lang w:eastAsia="zh-CN"/>
              </w:rPr>
              <w:t>职称的得</w:t>
            </w:r>
            <w:r>
              <w:rPr>
                <w:rFonts w:hint="eastAsia" w:ascii="宋体" w:hAnsi="宋体" w:cs="宋体"/>
                <w:b w:val="0"/>
                <w:bCs w:val="0"/>
                <w:color w:val="auto"/>
                <w:lang w:val="en-US" w:eastAsia="zh-CN"/>
              </w:rPr>
              <w:t>1分；具有副高职</w:t>
            </w:r>
            <w:r>
              <w:rPr>
                <w:rFonts w:hint="eastAsia" w:ascii="宋体" w:hAnsi="宋体" w:eastAsia="宋体" w:cs="宋体"/>
                <w:b w:val="0"/>
                <w:bCs w:val="0"/>
                <w:color w:val="auto"/>
                <w:lang w:eastAsia="zh-CN"/>
              </w:rPr>
              <w:t>(或以上）职称的得</w:t>
            </w:r>
            <w:r>
              <w:rPr>
                <w:rFonts w:hint="eastAsia" w:ascii="宋体" w:hAnsi="宋体" w:cs="宋体"/>
                <w:b w:val="0"/>
                <w:bCs w:val="0"/>
                <w:color w:val="auto"/>
                <w:lang w:val="en-US" w:eastAsia="zh-CN"/>
              </w:rPr>
              <w:t>2</w:t>
            </w:r>
            <w:r>
              <w:rPr>
                <w:rFonts w:hint="eastAsia" w:ascii="宋体" w:hAnsi="宋体" w:eastAsia="宋体" w:cs="宋体"/>
                <w:b w:val="0"/>
                <w:bCs w:val="0"/>
                <w:color w:val="auto"/>
                <w:lang w:eastAsia="zh-CN"/>
              </w:rPr>
              <w:t>分；</w:t>
            </w:r>
          </w:p>
          <w:p>
            <w:pPr>
              <w:pStyle w:val="96"/>
              <w:numPr>
                <w:ilvl w:val="0"/>
                <w:numId w:val="8"/>
              </w:num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本项最多得</w:t>
            </w:r>
            <w:r>
              <w:rPr>
                <w:rFonts w:hint="eastAsia" w:ascii="宋体" w:hAnsi="宋体" w:cs="宋体"/>
                <w:b w:val="0"/>
                <w:bCs w:val="0"/>
                <w:color w:val="auto"/>
                <w:lang w:val="en-US" w:eastAsia="zh-CN"/>
              </w:rPr>
              <w:t>3</w:t>
            </w:r>
            <w:r>
              <w:rPr>
                <w:rFonts w:hint="eastAsia" w:ascii="宋体" w:hAnsi="宋体" w:eastAsia="宋体" w:cs="宋体"/>
                <w:b w:val="0"/>
                <w:bCs w:val="0"/>
                <w:color w:val="auto"/>
                <w:lang w:eastAsia="zh-CN"/>
              </w:rPr>
              <w:t>分。（需提供身份证、职称证、相关资格证、注册证及近三个月在本单位购买的社保证明文件等证明材料）</w:t>
            </w:r>
          </w:p>
        </w:tc>
        <w:tc>
          <w:tcPr>
            <w:tcW w:w="850" w:type="dxa"/>
            <w:vMerge w:val="continue"/>
            <w:vAlign w:val="center"/>
          </w:tcPr>
          <w:p>
            <w:pPr>
              <w:pStyle w:val="96"/>
              <w:jc w:val="center"/>
              <w:rPr>
                <w:rFonts w:hint="eastAsia" w:ascii="宋体" w:hAnsi="宋体" w:eastAsia="宋体" w:cs="宋体"/>
                <w:bCs/>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pStyle w:val="96"/>
              <w:rPr>
                <w:rFonts w:hint="eastAsia" w:ascii="宋体" w:hAnsi="宋体" w:eastAsia="宋体" w:cs="宋体"/>
                <w:bCs/>
                <w:color w:val="auto"/>
                <w:szCs w:val="21"/>
                <w:vertAlign w:val="baseline"/>
                <w:lang w:val="en-US" w:eastAsia="zh-CN"/>
              </w:rPr>
            </w:pPr>
          </w:p>
        </w:tc>
        <w:tc>
          <w:tcPr>
            <w:tcW w:w="1015" w:type="dxa"/>
            <w:vMerge w:val="continue"/>
          </w:tcPr>
          <w:p>
            <w:pPr>
              <w:pStyle w:val="96"/>
              <w:rPr>
                <w:rFonts w:hint="eastAsia" w:ascii="宋体" w:hAnsi="宋体" w:eastAsia="宋体" w:cs="宋体"/>
                <w:bCs/>
                <w:color w:val="auto"/>
                <w:szCs w:val="21"/>
                <w:vertAlign w:val="baseline"/>
              </w:rPr>
            </w:pPr>
          </w:p>
        </w:tc>
        <w:tc>
          <w:tcPr>
            <w:tcW w:w="800" w:type="dxa"/>
            <w:vAlign w:val="center"/>
          </w:tcPr>
          <w:p>
            <w:pPr>
              <w:jc w:val="center"/>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rPr>
              <w:t>人员投入安排与组织</w:t>
            </w:r>
          </w:p>
        </w:tc>
        <w:tc>
          <w:tcPr>
            <w:tcW w:w="6434" w:type="dxa"/>
            <w:vAlign w:val="center"/>
          </w:tcPr>
          <w:p>
            <w:pPr>
              <w:pStyle w:val="96"/>
              <w:numPr>
                <w:ilvl w:val="0"/>
                <w:numId w:val="8"/>
              </w:num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除项目总监和总监代表外，最低配备房屋建筑工程专业监理工程师</w:t>
            </w: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lang w:eastAsia="zh-CN"/>
              </w:rPr>
              <w:t>名（同时具备中级职称或以上职称）、监理员3名、安全监理员2名、资料员1名，造价工程师1名，满足上述人员配备的得</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分，缺少1名人员扣</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lang w:eastAsia="zh-CN"/>
              </w:rPr>
              <w:t>分。不提供不得分。</w:t>
            </w:r>
          </w:p>
          <w:p>
            <w:pPr>
              <w:pStyle w:val="96"/>
              <w:numPr>
                <w:ilvl w:val="0"/>
                <w:numId w:val="8"/>
              </w:num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本项最多得</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分。需提供身份证、职称证、相关资格证、注册证及近三个月在本单位购买的社保证明文件等证明材料。</w:t>
            </w:r>
          </w:p>
        </w:tc>
        <w:tc>
          <w:tcPr>
            <w:tcW w:w="850" w:type="dxa"/>
            <w:vMerge w:val="continue"/>
            <w:vAlign w:val="center"/>
          </w:tcPr>
          <w:p>
            <w:pPr>
              <w:pStyle w:val="96"/>
              <w:jc w:val="center"/>
              <w:rPr>
                <w:rFonts w:hint="eastAsia" w:ascii="宋体" w:hAnsi="宋体" w:eastAsia="宋体" w:cs="宋体"/>
                <w:bCs/>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vAlign w:val="center"/>
          </w:tcPr>
          <w:p>
            <w:pPr>
              <w:pStyle w:val="96"/>
              <w:jc w:val="center"/>
              <w:rPr>
                <w:rFonts w:hint="eastAsia" w:ascii="宋体" w:hAnsi="宋体" w:eastAsia="宋体" w:cs="宋体"/>
                <w:bCs/>
                <w:color w:val="auto"/>
                <w:szCs w:val="21"/>
                <w:vertAlign w:val="baseline"/>
                <w:lang w:eastAsia="zh-CN"/>
              </w:rPr>
            </w:pPr>
            <w:r>
              <w:rPr>
                <w:rFonts w:hint="eastAsia" w:ascii="宋体" w:hAnsi="宋体" w:eastAsia="宋体" w:cs="宋体"/>
                <w:bCs/>
                <w:color w:val="auto"/>
                <w:szCs w:val="21"/>
                <w:vertAlign w:val="baseline"/>
                <w:lang w:eastAsia="zh-CN"/>
              </w:rPr>
              <w:t>合计</w:t>
            </w:r>
          </w:p>
        </w:tc>
        <w:tc>
          <w:tcPr>
            <w:tcW w:w="850" w:type="dxa"/>
            <w:vAlign w:val="center"/>
          </w:tcPr>
          <w:p>
            <w:pPr>
              <w:pStyle w:val="96"/>
              <w:jc w:val="center"/>
              <w:rPr>
                <w:rFonts w:hint="eastAsia" w:ascii="宋体" w:hAnsi="宋体" w:eastAsia="宋体" w:cs="宋体"/>
                <w:bCs/>
                <w:color w:val="auto"/>
                <w:szCs w:val="21"/>
                <w:vertAlign w:val="baseline"/>
                <w:lang w:val="en-US" w:eastAsia="zh-CN"/>
              </w:rPr>
            </w:pPr>
            <w:r>
              <w:rPr>
                <w:rFonts w:hint="eastAsia" w:ascii="宋体" w:hAnsi="宋体" w:eastAsia="宋体" w:cs="宋体"/>
                <w:bCs/>
                <w:color w:val="auto"/>
                <w:szCs w:val="21"/>
                <w:vertAlign w:val="baseline"/>
                <w:lang w:val="en-US" w:eastAsia="zh-CN"/>
              </w:rPr>
              <w:t>30分</w:t>
            </w:r>
          </w:p>
        </w:tc>
      </w:tr>
    </w:tbl>
    <w:p>
      <w:pPr>
        <w:pStyle w:val="96"/>
        <w:rPr>
          <w:rFonts w:hint="eastAsia" w:ascii="宋体" w:hAnsi="宋体" w:eastAsia="宋体" w:cs="宋体"/>
          <w:bCs/>
          <w:color w:val="auto"/>
          <w:szCs w:val="21"/>
        </w:rPr>
      </w:pPr>
    </w:p>
    <w:p>
      <w:pPr>
        <w:tabs>
          <w:tab w:val="left" w:pos="720"/>
        </w:tabs>
        <w:snapToGrid w:val="0"/>
        <w:ind w:firstLine="210" w:firstLineChars="100"/>
        <w:rPr>
          <w:rFonts w:hint="eastAsia" w:ascii="宋体" w:hAnsi="宋体" w:eastAsia="宋体" w:cs="宋体"/>
          <w:bCs/>
          <w:color w:val="auto"/>
          <w:szCs w:val="21"/>
        </w:rPr>
      </w:pPr>
    </w:p>
    <w:p>
      <w:pPr>
        <w:snapToGrid w:val="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bCs/>
          <w:color w:val="auto"/>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eastAsia="宋体" w:cs="宋体"/>
          <w:color w:val="auto"/>
        </w:rPr>
      </w:pPr>
    </w:p>
    <w:p>
      <w:pPr>
        <w:tabs>
          <w:tab w:val="left" w:pos="720"/>
        </w:tabs>
        <w:snapToGrid w:val="0"/>
        <w:ind w:firstLine="210" w:firstLineChars="100"/>
        <w:rPr>
          <w:rFonts w:hint="eastAsia" w:ascii="宋体" w:hAnsi="宋体" w:eastAsia="宋体" w:cs="宋体"/>
          <w:color w:val="auto"/>
        </w:rPr>
      </w:pPr>
      <w:r>
        <w:rPr>
          <w:rFonts w:hint="eastAsia" w:ascii="宋体" w:hAnsi="宋体" w:eastAsia="宋体" w:cs="宋体"/>
          <w:color w:val="auto"/>
        </w:rPr>
        <w:t>评委签名：                                                    日期：   年  月  日</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附件4     价格评审表</w:t>
      </w:r>
    </w:p>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项目编号：</w:t>
      </w:r>
    </w:p>
    <w:p>
      <w:pPr>
        <w:spacing w:line="360" w:lineRule="auto"/>
        <w:rPr>
          <w:rFonts w:hint="eastAsia" w:ascii="宋体" w:hAnsi="宋体" w:eastAsia="宋体" w:cs="宋体"/>
          <w:color w:val="auto"/>
          <w:szCs w:val="21"/>
        </w:rPr>
      </w:pPr>
      <w:r>
        <w:rPr>
          <w:rFonts w:hint="eastAsia" w:ascii="宋体" w:hAnsi="宋体" w:eastAsia="宋体" w:cs="宋体"/>
          <w:bCs/>
          <w:color w:val="auto"/>
          <w:szCs w:val="21"/>
        </w:rPr>
        <w:t>项目名称：</w:t>
      </w:r>
    </w:p>
    <w:tbl>
      <w:tblPr>
        <w:tblStyle w:val="88"/>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有效供应商</w:t>
            </w:r>
          </w:p>
          <w:p>
            <w:pPr>
              <w:widowControl/>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hint="eastAsia" w:ascii="宋体" w:hAnsi="宋体" w:eastAsia="宋体" w:cs="宋体"/>
                <w:color w:val="auto"/>
                <w:kern w:val="0"/>
                <w:szCs w:val="21"/>
              </w:rPr>
            </w:pPr>
            <w:r>
              <w:rPr>
                <w:rFonts w:hint="eastAsia" w:ascii="宋体" w:hAnsi="宋体" w:eastAsia="宋体" w:cs="宋体"/>
                <w:color w:val="auto"/>
                <w:kern w:val="0"/>
                <w:szCs w:val="21"/>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b/>
          <w:color w:val="auto"/>
          <w:kern w:val="0"/>
          <w:szCs w:val="21"/>
        </w:rPr>
      </w:pPr>
    </w:p>
    <w:p>
      <w:pPr>
        <w:spacing w:line="360" w:lineRule="auto"/>
        <w:rPr>
          <w:rFonts w:hint="eastAsia" w:ascii="宋体" w:hAnsi="宋体" w:eastAsia="宋体" w:cs="宋体"/>
          <w:b/>
          <w:color w:val="auto"/>
          <w:kern w:val="0"/>
          <w:szCs w:val="21"/>
        </w:rPr>
      </w:pPr>
      <w:r>
        <w:rPr>
          <w:rFonts w:hint="eastAsia" w:ascii="宋体" w:hAnsi="宋体" w:eastAsia="宋体" w:cs="宋体"/>
          <w:b/>
          <w:color w:val="auto"/>
          <w:kern w:val="0"/>
          <w:szCs w:val="21"/>
        </w:rPr>
        <w:t>注：</w:t>
      </w:r>
    </w:p>
    <w:p>
      <w:pPr>
        <w:autoSpaceDE w:val="0"/>
        <w:autoSpaceDN w:val="0"/>
        <w:adjustRightInd w:val="0"/>
        <w:snapToGrid w:val="0"/>
        <w:spacing w:line="360" w:lineRule="auto"/>
        <w:ind w:firstLine="632" w:firstLineChars="3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价格评分：</w:t>
      </w:r>
      <w:r>
        <w:rPr>
          <w:rFonts w:hint="eastAsia" w:ascii="宋体" w:hAnsi="宋体" w:eastAsia="宋体" w:cs="宋体"/>
          <w:b/>
          <w:bCs/>
          <w:color w:val="auto"/>
          <w:sz w:val="24"/>
          <w:szCs w:val="24"/>
          <w:highlight w:val="none"/>
        </w:rPr>
        <w:t>监理报价以竞争性报价形式的，监理报价得分以评标基准价作为计算各有效投标价得分的基础，当有效投标报价等于评标基准价时得10分；投标有效投价与评标基准价相比，每上偏 1 %扣0.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分,每下偏1%扣0.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分，最多扣10分</w:t>
      </w:r>
      <w:r>
        <w:rPr>
          <w:rFonts w:hint="eastAsia" w:ascii="宋体" w:hAnsi="宋体" w:eastAsia="宋体" w:cs="宋体"/>
          <w:b/>
          <w:bCs/>
          <w:color w:val="auto"/>
          <w:sz w:val="24"/>
          <w:szCs w:val="24"/>
          <w:highlight w:val="none"/>
          <w:lang w:eastAsia="zh-CN"/>
        </w:rPr>
        <w:t>；</w:t>
      </w:r>
    </w:p>
    <w:p>
      <w:pPr>
        <w:autoSpaceDE w:val="0"/>
        <w:autoSpaceDN w:val="0"/>
        <w:adjustRightInd w:val="0"/>
        <w:snapToGrid w:val="0"/>
        <w:spacing w:line="360" w:lineRule="auto"/>
        <w:ind w:firstLine="632" w:firstLineChars="3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偏差率=|（投标报价-评标基准价）|÷评标基准价×100%（偏差率以四舍五入的保留2位小数点，报价偏差率不足1%的，按直线内插法计算投标报价得分）</w:t>
      </w:r>
      <w:r>
        <w:rPr>
          <w:rFonts w:hint="eastAsia" w:ascii="宋体" w:hAnsi="宋体" w:eastAsia="宋体" w:cs="宋体"/>
          <w:b/>
          <w:bCs/>
          <w:color w:val="auto"/>
          <w:szCs w:val="21"/>
          <w:highlight w:val="none"/>
          <w:lang w:eastAsia="zh-CN"/>
        </w:rPr>
        <w:t>；</w:t>
      </w:r>
    </w:p>
    <w:p>
      <w:pPr>
        <w:adjustRightInd w:val="0"/>
        <w:snapToGrid w:val="0"/>
        <w:spacing w:line="360" w:lineRule="auto"/>
        <w:ind w:left="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评标基准价计算方法</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所有入围的有效投标人的投标价的算术平均值的作为评标基准价。</w:t>
      </w:r>
    </w:p>
    <w:p>
      <w:pPr>
        <w:adjustRightInd w:val="0"/>
        <w:snapToGrid w:val="0"/>
        <w:spacing w:line="360" w:lineRule="auto"/>
        <w:ind w:left="420"/>
        <w:jc w:val="left"/>
        <w:rPr>
          <w:rFonts w:hint="eastAsia" w:ascii="宋体" w:hAnsi="宋体" w:eastAsia="宋体" w:cs="宋体"/>
          <w:b/>
          <w:color w:val="auto"/>
          <w:kern w:val="0"/>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pStyle w:val="4"/>
        <w:autoSpaceDE w:val="0"/>
        <w:rPr>
          <w:rFonts w:hint="eastAsia" w:ascii="宋体" w:hAnsi="宋体" w:eastAsia="宋体" w:cs="宋体"/>
          <w:color w:val="auto"/>
          <w:sz w:val="44"/>
        </w:rPr>
      </w:pPr>
      <w:bookmarkStart w:id="586" w:name="_Toc475104537"/>
      <w:bookmarkStart w:id="587" w:name="_Toc320515058"/>
    </w:p>
    <w:p>
      <w:pPr>
        <w:pStyle w:val="4"/>
        <w:autoSpaceDE w:val="0"/>
        <w:rPr>
          <w:rFonts w:hint="eastAsia" w:ascii="宋体" w:hAnsi="宋体" w:eastAsia="宋体" w:cs="宋体"/>
          <w:color w:val="auto"/>
          <w:sz w:val="44"/>
        </w:rPr>
      </w:pPr>
    </w:p>
    <w:p>
      <w:pPr>
        <w:pStyle w:val="4"/>
        <w:autoSpaceDE w:val="0"/>
        <w:rPr>
          <w:rFonts w:hint="eastAsia" w:ascii="宋体" w:hAnsi="宋体" w:eastAsia="宋体" w:cs="宋体"/>
          <w:color w:val="auto"/>
          <w:sz w:val="44"/>
        </w:rPr>
      </w:pPr>
    </w:p>
    <w:p>
      <w:pPr>
        <w:pStyle w:val="4"/>
        <w:autoSpaceDE w:val="0"/>
        <w:rPr>
          <w:rFonts w:hint="eastAsia" w:ascii="宋体" w:hAnsi="宋体" w:eastAsia="宋体" w:cs="宋体"/>
          <w:color w:val="auto"/>
          <w:sz w:val="44"/>
        </w:rPr>
      </w:pPr>
    </w:p>
    <w:p>
      <w:pPr>
        <w:pStyle w:val="4"/>
        <w:autoSpaceDE w:val="0"/>
        <w:rPr>
          <w:rFonts w:hint="eastAsia" w:ascii="宋体" w:hAnsi="宋体" w:eastAsia="宋体" w:cs="宋体"/>
          <w:color w:val="auto"/>
          <w:sz w:val="44"/>
        </w:rPr>
      </w:pPr>
      <w:bookmarkStart w:id="588" w:name="_Toc19826"/>
      <w:bookmarkStart w:id="589" w:name="_Toc5390"/>
      <w:r>
        <w:rPr>
          <w:rFonts w:hint="eastAsia" w:ascii="宋体" w:hAnsi="宋体" w:eastAsia="宋体" w:cs="宋体"/>
          <w:color w:val="auto"/>
          <w:sz w:val="44"/>
        </w:rPr>
        <w:t>第六章 附  件（格式）</w:t>
      </w:r>
      <w:bookmarkEnd w:id="586"/>
      <w:bookmarkEnd w:id="587"/>
      <w:bookmarkEnd w:id="588"/>
      <w:bookmarkEnd w:id="589"/>
    </w:p>
    <w:p>
      <w:pPr>
        <w:spacing w:line="360" w:lineRule="auto"/>
        <w:rPr>
          <w:rFonts w:hint="eastAsia" w:ascii="宋体" w:hAnsi="宋体" w:eastAsia="宋体" w:cs="宋体"/>
          <w:bCs/>
          <w:color w:val="auto"/>
          <w:sz w:val="28"/>
        </w:rPr>
      </w:pPr>
      <w:bookmarkStart w:id="590" w:name="_Toc35834912"/>
      <w:bookmarkStart w:id="591" w:name="_Toc28489496"/>
      <w:bookmarkStart w:id="592" w:name="_Toc14450838"/>
      <w:bookmarkStart w:id="593" w:name="_Toc109467908"/>
      <w:bookmarkStart w:id="594" w:name="_Toc34535358"/>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bCs/>
          <w:color w:val="auto"/>
          <w:sz w:val="28"/>
        </w:rPr>
      </w:pPr>
    </w:p>
    <w:p>
      <w:pPr>
        <w:spacing w:line="360" w:lineRule="auto"/>
        <w:rPr>
          <w:rFonts w:hint="eastAsia" w:ascii="宋体" w:hAnsi="宋体" w:eastAsia="宋体" w:cs="宋体"/>
          <w:color w:val="auto"/>
          <w:szCs w:val="30"/>
        </w:rPr>
      </w:pPr>
    </w:p>
    <w:p>
      <w:pPr>
        <w:rPr>
          <w:rFonts w:hint="eastAsia" w:ascii="宋体" w:hAnsi="宋体" w:eastAsia="宋体" w:cs="宋体"/>
          <w:color w:val="auto"/>
          <w:szCs w:val="30"/>
        </w:rPr>
      </w:pPr>
      <w:bookmarkStart w:id="595" w:name="_Toc163481918"/>
      <w:r>
        <w:rPr>
          <w:rFonts w:hint="eastAsia" w:ascii="宋体" w:hAnsi="宋体" w:eastAsia="宋体" w:cs="宋体"/>
          <w:color w:val="auto"/>
          <w:szCs w:val="30"/>
        </w:rPr>
        <w:br w:type="page"/>
      </w:r>
    </w:p>
    <w:p>
      <w:pPr>
        <w:pStyle w:val="5"/>
        <w:numPr>
          <w:ilvl w:val="0"/>
          <w:numId w:val="9"/>
        </w:numPr>
        <w:tabs>
          <w:tab w:val="left" w:pos="630"/>
          <w:tab w:val="clear" w:pos="420"/>
        </w:tabs>
        <w:autoSpaceDE w:val="0"/>
        <w:adjustRightInd/>
        <w:spacing w:before="48" w:after="48"/>
        <w:ind w:left="630" w:hanging="630"/>
        <w:jc w:val="left"/>
        <w:textAlignment w:val="auto"/>
        <w:rPr>
          <w:rFonts w:hint="eastAsia" w:ascii="宋体" w:hAnsi="宋体" w:eastAsia="宋体" w:cs="宋体"/>
          <w:color w:val="auto"/>
          <w:szCs w:val="30"/>
        </w:rPr>
      </w:pPr>
      <w:r>
        <w:rPr>
          <w:rFonts w:hint="eastAsia" w:ascii="宋体" w:hAnsi="宋体" w:eastAsia="宋体" w:cs="宋体"/>
          <w:color w:val="auto"/>
          <w:szCs w:val="30"/>
        </w:rPr>
        <w:t>磋商响应文件格式</w:t>
      </w:r>
      <w:bookmarkEnd w:id="595"/>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磋商响应文件请按以下要求的顺序和格式制作。</w:t>
      </w:r>
    </w:p>
    <w:tbl>
      <w:tblPr>
        <w:tblStyle w:val="88"/>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szCs w:val="20"/>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kern w:val="0"/>
                <w:szCs w:val="21"/>
              </w:rPr>
              <w:t>具有良好的商业信誉和健全的财务会计制度【提供书面承诺声明】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szCs w:val="20"/>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kern w:val="0"/>
                <w:szCs w:val="21"/>
              </w:rPr>
              <w:t>有依法缴纳税收和社会保障资金的良好记录【提供书面承诺声明】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szCs w:val="20"/>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99"/>
              <w:rPr>
                <w:rFonts w:hint="eastAsia" w:ascii="宋体" w:hAnsi="宋体" w:eastAsia="宋体" w:cs="宋体"/>
                <w:color w:val="auto"/>
              </w:rPr>
            </w:pPr>
            <w:r>
              <w:rPr>
                <w:rFonts w:hint="eastAsia" w:ascii="宋体" w:hAnsi="宋体" w:eastAsia="宋体" w:cs="宋体"/>
                <w:color w:val="auto"/>
                <w:sz w:val="21"/>
                <w:szCs w:val="21"/>
              </w:rPr>
              <w:t>供应商须具有承接本工程所需的</w:t>
            </w:r>
            <w:r>
              <w:rPr>
                <w:rFonts w:hint="eastAsia" w:ascii="宋体" w:hAnsi="宋体" w:eastAsia="宋体" w:cs="宋体"/>
                <w:color w:val="auto"/>
                <w:sz w:val="21"/>
                <w:szCs w:val="21"/>
                <w:lang w:eastAsia="zh-CN"/>
              </w:rPr>
              <w:t>监理综合资质或房屋建筑</w:t>
            </w:r>
            <w:r>
              <w:rPr>
                <w:rFonts w:hint="eastAsia" w:ascii="宋体" w:hAnsi="宋体" w:eastAsia="宋体" w:cs="宋体"/>
                <w:color w:val="auto"/>
                <w:sz w:val="21"/>
                <w:szCs w:val="21"/>
              </w:rPr>
              <w:t>工程</w:t>
            </w:r>
            <w:r>
              <w:rPr>
                <w:rFonts w:hint="eastAsia" w:ascii="宋体" w:hAnsi="宋体" w:eastAsia="宋体" w:cs="宋体"/>
                <w:color w:val="auto"/>
                <w:sz w:val="21"/>
                <w:szCs w:val="21"/>
                <w:lang w:eastAsia="zh-CN"/>
              </w:rPr>
              <w:t>监理乙</w:t>
            </w:r>
            <w:r>
              <w:rPr>
                <w:rFonts w:hint="eastAsia" w:ascii="宋体" w:hAnsi="宋体" w:eastAsia="宋体" w:cs="宋体"/>
                <w:color w:val="auto"/>
                <w:sz w:val="21"/>
                <w:szCs w:val="21"/>
              </w:rPr>
              <w:t>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szCs w:val="21"/>
              </w:rPr>
            </w:pPr>
            <w:r>
              <w:rPr>
                <w:rFonts w:hint="eastAsia" w:ascii="宋体" w:hAnsi="宋体" w:eastAsia="宋体" w:cs="宋体"/>
                <w:color w:val="auto"/>
                <w:sz w:val="24"/>
                <w:szCs w:val="24"/>
                <w:highlight w:val="none"/>
              </w:rPr>
              <w:t>总监理工程师：拟派总监理工程师须具有建设部2006年4月1日后颁发的中华人民共和国注册监理工程师注册执业证书，且其注册证书专业为</w:t>
            </w:r>
            <w:r>
              <w:rPr>
                <w:rFonts w:hint="eastAsia" w:ascii="宋体" w:hAnsi="宋体" w:eastAsia="宋体" w:cs="宋体"/>
                <w:color w:val="auto"/>
                <w:sz w:val="24"/>
                <w:szCs w:val="24"/>
                <w:highlight w:val="none"/>
                <w:u w:val="single"/>
                <w:lang w:eastAsia="zh-CN"/>
              </w:rPr>
              <w:t>房屋建筑工程</w:t>
            </w:r>
            <w:r>
              <w:rPr>
                <w:rFonts w:hint="eastAsia" w:ascii="宋体" w:hAnsi="宋体" w:eastAsia="宋体" w:cs="宋体"/>
                <w:color w:val="auto"/>
                <w:sz w:val="24"/>
                <w:szCs w:val="24"/>
                <w:highlight w:val="none"/>
              </w:rPr>
              <w:t>，注册执业单位为本公司；或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kern w:val="0"/>
                <w:szCs w:val="21"/>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szCs w:val="21"/>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宋体" w:cs="宋体"/>
                <w:color w:val="auto"/>
                <w:szCs w:val="20"/>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auto"/>
                <w:kern w:val="0"/>
                <w:szCs w:val="21"/>
              </w:rPr>
            </w:pPr>
            <w:r>
              <w:rPr>
                <w:rFonts w:hint="eastAsia" w:ascii="宋体" w:hAnsi="宋体" w:eastAsia="宋体" w:cs="宋体"/>
                <w:color w:val="auto"/>
                <w:szCs w:val="21"/>
              </w:rPr>
              <w:t>本项目不接受联合体投标。</w:t>
            </w:r>
            <w:r>
              <w:rPr>
                <w:rFonts w:hint="eastAsia" w:ascii="宋体" w:hAnsi="宋体" w:eastAsia="宋体" w:cs="宋体"/>
                <w:color w:val="auto"/>
                <w:szCs w:val="20"/>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rPr>
            </w:pPr>
            <w:r>
              <w:rPr>
                <w:rFonts w:hint="eastAsia" w:ascii="宋体" w:hAnsi="宋体" w:eastAsia="宋体" w:cs="宋体"/>
                <w:color w:val="auto"/>
                <w:kern w:val="0"/>
                <w:szCs w:val="21"/>
              </w:rPr>
              <w:t>书面承诺声明（附件4)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同意竞争性</w:t>
            </w:r>
            <w:r>
              <w:rPr>
                <w:rFonts w:hint="eastAsia" w:ascii="宋体" w:hAnsi="宋体" w:eastAsia="宋体" w:cs="宋体"/>
                <w:bCs/>
                <w:color w:val="auto"/>
                <w:szCs w:val="21"/>
              </w:rPr>
              <w:t>磋商</w:t>
            </w:r>
            <w:r>
              <w:rPr>
                <w:rFonts w:hint="eastAsia" w:ascii="宋体" w:hAnsi="宋体" w:eastAsia="宋体" w:cs="宋体"/>
                <w:color w:val="auto"/>
                <w:kern w:val="0"/>
                <w:szCs w:val="21"/>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bCs/>
                <w:color w:val="auto"/>
                <w:kern w:val="0"/>
                <w:szCs w:val="21"/>
              </w:rPr>
              <w:t>产品适用政府采购政策情况表</w:t>
            </w:r>
            <w:r>
              <w:rPr>
                <w:rFonts w:hint="eastAsia" w:ascii="宋体" w:hAnsi="宋体" w:eastAsia="宋体" w:cs="宋体"/>
                <w:color w:val="auto"/>
                <w:kern w:val="0"/>
                <w:szCs w:val="21"/>
              </w:rPr>
              <w:t>(附件</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中小企业声明函（附件</w:t>
            </w:r>
            <w:r>
              <w:rPr>
                <w:rFonts w:hint="eastAsia" w:ascii="宋体" w:hAnsi="宋体" w:cs="宋体"/>
                <w:bCs/>
                <w:color w:val="auto"/>
                <w:kern w:val="0"/>
                <w:szCs w:val="21"/>
                <w:lang w:val="en-US" w:eastAsia="zh-CN"/>
              </w:rPr>
              <w:t>9</w:t>
            </w:r>
            <w:r>
              <w:rPr>
                <w:rFonts w:hint="eastAsia" w:ascii="宋体" w:hAnsi="宋体" w:eastAsia="宋体" w:cs="宋体"/>
                <w:bCs/>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bCs/>
                <w:color w:val="auto"/>
                <w:kern w:val="0"/>
                <w:szCs w:val="21"/>
              </w:rPr>
            </w:pPr>
            <w:r>
              <w:rPr>
                <w:rFonts w:hint="eastAsia" w:ascii="宋体" w:hAnsi="宋体" w:eastAsia="宋体" w:cs="宋体"/>
                <w:bCs/>
                <w:color w:val="auto"/>
                <w:kern w:val="0"/>
                <w:szCs w:val="21"/>
              </w:rPr>
              <w:t>监狱企业的证明文件（如适用）</w:t>
            </w:r>
            <w:r>
              <w:rPr>
                <w:rFonts w:hint="eastAsia" w:ascii="宋体" w:hAnsi="宋体" w:eastAsia="宋体" w:cs="宋体"/>
                <w:color w:val="auto"/>
                <w:kern w:val="0"/>
                <w:szCs w:val="21"/>
              </w:rPr>
              <w:t>（附件1</w:t>
            </w:r>
            <w:r>
              <w:rPr>
                <w:rFonts w:hint="eastAsia" w:ascii="宋体" w:hAnsi="宋体" w:cs="宋体"/>
                <w:color w:val="auto"/>
                <w:kern w:val="0"/>
                <w:szCs w:val="21"/>
                <w:lang w:val="en-US" w:eastAsia="zh-CN"/>
              </w:rPr>
              <w:t>0</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bCs/>
                <w:color w:val="auto"/>
                <w:kern w:val="0"/>
                <w:szCs w:val="21"/>
              </w:rPr>
            </w:pPr>
            <w:r>
              <w:rPr>
                <w:rFonts w:hint="eastAsia" w:ascii="宋体" w:hAnsi="宋体" w:eastAsia="宋体" w:cs="宋体"/>
                <w:bCs/>
                <w:color w:val="auto"/>
                <w:kern w:val="0"/>
                <w:szCs w:val="21"/>
              </w:rPr>
              <w:t>残疾人福利性单位声明函（如适用）</w:t>
            </w:r>
            <w:r>
              <w:rPr>
                <w:rFonts w:hint="eastAsia" w:ascii="宋体" w:hAnsi="宋体" w:eastAsia="宋体" w:cs="宋体"/>
                <w:color w:val="auto"/>
                <w:kern w:val="0"/>
                <w:szCs w:val="21"/>
              </w:rPr>
              <w:t>（附件1</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供应商基本情况表( 附件1</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采购需求响应表( 附件1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合同条款响应一览表( 附件1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同类项目业绩一览表( 附件1</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技术服务方案( 附件1</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拟派本项目负责人及主要人员情况表（附件1</w:t>
            </w:r>
            <w:r>
              <w:rPr>
                <w:rFonts w:hint="eastAsia" w:ascii="宋体" w:hAnsi="宋体" w:cs="宋体"/>
                <w:color w:val="auto"/>
                <w:kern w:val="0"/>
                <w:szCs w:val="21"/>
                <w:lang w:val="en-US" w:eastAsia="zh-CN"/>
              </w:rPr>
              <w:t>7</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实质性条款响应一览表（附件1</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▲条款响应一览表（附件</w:t>
            </w:r>
            <w:r>
              <w:rPr>
                <w:rFonts w:hint="eastAsia" w:ascii="宋体" w:hAnsi="宋体" w:cs="宋体"/>
                <w:color w:val="auto"/>
                <w:kern w:val="0"/>
                <w:szCs w:val="21"/>
                <w:lang w:val="en-US" w:eastAsia="zh-CN"/>
              </w:rPr>
              <w:t>19</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napToGrid w:val="0"/>
              <w:spacing w:line="360" w:lineRule="auto"/>
              <w:jc w:val="center"/>
              <w:rPr>
                <w:rFonts w:hint="eastAsia" w:ascii="宋体" w:hAnsi="宋体" w:eastAsia="宋体" w:cs="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供应商认为有必要说明的其他文件(附件2</w:t>
            </w:r>
            <w:r>
              <w:rPr>
                <w:rFonts w:hint="eastAsia" w:ascii="宋体" w:hAnsi="宋体" w:cs="宋体"/>
                <w:color w:val="auto"/>
                <w:kern w:val="0"/>
                <w:szCs w:val="21"/>
                <w:lang w:val="en-US" w:eastAsia="zh-CN"/>
              </w:rPr>
              <w:t>0</w:t>
            </w:r>
            <w:r>
              <w:rPr>
                <w:rFonts w:hint="eastAsia" w:ascii="宋体" w:hAnsi="宋体" w:eastAsia="宋体"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eastAsia="宋体" w:cs="宋体"/>
                <w:color w:val="auto"/>
                <w:kern w:val="0"/>
                <w:szCs w:val="21"/>
              </w:rPr>
            </w:pPr>
          </w:p>
        </w:tc>
      </w:tr>
    </w:tbl>
    <w:p>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注：如提交的文件为复印件，需加盖公章。所有证书类文件提供复印件且必须在有效期内。</w:t>
      </w: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spacing w:line="360" w:lineRule="auto"/>
        <w:ind w:firstLine="422" w:firstLineChars="200"/>
        <w:rPr>
          <w:rFonts w:hint="eastAsia" w:ascii="宋体" w:hAnsi="宋体" w:eastAsia="宋体" w:cs="宋体"/>
          <w:b/>
          <w:color w:val="auto"/>
          <w:szCs w:val="21"/>
        </w:rPr>
      </w:pPr>
    </w:p>
    <w:p>
      <w:pPr>
        <w:rPr>
          <w:rFonts w:hint="eastAsia" w:ascii="宋体" w:hAnsi="宋体" w:eastAsia="宋体" w:cs="宋体"/>
          <w:color w:val="auto"/>
          <w:szCs w:val="30"/>
        </w:rPr>
      </w:pPr>
    </w:p>
    <w:p>
      <w:pPr>
        <w:rPr>
          <w:rFonts w:hint="eastAsia" w:ascii="宋体" w:hAnsi="宋体" w:eastAsia="宋体" w:cs="宋体"/>
          <w:color w:val="auto"/>
          <w:szCs w:val="30"/>
        </w:rPr>
      </w:pPr>
      <w:r>
        <w:rPr>
          <w:rFonts w:hint="eastAsia" w:ascii="宋体" w:hAnsi="宋体" w:eastAsia="宋体" w:cs="宋体"/>
          <w:color w:val="auto"/>
          <w:szCs w:val="30"/>
        </w:rPr>
        <w:br w:type="page"/>
      </w:r>
    </w:p>
    <w:p>
      <w:pPr>
        <w:pStyle w:val="5"/>
        <w:numPr>
          <w:ilvl w:val="0"/>
          <w:numId w:val="9"/>
        </w:numPr>
        <w:tabs>
          <w:tab w:val="left" w:pos="630"/>
          <w:tab w:val="clear" w:pos="420"/>
        </w:tabs>
        <w:autoSpaceDE w:val="0"/>
        <w:adjustRightInd/>
        <w:spacing w:before="48" w:after="48"/>
        <w:ind w:left="630" w:hanging="630"/>
        <w:jc w:val="left"/>
        <w:textAlignment w:val="auto"/>
        <w:rPr>
          <w:rFonts w:hint="eastAsia" w:ascii="宋体" w:hAnsi="宋体" w:eastAsia="宋体" w:cs="宋体"/>
          <w:color w:val="auto"/>
          <w:szCs w:val="30"/>
        </w:rPr>
      </w:pPr>
      <w:r>
        <w:rPr>
          <w:rFonts w:hint="eastAsia" w:ascii="宋体" w:hAnsi="宋体" w:eastAsia="宋体" w:cs="宋体"/>
          <w:color w:val="auto"/>
          <w:szCs w:val="30"/>
        </w:rPr>
        <w:t>报价信封内容</w:t>
      </w:r>
    </w:p>
    <w:p>
      <w:pPr>
        <w:spacing w:line="360" w:lineRule="auto"/>
        <w:jc w:val="center"/>
        <w:rPr>
          <w:rFonts w:hint="eastAsia" w:ascii="宋体" w:hAnsi="宋体" w:eastAsia="宋体" w:cs="宋体"/>
          <w:bCs/>
          <w:color w:val="auto"/>
          <w:sz w:val="24"/>
        </w:rPr>
      </w:pPr>
    </w:p>
    <w:p>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报价信封必须单独密封（该信封不要放入其它信封内），封口加盖公章，与磋商响应文件一同递交，其内装以下内容：</w:t>
      </w:r>
    </w:p>
    <w:p>
      <w:pPr>
        <w:spacing w:line="360" w:lineRule="auto"/>
        <w:ind w:left="540"/>
        <w:rPr>
          <w:rFonts w:hint="eastAsia" w:ascii="宋体" w:hAnsi="宋体" w:eastAsia="宋体" w:cs="宋体"/>
          <w:bCs/>
          <w:color w:val="auto"/>
          <w:szCs w:val="21"/>
        </w:rPr>
      </w:pPr>
      <w:r>
        <w:rPr>
          <w:rFonts w:hint="eastAsia" w:ascii="宋体" w:hAnsi="宋体" w:eastAsia="宋体" w:cs="宋体"/>
          <w:bCs/>
          <w:color w:val="auto"/>
          <w:szCs w:val="21"/>
        </w:rPr>
        <w:t>（1）报价一览表</w:t>
      </w:r>
    </w:p>
    <w:p>
      <w:pPr>
        <w:spacing w:line="360" w:lineRule="auto"/>
        <w:ind w:left="540"/>
        <w:rPr>
          <w:rFonts w:hint="eastAsia" w:ascii="宋体" w:hAnsi="宋体" w:eastAsia="宋体" w:cs="宋体"/>
          <w:bCs/>
          <w:color w:val="auto"/>
          <w:szCs w:val="21"/>
        </w:rPr>
      </w:pPr>
      <w:r>
        <w:rPr>
          <w:rFonts w:hint="eastAsia" w:ascii="宋体" w:hAnsi="宋体" w:eastAsia="宋体" w:cs="宋体"/>
          <w:bCs/>
          <w:color w:val="auto"/>
          <w:szCs w:val="21"/>
        </w:rPr>
        <w:t>（2）电子文档一份</w:t>
      </w:r>
    </w:p>
    <w:p>
      <w:pPr>
        <w:spacing w:line="360" w:lineRule="auto"/>
        <w:ind w:left="54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eastAsia="宋体" w:cs="宋体"/>
          <w:color w:val="auto"/>
          <w:kern w:val="0"/>
          <w:szCs w:val="21"/>
        </w:rPr>
        <w:t>法定代表人授权书</w:t>
      </w: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ind w:left="540"/>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r>
        <w:rPr>
          <w:rFonts w:hint="eastAsia" w:ascii="宋体" w:hAnsi="宋体" w:eastAsia="宋体" w:cs="宋体"/>
          <w:b/>
          <w:bCs/>
          <w:color w:val="auto"/>
          <w:kern w:val="0"/>
          <w:sz w:val="28"/>
          <w:szCs w:val="28"/>
        </w:rPr>
        <w:t>附件1 竞争性磋商函</w:t>
      </w:r>
    </w:p>
    <w:p>
      <w:pPr>
        <w:spacing w:line="360" w:lineRule="auto"/>
        <w:jc w:val="left"/>
        <w:rPr>
          <w:rFonts w:hint="eastAsia" w:ascii="宋体" w:hAnsi="宋体" w:eastAsia="宋体" w:cs="宋体"/>
          <w:color w:val="auto"/>
          <w:szCs w:val="21"/>
        </w:rPr>
      </w:pP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致：成致项目管理有限公司</w:t>
      </w:r>
    </w:p>
    <w:p>
      <w:pPr>
        <w:autoSpaceDE w:val="0"/>
        <w:spacing w:line="500" w:lineRule="exact"/>
        <w:ind w:firstLine="480"/>
        <w:jc w:val="left"/>
        <w:rPr>
          <w:rFonts w:hint="eastAsia" w:ascii="宋体" w:hAnsi="宋体" w:eastAsia="宋体" w:cs="宋体"/>
          <w:color w:val="auto"/>
          <w:szCs w:val="21"/>
        </w:rPr>
      </w:pPr>
      <w:r>
        <w:rPr>
          <w:rFonts w:hint="eastAsia" w:ascii="宋体" w:hAnsi="宋体" w:eastAsia="宋体" w:cs="宋体"/>
          <w:color w:val="auto"/>
          <w:szCs w:val="21"/>
        </w:rPr>
        <w:t>我方确认收到你方提供的</w:t>
      </w:r>
      <w:r>
        <w:rPr>
          <w:rFonts w:hint="eastAsia" w:ascii="宋体" w:hAnsi="宋体" w:eastAsia="宋体" w:cs="宋体"/>
          <w:color w:val="auto"/>
          <w:sz w:val="2"/>
          <w:szCs w:val="2"/>
        </w:rPr>
        <w:t>UUU</w:t>
      </w:r>
      <w:r>
        <w:rPr>
          <w:rFonts w:hint="eastAsia" w:ascii="宋体" w:hAnsi="宋体" w:eastAsia="宋体" w:cs="宋体"/>
          <w:color w:val="auto"/>
          <w:sz w:val="2"/>
          <w:szCs w:val="2"/>
          <w:u w:val="single"/>
        </w:rPr>
        <w:t>U</w:t>
      </w:r>
      <w:r>
        <w:rPr>
          <w:rFonts w:hint="eastAsia" w:ascii="宋体" w:hAnsi="宋体" w:eastAsia="宋体" w:cs="宋体"/>
          <w:bCs/>
          <w:color w:val="auto"/>
          <w:u w:val="single"/>
        </w:rPr>
        <w:t xml:space="preserve">项目名称     </w:t>
      </w:r>
      <w:r>
        <w:rPr>
          <w:rFonts w:hint="eastAsia" w:ascii="宋体" w:hAnsi="宋体" w:eastAsia="宋体" w:cs="宋体"/>
          <w:color w:val="auto"/>
          <w:sz w:val="2"/>
          <w:szCs w:val="2"/>
          <w:u w:val="single"/>
        </w:rPr>
        <w:t>UU</w:t>
      </w:r>
      <w:r>
        <w:rPr>
          <w:rFonts w:hint="eastAsia" w:ascii="宋体" w:hAnsi="宋体" w:eastAsia="宋体" w:cs="宋体"/>
          <w:color w:val="auto"/>
          <w:sz w:val="2"/>
          <w:szCs w:val="2"/>
        </w:rPr>
        <w:t>UU</w:t>
      </w:r>
      <w:r>
        <w:rPr>
          <w:rFonts w:hint="eastAsia" w:ascii="宋体" w:hAnsi="宋体" w:eastAsia="宋体" w:cs="宋体"/>
          <w:color w:val="auto"/>
          <w:szCs w:val="21"/>
        </w:rPr>
        <w:t>及其相关服务的竞争性磋商文件的全部内容。我方：</w:t>
      </w:r>
      <w:r>
        <w:rPr>
          <w:rFonts w:hint="eastAsia" w:ascii="宋体" w:hAnsi="宋体" w:eastAsia="宋体" w:cs="宋体"/>
          <w:color w:val="auto"/>
          <w:sz w:val="2"/>
          <w:szCs w:val="2"/>
        </w:rPr>
        <w:t>UUUU</w:t>
      </w:r>
      <w:r>
        <w:rPr>
          <w:rFonts w:hint="eastAsia" w:ascii="宋体" w:hAnsi="宋体" w:eastAsia="宋体" w:cs="宋体"/>
          <w:color w:val="auto"/>
          <w:szCs w:val="21"/>
          <w:u w:val="single"/>
        </w:rPr>
        <w:t>（供应商名称）</w:t>
      </w:r>
      <w:r>
        <w:rPr>
          <w:rFonts w:hint="eastAsia" w:ascii="宋体" w:hAnsi="宋体" w:eastAsia="宋体" w:cs="宋体"/>
          <w:color w:val="auto"/>
          <w:sz w:val="2"/>
          <w:szCs w:val="2"/>
        </w:rPr>
        <w:t>UUUU</w:t>
      </w:r>
      <w:r>
        <w:rPr>
          <w:rFonts w:hint="eastAsia" w:ascii="宋体" w:hAnsi="宋体" w:eastAsia="宋体" w:cs="宋体"/>
          <w:color w:val="auto"/>
          <w:szCs w:val="21"/>
        </w:rPr>
        <w:t>作为报价者正式授权</w:t>
      </w:r>
      <w:r>
        <w:rPr>
          <w:rFonts w:hint="eastAsia" w:ascii="宋体" w:hAnsi="宋体" w:eastAsia="宋体" w:cs="宋体"/>
          <w:color w:val="auto"/>
          <w:sz w:val="2"/>
          <w:szCs w:val="2"/>
        </w:rPr>
        <w:t>UUUU</w:t>
      </w:r>
      <w:r>
        <w:rPr>
          <w:rFonts w:hint="eastAsia" w:ascii="宋体" w:hAnsi="宋体" w:eastAsia="宋体" w:cs="宋体"/>
          <w:color w:val="auto"/>
          <w:szCs w:val="21"/>
          <w:u w:val="single"/>
        </w:rPr>
        <w:t>（姓名、职位）</w:t>
      </w:r>
      <w:r>
        <w:rPr>
          <w:rFonts w:hint="eastAsia" w:ascii="宋体" w:hAnsi="宋体" w:eastAsia="宋体" w:cs="宋体"/>
          <w:color w:val="auto"/>
          <w:sz w:val="2"/>
          <w:szCs w:val="2"/>
        </w:rPr>
        <w:t>UUUU</w:t>
      </w:r>
      <w:r>
        <w:rPr>
          <w:rFonts w:hint="eastAsia" w:ascii="宋体" w:hAnsi="宋体" w:eastAsia="宋体" w:cs="宋体"/>
          <w:color w:val="auto"/>
          <w:szCs w:val="21"/>
        </w:rPr>
        <w:t>代表我方进行有关报价的一切事宜。在此提交的报价文件，正本</w:t>
      </w:r>
      <w:r>
        <w:rPr>
          <w:rFonts w:hint="eastAsia" w:ascii="宋体" w:hAnsi="宋体" w:eastAsia="宋体" w:cs="宋体"/>
          <w:color w:val="auto"/>
          <w:szCs w:val="21"/>
          <w:u w:val="single"/>
        </w:rPr>
        <w:t>壹</w:t>
      </w:r>
      <w:r>
        <w:rPr>
          <w:rFonts w:hint="eastAsia" w:ascii="宋体" w:hAnsi="宋体" w:eastAsia="宋体" w:cs="宋体"/>
          <w:color w:val="auto"/>
          <w:szCs w:val="21"/>
        </w:rPr>
        <w:t>份，副本</w:t>
      </w:r>
      <w:r>
        <w:rPr>
          <w:rFonts w:hint="eastAsia" w:ascii="宋体" w:hAnsi="宋体" w:eastAsia="宋体" w:cs="宋体"/>
          <w:color w:val="auto"/>
          <w:szCs w:val="21"/>
          <w:u w:val="single"/>
        </w:rPr>
        <w:t>贰</w:t>
      </w:r>
      <w:r>
        <w:rPr>
          <w:rFonts w:hint="eastAsia" w:ascii="宋体" w:hAnsi="宋体" w:eastAsia="宋体" w:cs="宋体"/>
          <w:color w:val="auto"/>
          <w:szCs w:val="21"/>
        </w:rPr>
        <w:t>份。我方已完全明白竞争性</w:t>
      </w:r>
      <w:r>
        <w:rPr>
          <w:rFonts w:hint="eastAsia" w:ascii="宋体" w:hAnsi="宋体" w:eastAsia="宋体" w:cs="宋体"/>
          <w:bCs/>
          <w:color w:val="auto"/>
          <w:szCs w:val="21"/>
        </w:rPr>
        <w:t>磋商</w:t>
      </w:r>
      <w:r>
        <w:rPr>
          <w:rFonts w:hint="eastAsia" w:ascii="宋体" w:hAnsi="宋体" w:eastAsia="宋体" w:cs="宋体"/>
          <w:color w:val="auto"/>
          <w:szCs w:val="21"/>
        </w:rPr>
        <w:t>文件的所有条款要求，并重申以下几点：</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1.我方决定参加：项目编号为</w:t>
      </w:r>
      <w:r>
        <w:rPr>
          <w:rFonts w:hint="eastAsia" w:ascii="宋体" w:hAnsi="宋体" w:eastAsia="宋体" w:cs="宋体"/>
          <w:color w:val="auto"/>
          <w:szCs w:val="21"/>
          <w:u w:val="single"/>
        </w:rPr>
        <w:t xml:space="preserve">     项目编号      </w:t>
      </w:r>
      <w:r>
        <w:rPr>
          <w:rFonts w:hint="eastAsia" w:ascii="宋体" w:hAnsi="宋体" w:eastAsia="宋体" w:cs="宋体"/>
          <w:color w:val="auto"/>
          <w:szCs w:val="21"/>
        </w:rPr>
        <w:t>号的磋商响应。响应报价总价为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autoSpaceDE w:val="0"/>
        <w:spacing w:line="500" w:lineRule="exact"/>
        <w:ind w:left="240" w:hanging="240"/>
        <w:jc w:val="left"/>
        <w:rPr>
          <w:rFonts w:hint="eastAsia" w:ascii="宋体" w:hAnsi="宋体" w:eastAsia="宋体" w:cs="宋体"/>
          <w:color w:val="auto"/>
          <w:szCs w:val="21"/>
        </w:rPr>
      </w:pPr>
      <w:r>
        <w:rPr>
          <w:rFonts w:hint="eastAsia" w:ascii="宋体" w:hAnsi="宋体" w:eastAsia="宋体" w:cs="宋体"/>
          <w:color w:val="auto"/>
          <w:szCs w:val="21"/>
        </w:rPr>
        <w:t>2.本报价文件的有效期为</w:t>
      </w:r>
      <w:r>
        <w:rPr>
          <w:rFonts w:hint="eastAsia" w:ascii="宋体" w:hAnsi="宋体" w:eastAsia="宋体" w:cs="宋体"/>
          <w:color w:val="auto"/>
        </w:rPr>
        <w:t>磋商响应文件递交</w:t>
      </w:r>
      <w:r>
        <w:rPr>
          <w:rFonts w:hint="eastAsia" w:ascii="宋体" w:hAnsi="宋体" w:eastAsia="宋体" w:cs="宋体"/>
          <w:color w:val="auto"/>
          <w:szCs w:val="21"/>
        </w:rPr>
        <w:t>截止日后</w:t>
      </w:r>
      <w:r>
        <w:rPr>
          <w:rFonts w:hint="eastAsia" w:ascii="宋体" w:hAnsi="宋体" w:eastAsia="宋体" w:cs="宋体"/>
          <w:color w:val="auto"/>
          <w:sz w:val="2"/>
          <w:szCs w:val="2"/>
        </w:rPr>
        <w:t>UUUU</w:t>
      </w:r>
      <w:r>
        <w:rPr>
          <w:rFonts w:hint="eastAsia" w:ascii="宋体" w:hAnsi="宋体" w:eastAsia="宋体" w:cs="宋体"/>
          <w:color w:val="auto"/>
          <w:szCs w:val="21"/>
          <w:u w:val="single"/>
        </w:rPr>
        <w:t>90</w:t>
      </w:r>
      <w:r>
        <w:rPr>
          <w:rFonts w:hint="eastAsia" w:ascii="宋体" w:hAnsi="宋体" w:eastAsia="宋体" w:cs="宋体"/>
          <w:color w:val="auto"/>
          <w:sz w:val="2"/>
          <w:szCs w:val="2"/>
        </w:rPr>
        <w:t>UUUU</w:t>
      </w:r>
      <w:r>
        <w:rPr>
          <w:rFonts w:hint="eastAsia" w:ascii="宋体" w:hAnsi="宋体" w:eastAsia="宋体" w:cs="宋体"/>
          <w:color w:val="auto"/>
          <w:szCs w:val="21"/>
        </w:rPr>
        <w:t>天有效，如被确定为供应商成交供应商，有效期将延至合同终止日为止；</w:t>
      </w:r>
    </w:p>
    <w:p>
      <w:pPr>
        <w:spacing w:line="500" w:lineRule="exact"/>
        <w:ind w:left="240" w:hanging="240"/>
        <w:jc w:val="left"/>
        <w:rPr>
          <w:rFonts w:hint="eastAsia" w:ascii="宋体" w:hAnsi="宋体" w:eastAsia="宋体" w:cs="宋体"/>
          <w:color w:val="auto"/>
          <w:szCs w:val="21"/>
        </w:rPr>
      </w:pPr>
      <w:r>
        <w:rPr>
          <w:rFonts w:hint="eastAsia" w:ascii="宋体" w:hAnsi="宋体" w:eastAsia="宋体" w:cs="宋体"/>
          <w:color w:val="auto"/>
          <w:szCs w:val="21"/>
        </w:rPr>
        <w:t>3.我方已详细研究了竞争性磋商文件的所有内容包括修正（如果有）和所有已提供的参考资料以及有关格式并完全明白，我方放弃在此方面提出含糊意见或误解的一切权利；</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4.我方同意按照你方可能提出的要求提供与报价有关的任何其它数据或信息；</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5.我方理解磋商小组不一定接受最低报价或任何你方可能收到的报价；</w:t>
      </w:r>
    </w:p>
    <w:p>
      <w:pPr>
        <w:spacing w:line="500" w:lineRule="exact"/>
        <w:ind w:left="240" w:hanging="240"/>
        <w:jc w:val="left"/>
        <w:rPr>
          <w:rFonts w:hint="eastAsia" w:ascii="宋体" w:hAnsi="宋体" w:eastAsia="宋体" w:cs="宋体"/>
          <w:color w:val="auto"/>
          <w:szCs w:val="21"/>
        </w:rPr>
      </w:pPr>
      <w:r>
        <w:rPr>
          <w:rFonts w:hint="eastAsia" w:ascii="宋体" w:hAnsi="宋体" w:eastAsia="宋体" w:cs="宋体"/>
          <w:color w:val="auto"/>
          <w:szCs w:val="21"/>
        </w:rPr>
        <w:t>6.我方如被确定为供应商成交供应商，将保证履行竞争性磋商文件以及竞争性磋商文件修改书（如有的话）中的全部责任和义务，按质、按量、按期完成《合同》中的全部任务；</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7.我方自行完全承担因报价文件错误、缺漏、不清晰而导致的一切后果；</w:t>
      </w:r>
    </w:p>
    <w:p>
      <w:pPr>
        <w:spacing w:line="500" w:lineRule="exact"/>
        <w:ind w:left="240" w:hanging="240"/>
        <w:jc w:val="left"/>
        <w:rPr>
          <w:rFonts w:hint="eastAsia" w:ascii="宋体" w:hAnsi="宋体" w:eastAsia="宋体" w:cs="宋体"/>
          <w:color w:val="auto"/>
          <w:szCs w:val="21"/>
        </w:rPr>
      </w:pPr>
      <w:r>
        <w:rPr>
          <w:rFonts w:hint="eastAsia" w:ascii="宋体" w:hAnsi="宋体" w:eastAsia="宋体" w:cs="宋体"/>
          <w:color w:val="auto"/>
          <w:szCs w:val="21"/>
        </w:rPr>
        <w:t>8.我方确认此次磋商中提供的一切资料均是真实的，准确的，并完全承担因此产生的一切后果。</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9.我方的报价被接受，我方同意按照竞争性磋商文件规定向采购代理机构缴纳采购代理服务费。</w:t>
      </w:r>
    </w:p>
    <w:p>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所有与本竞争性磋商文件有关的函件请发往下列地址：</w:t>
      </w:r>
    </w:p>
    <w:p>
      <w:pPr>
        <w:spacing w:line="360" w:lineRule="auto"/>
        <w:ind w:firstLine="210" w:firstLineChars="100"/>
        <w:jc w:val="left"/>
        <w:rPr>
          <w:rFonts w:hint="eastAsia" w:ascii="宋体" w:hAnsi="宋体" w:eastAsia="宋体" w:cs="宋体"/>
          <w:color w:val="auto"/>
          <w:szCs w:val="21"/>
        </w:rPr>
      </w:pPr>
    </w:p>
    <w:p>
      <w:pPr>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供应商全称（加盖公章）：</w:t>
      </w:r>
    </w:p>
    <w:p>
      <w:pPr>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地址：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邮政编码：</w:t>
      </w:r>
    </w:p>
    <w:p>
      <w:pPr>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法定代表或其授权代表（签字或签章）：</w:t>
      </w:r>
    </w:p>
    <w:p>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r>
        <w:rPr>
          <w:rFonts w:hint="eastAsia" w:ascii="宋体" w:hAnsi="宋体" w:eastAsia="宋体" w:cs="宋体"/>
          <w:color w:val="auto"/>
        </w:rPr>
        <w:br w:type="page"/>
      </w:r>
      <w:bookmarkStart w:id="596" w:name="_Toc86065029"/>
      <w:bookmarkStart w:id="597" w:name="_Toc28489497"/>
      <w:bookmarkStart w:id="598" w:name="_Toc14450839"/>
      <w:bookmarkStart w:id="599" w:name="_Toc55816096"/>
      <w:bookmarkStart w:id="600" w:name="_Toc35834913"/>
      <w:bookmarkStart w:id="601" w:name="_Toc109467909"/>
      <w:bookmarkStart w:id="602" w:name="_Toc41448359"/>
      <w:bookmarkStart w:id="603" w:name="_Toc34535359"/>
      <w:bookmarkStart w:id="604" w:name="_Toc25224019"/>
    </w:p>
    <w:p>
      <w:pPr>
        <w:spacing w:line="360" w:lineRule="auto"/>
        <w:rPr>
          <w:rFonts w:hint="eastAsia" w:ascii="宋体" w:hAnsi="宋体" w:eastAsia="宋体" w:cs="宋体"/>
          <w:color w:val="auto"/>
        </w:rPr>
      </w:pPr>
      <w:r>
        <w:rPr>
          <w:rFonts w:hint="eastAsia" w:ascii="宋体" w:hAnsi="宋体" w:eastAsia="宋体" w:cs="宋体"/>
          <w:b/>
          <w:bCs/>
          <w:color w:val="auto"/>
          <w:kern w:val="0"/>
          <w:sz w:val="28"/>
          <w:szCs w:val="28"/>
        </w:rPr>
        <w:t>附件2法定代表人证明书</w:t>
      </w:r>
    </w:p>
    <w:p>
      <w:pPr>
        <w:spacing w:line="360" w:lineRule="auto"/>
        <w:rPr>
          <w:rFonts w:hint="eastAsia" w:ascii="宋体" w:hAnsi="宋体" w:eastAsia="宋体" w:cs="宋体"/>
          <w:b/>
          <w:color w:val="auto"/>
          <w:sz w:val="24"/>
        </w:rPr>
      </w:pPr>
    </w:p>
    <w:p>
      <w:pPr>
        <w:pStyle w:val="2"/>
        <w:spacing w:line="360" w:lineRule="auto"/>
        <w:rPr>
          <w:rFonts w:hint="eastAsia" w:ascii="宋体" w:hAnsi="宋体" w:eastAsia="宋体" w:cs="宋体"/>
          <w:color w:val="auto"/>
          <w:szCs w:val="21"/>
        </w:rPr>
      </w:pPr>
      <w:bookmarkStart w:id="605" w:name="_Toc223939105"/>
      <w:r>
        <w:rPr>
          <w:rFonts w:hint="eastAsia" w:ascii="宋体" w:hAnsi="宋体" w:eastAsia="宋体" w:cs="宋体"/>
          <w:color w:val="auto"/>
          <w:szCs w:val="21"/>
        </w:rPr>
        <w:t>现任我单位职务，为法定代表人，特此证明。</w:t>
      </w:r>
      <w:bookmarkEnd w:id="605"/>
      <w:bookmarkStart w:id="606" w:name="_Toc223939106"/>
    </w:p>
    <w:p>
      <w:pPr>
        <w:pStyle w:val="2"/>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有效期限：</w:t>
      </w:r>
      <w:bookmarkEnd w:id="606"/>
      <w:bookmarkStart w:id="607" w:name="_Toc223939107"/>
    </w:p>
    <w:p>
      <w:pPr>
        <w:pStyle w:val="2"/>
        <w:spacing w:line="360" w:lineRule="auto"/>
        <w:ind w:left="359" w:leftChars="171"/>
        <w:rPr>
          <w:rFonts w:hint="eastAsia" w:ascii="宋体" w:hAnsi="宋体" w:eastAsia="宋体" w:cs="宋体"/>
          <w:color w:val="auto"/>
          <w:szCs w:val="21"/>
          <w:u w:val="single"/>
        </w:rPr>
      </w:pPr>
      <w:r>
        <w:rPr>
          <w:rFonts w:hint="eastAsia" w:ascii="宋体" w:hAnsi="宋体" w:eastAsia="宋体" w:cs="宋体"/>
          <w:color w:val="auto"/>
          <w:szCs w:val="21"/>
        </w:rPr>
        <w:t>附：代表人性别：年龄：身份证号码：</w:t>
      </w:r>
      <w:bookmarkEnd w:id="607"/>
      <w:bookmarkStart w:id="608" w:name="_Toc223939108"/>
    </w:p>
    <w:p>
      <w:pPr>
        <w:pStyle w:val="2"/>
        <w:spacing w:line="360" w:lineRule="auto"/>
        <w:ind w:left="359" w:leftChars="171"/>
        <w:rPr>
          <w:rFonts w:hint="eastAsia" w:ascii="宋体" w:hAnsi="宋体" w:eastAsia="宋体" w:cs="宋体"/>
          <w:color w:val="auto"/>
          <w:szCs w:val="21"/>
          <w:u w:val="single"/>
        </w:rPr>
      </w:pPr>
      <w:r>
        <w:rPr>
          <w:rFonts w:hint="eastAsia" w:ascii="宋体" w:hAnsi="宋体" w:eastAsia="宋体" w:cs="宋体"/>
          <w:color w:val="auto"/>
          <w:szCs w:val="21"/>
        </w:rPr>
        <w:t>工商注册号：</w:t>
      </w:r>
    </w:p>
    <w:p>
      <w:pPr>
        <w:pStyle w:val="2"/>
        <w:spacing w:line="360" w:lineRule="auto"/>
        <w:ind w:left="239" w:leftChars="114" w:firstLine="105" w:firstLineChars="50"/>
        <w:rPr>
          <w:rFonts w:hint="eastAsia" w:ascii="宋体" w:hAnsi="宋体" w:eastAsia="宋体" w:cs="宋体"/>
          <w:color w:val="auto"/>
          <w:szCs w:val="21"/>
        </w:rPr>
      </w:pPr>
      <w:r>
        <w:rPr>
          <w:rFonts w:hint="eastAsia" w:ascii="宋体" w:hAnsi="宋体" w:eastAsia="宋体" w:cs="宋体"/>
          <w:color w:val="auto"/>
          <w:szCs w:val="21"/>
        </w:rPr>
        <w:t>企业类型：</w:t>
      </w:r>
      <w:r>
        <w:rPr>
          <w:rFonts w:hint="eastAsia" w:ascii="宋体" w:hAnsi="宋体" w:eastAsia="宋体" w:cs="宋体"/>
          <w:color w:val="auto"/>
          <w:szCs w:val="21"/>
          <w:u w:val="single"/>
        </w:rPr>
        <w:t xml:space="preserve">                     </w:t>
      </w:r>
      <w:bookmarkEnd w:id="608"/>
      <w:bookmarkStart w:id="609" w:name="_Toc223939109"/>
    </w:p>
    <w:p>
      <w:pPr>
        <w:pStyle w:val="2"/>
        <w:spacing w:line="360" w:lineRule="auto"/>
        <w:ind w:left="239" w:leftChars="114" w:firstLine="105" w:firstLineChars="50"/>
        <w:rPr>
          <w:rFonts w:hint="eastAsia" w:ascii="宋体" w:hAnsi="宋体" w:eastAsia="宋体" w:cs="宋体"/>
          <w:b/>
          <w:color w:val="auto"/>
          <w:szCs w:val="21"/>
        </w:rPr>
      </w:pPr>
      <w:r>
        <w:rPr>
          <w:rFonts w:hint="eastAsia" w:ascii="宋体" w:hAnsi="宋体" w:eastAsia="宋体" w:cs="宋体"/>
          <w:color w:val="auto"/>
          <w:szCs w:val="21"/>
        </w:rPr>
        <w:t>经营范围：</w:t>
      </w:r>
      <w:bookmarkEnd w:id="609"/>
    </w:p>
    <w:p>
      <w:pPr>
        <w:pStyle w:val="2"/>
        <w:spacing w:line="360" w:lineRule="auto"/>
        <w:jc w:val="center"/>
        <w:rPr>
          <w:rFonts w:hint="eastAsia" w:ascii="宋体" w:hAnsi="宋体" w:eastAsia="宋体" w:cs="宋体"/>
          <w:color w:val="auto"/>
          <w:szCs w:val="21"/>
        </w:rPr>
      </w:pPr>
    </w:p>
    <w:tbl>
      <w:tblPr>
        <w:tblStyle w:val="88"/>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2"/>
              <w:spacing w:line="360" w:lineRule="auto"/>
              <w:jc w:val="center"/>
              <w:rPr>
                <w:rFonts w:hint="eastAsia" w:ascii="宋体" w:hAnsi="宋体" w:eastAsia="宋体" w:cs="宋体"/>
                <w:color w:val="auto"/>
                <w:szCs w:val="21"/>
              </w:rPr>
            </w:pPr>
          </w:p>
          <w:p>
            <w:pPr>
              <w:pStyle w:val="2"/>
              <w:spacing w:line="360" w:lineRule="auto"/>
              <w:jc w:val="center"/>
              <w:rPr>
                <w:rFonts w:hint="eastAsia" w:ascii="宋体" w:hAnsi="宋体" w:eastAsia="宋体" w:cs="宋体"/>
                <w:color w:val="auto"/>
                <w:szCs w:val="21"/>
              </w:rPr>
            </w:pPr>
          </w:p>
          <w:p>
            <w:pPr>
              <w:pStyle w:val="2"/>
              <w:spacing w:line="360" w:lineRule="auto"/>
              <w:jc w:val="center"/>
              <w:rPr>
                <w:rFonts w:hint="eastAsia" w:ascii="宋体" w:hAnsi="宋体" w:eastAsia="宋体" w:cs="宋体"/>
                <w:b/>
                <w:color w:val="auto"/>
                <w:szCs w:val="21"/>
              </w:rPr>
            </w:pPr>
          </w:p>
          <w:p>
            <w:pPr>
              <w:pStyle w:val="2"/>
              <w:spacing w:line="360" w:lineRule="auto"/>
              <w:jc w:val="center"/>
              <w:rPr>
                <w:rFonts w:hint="eastAsia" w:ascii="宋体" w:hAnsi="宋体" w:eastAsia="宋体" w:cs="宋体"/>
                <w:b/>
                <w:color w:val="auto"/>
                <w:szCs w:val="21"/>
              </w:rPr>
            </w:pPr>
          </w:p>
          <w:p>
            <w:pPr>
              <w:pStyle w:val="2"/>
              <w:spacing w:line="360" w:lineRule="auto"/>
              <w:jc w:val="center"/>
              <w:rPr>
                <w:rFonts w:hint="eastAsia" w:ascii="宋体" w:hAnsi="宋体" w:eastAsia="宋体" w:cs="宋体"/>
                <w:b/>
                <w:color w:val="auto"/>
                <w:szCs w:val="21"/>
              </w:rPr>
            </w:pP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法定代表人</w:t>
            </w: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居民身份证复印件粘贴处</w:t>
            </w: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（正反面）</w:t>
            </w:r>
          </w:p>
          <w:p>
            <w:pPr>
              <w:pStyle w:val="2"/>
              <w:spacing w:line="360" w:lineRule="auto"/>
              <w:jc w:val="center"/>
              <w:rPr>
                <w:rFonts w:hint="eastAsia" w:ascii="宋体" w:hAnsi="宋体" w:eastAsia="宋体" w:cs="宋体"/>
                <w:color w:val="auto"/>
                <w:szCs w:val="21"/>
              </w:rPr>
            </w:pPr>
          </w:p>
        </w:tc>
      </w:tr>
    </w:tbl>
    <w:p>
      <w:pPr>
        <w:tabs>
          <w:tab w:val="left" w:pos="3780"/>
        </w:tabs>
        <w:spacing w:line="360" w:lineRule="auto"/>
        <w:rPr>
          <w:rFonts w:hint="eastAsia" w:ascii="宋体" w:hAnsi="宋体" w:eastAsia="宋体" w:cs="宋体"/>
          <w:color w:val="auto"/>
          <w:szCs w:val="21"/>
        </w:rPr>
      </w:pPr>
    </w:p>
    <w:p>
      <w:pPr>
        <w:tabs>
          <w:tab w:val="left" w:pos="3780"/>
        </w:tabs>
        <w:spacing w:line="360" w:lineRule="auto"/>
        <w:rPr>
          <w:rFonts w:hint="eastAsia" w:ascii="宋体" w:hAnsi="宋体" w:eastAsia="宋体" w:cs="宋体"/>
          <w:b/>
          <w:color w:val="auto"/>
          <w:szCs w:val="21"/>
        </w:rPr>
      </w:pPr>
      <w:r>
        <w:rPr>
          <w:rFonts w:hint="eastAsia" w:ascii="宋体" w:hAnsi="宋体" w:eastAsia="宋体" w:cs="宋体"/>
          <w:b/>
          <w:color w:val="auto"/>
          <w:szCs w:val="21"/>
        </w:rPr>
        <w:t>注：本表格须附在正副的磋商响应文件中，并另封装一份在“报价信封”内。</w:t>
      </w:r>
    </w:p>
    <w:p>
      <w:pPr>
        <w:tabs>
          <w:tab w:val="left" w:pos="3780"/>
        </w:tabs>
        <w:spacing w:line="360" w:lineRule="auto"/>
        <w:rPr>
          <w:rFonts w:hint="eastAsia" w:ascii="宋体" w:hAnsi="宋体" w:eastAsia="宋体" w:cs="宋体"/>
          <w:color w:val="auto"/>
          <w:sz w:val="24"/>
        </w:rPr>
      </w:pPr>
    </w:p>
    <w:p>
      <w:pPr>
        <w:spacing w:line="360" w:lineRule="auto"/>
        <w:rPr>
          <w:rFonts w:hint="eastAsia" w:ascii="宋体" w:hAnsi="宋体" w:eastAsia="宋体" w:cs="宋体"/>
          <w:bCs/>
          <w:color w:val="auto"/>
          <w:szCs w:val="21"/>
        </w:rPr>
      </w:pPr>
      <w:r>
        <w:rPr>
          <w:rFonts w:hint="eastAsia" w:ascii="宋体" w:hAnsi="宋体" w:eastAsia="宋体" w:cs="宋体"/>
          <w:color w:val="auto"/>
          <w:kern w:val="0"/>
          <w:szCs w:val="21"/>
        </w:rPr>
        <w:t>供应商</w:t>
      </w:r>
      <w:r>
        <w:rPr>
          <w:rFonts w:hint="eastAsia" w:ascii="宋体" w:hAnsi="宋体" w:eastAsia="宋体" w:cs="宋体"/>
          <w:bCs/>
          <w:color w:val="auto"/>
          <w:szCs w:val="21"/>
        </w:rPr>
        <w:t>全称（加盖公章）:</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rPr>
          <w:rFonts w:hint="eastAsia" w:ascii="宋体" w:hAnsi="宋体" w:eastAsia="宋体" w:cs="宋体"/>
          <w:b/>
          <w:bCs/>
          <w:color w:val="auto"/>
          <w:kern w:val="0"/>
          <w:sz w:val="28"/>
          <w:szCs w:val="28"/>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widowControl/>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pPr>
        <w:spacing w:line="360" w:lineRule="auto"/>
        <w:jc w:val="left"/>
        <w:rPr>
          <w:rFonts w:hint="eastAsia" w:ascii="宋体" w:hAnsi="宋体" w:eastAsia="宋体" w:cs="宋体"/>
          <w:b/>
          <w:bCs/>
          <w:color w:val="auto"/>
        </w:rPr>
      </w:pPr>
      <w:r>
        <w:rPr>
          <w:rFonts w:hint="eastAsia" w:ascii="宋体" w:hAnsi="宋体" w:eastAsia="宋体" w:cs="宋体"/>
          <w:b/>
          <w:bCs/>
          <w:color w:val="auto"/>
          <w:kern w:val="0"/>
          <w:sz w:val="28"/>
          <w:szCs w:val="28"/>
        </w:rPr>
        <w:t>附件3法定代表人授权书</w:t>
      </w:r>
    </w:p>
    <w:p>
      <w:pPr>
        <w:pStyle w:val="2"/>
        <w:spacing w:line="360" w:lineRule="auto"/>
        <w:jc w:val="left"/>
        <w:rPr>
          <w:rFonts w:hint="eastAsia" w:ascii="宋体" w:hAnsi="宋体" w:eastAsia="宋体" w:cs="宋体"/>
          <w:b/>
          <w:color w:val="auto"/>
          <w:sz w:val="24"/>
          <w:szCs w:val="24"/>
        </w:rPr>
      </w:pPr>
    </w:p>
    <w:p>
      <w:pPr>
        <w:pStyle w:val="2"/>
        <w:spacing w:line="360" w:lineRule="auto"/>
        <w:jc w:val="left"/>
        <w:rPr>
          <w:rFonts w:hint="eastAsia" w:ascii="宋体" w:hAnsi="宋体" w:eastAsia="宋体" w:cs="宋体"/>
          <w:b/>
          <w:color w:val="auto"/>
          <w:sz w:val="24"/>
          <w:szCs w:val="24"/>
        </w:rPr>
      </w:pPr>
    </w:p>
    <w:p>
      <w:pPr>
        <w:pStyle w:val="2"/>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致:成致项目管理有限公司</w:t>
      </w:r>
      <w:r>
        <w:rPr>
          <w:rFonts w:hint="eastAsia" w:ascii="宋体" w:hAnsi="宋体" w:eastAsia="宋体" w:cs="宋体"/>
          <w:color w:val="auto"/>
          <w:szCs w:val="21"/>
        </w:rPr>
        <w:tab/>
      </w:r>
    </w:p>
    <w:p>
      <w:pPr>
        <w:pStyle w:val="2"/>
        <w:spacing w:line="360" w:lineRule="auto"/>
        <w:ind w:firstLine="420" w:firstLineChars="200"/>
        <w:jc w:val="left"/>
        <w:rPr>
          <w:rFonts w:hint="eastAsia" w:ascii="宋体" w:hAnsi="宋体" w:eastAsia="宋体" w:cs="宋体"/>
          <w:color w:val="auto"/>
          <w:szCs w:val="21"/>
        </w:rPr>
      </w:pPr>
    </w:p>
    <w:p>
      <w:pPr>
        <w:pStyle w:val="2"/>
        <w:autoSpaceDE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本授权书声明：</w:t>
      </w:r>
      <w:r>
        <w:rPr>
          <w:rFonts w:hint="eastAsia" w:ascii="宋体" w:hAnsi="宋体" w:eastAsia="宋体" w:cs="宋体"/>
          <w:color w:val="auto"/>
          <w:sz w:val="2"/>
          <w:szCs w:val="2"/>
          <w:u w:val="single"/>
        </w:rPr>
        <w:t xml:space="preserve">UU UUUU                                 </w:t>
      </w:r>
      <w:r>
        <w:rPr>
          <w:rFonts w:hint="eastAsia" w:ascii="宋体" w:hAnsi="宋体" w:eastAsia="宋体" w:cs="宋体"/>
          <w:color w:val="auto"/>
          <w:sz w:val="2"/>
          <w:szCs w:val="2"/>
        </w:rPr>
        <w:t xml:space="preserve"> </w:t>
      </w:r>
      <w:r>
        <w:rPr>
          <w:rFonts w:hint="eastAsia" w:ascii="宋体" w:hAnsi="宋体" w:eastAsia="宋体" w:cs="宋体"/>
          <w:color w:val="auto"/>
          <w:szCs w:val="21"/>
        </w:rPr>
        <w:t>是注册于的法定代表人，现任</w:t>
      </w:r>
      <w:r>
        <w:rPr>
          <w:rFonts w:hint="eastAsia" w:ascii="宋体" w:hAnsi="宋体" w:eastAsia="宋体" w:cs="宋体"/>
          <w:color w:val="auto"/>
          <w:sz w:val="2"/>
          <w:szCs w:val="2"/>
          <w:u w:val="single"/>
        </w:rPr>
        <w:t>UUUU UU                                           UU</w:t>
      </w:r>
      <w:r>
        <w:rPr>
          <w:rFonts w:hint="eastAsia" w:ascii="宋体" w:hAnsi="宋体" w:eastAsia="宋体" w:cs="宋体"/>
          <w:color w:val="auto"/>
          <w:szCs w:val="21"/>
        </w:rPr>
        <w:t>。在此授权</w:t>
      </w:r>
      <w:r>
        <w:rPr>
          <w:rFonts w:hint="eastAsia" w:ascii="宋体" w:hAnsi="宋体" w:eastAsia="宋体" w:cs="宋体"/>
          <w:color w:val="auto"/>
          <w:sz w:val="2"/>
          <w:szCs w:val="2"/>
        </w:rPr>
        <w:t>UUUU</w:t>
      </w:r>
      <w:r>
        <w:rPr>
          <w:rFonts w:hint="eastAsia" w:ascii="宋体" w:hAnsi="宋体" w:eastAsia="宋体" w:cs="宋体"/>
          <w:i/>
          <w:color w:val="auto"/>
          <w:szCs w:val="21"/>
          <w:u w:val="single"/>
        </w:rPr>
        <w:t>（姓名、职位）</w:t>
      </w:r>
      <w:r>
        <w:rPr>
          <w:rFonts w:hint="eastAsia" w:ascii="宋体" w:hAnsi="宋体" w:eastAsia="宋体" w:cs="宋体"/>
          <w:color w:val="auto"/>
          <w:sz w:val="2"/>
          <w:szCs w:val="2"/>
        </w:rPr>
        <w:t>UUUU</w:t>
      </w:r>
      <w:r>
        <w:rPr>
          <w:rFonts w:hint="eastAsia" w:ascii="宋体" w:hAnsi="宋体" w:eastAsia="宋体" w:cs="宋体"/>
          <w:color w:val="auto"/>
          <w:szCs w:val="21"/>
        </w:rPr>
        <w:t>作为我公司的全权代理人，在</w:t>
      </w:r>
      <w:r>
        <w:rPr>
          <w:rFonts w:hint="eastAsia" w:ascii="宋体" w:hAnsi="宋体" w:eastAsia="宋体" w:cs="宋体"/>
          <w:color w:val="auto"/>
          <w:sz w:val="2"/>
          <w:szCs w:val="2"/>
        </w:rPr>
        <w:t>UUUU UUU</w:t>
      </w:r>
      <w:r>
        <w:rPr>
          <w:rFonts w:hint="eastAsia" w:ascii="宋体" w:hAnsi="宋体" w:eastAsia="宋体" w:cs="宋体"/>
          <w:color w:val="auto"/>
          <w:szCs w:val="21"/>
        </w:rPr>
        <w:t>的磋商响应（项目编号为：）及其合同执行过程中，以我公司的名义处理一切与之有关的事务。</w:t>
      </w:r>
    </w:p>
    <w:p>
      <w:pPr>
        <w:pStyle w:val="2"/>
        <w:spacing w:line="360" w:lineRule="auto"/>
        <w:jc w:val="left"/>
        <w:rPr>
          <w:rFonts w:hint="eastAsia" w:ascii="宋体" w:hAnsi="宋体" w:eastAsia="宋体" w:cs="宋体"/>
          <w:color w:val="auto"/>
          <w:szCs w:val="21"/>
        </w:rPr>
      </w:pP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本授权书于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 年  月  日签字生效，特此声明。</w:t>
      </w:r>
    </w:p>
    <w:p>
      <w:pPr>
        <w:spacing w:line="360" w:lineRule="auto"/>
        <w:ind w:firstLine="105" w:firstLineChars="50"/>
        <w:jc w:val="left"/>
        <w:rPr>
          <w:rFonts w:hint="eastAsia" w:ascii="宋体" w:hAnsi="宋体" w:eastAsia="宋体" w:cs="宋体"/>
          <w:color w:val="auto"/>
          <w:szCs w:val="21"/>
        </w:rPr>
      </w:pPr>
    </w:p>
    <w:p>
      <w:pPr>
        <w:spacing w:line="360" w:lineRule="auto"/>
        <w:ind w:firstLine="105" w:firstLineChars="50"/>
        <w:jc w:val="left"/>
        <w:rPr>
          <w:rFonts w:hint="eastAsia" w:ascii="宋体" w:hAnsi="宋体" w:eastAsia="宋体" w:cs="宋体"/>
          <w:color w:val="auto"/>
          <w:szCs w:val="21"/>
        </w:rPr>
      </w:pPr>
      <w:r>
        <w:rPr>
          <w:rFonts w:hint="eastAsia" w:ascii="宋体" w:hAnsi="宋体" w:eastAsia="宋体" w:cs="宋体"/>
          <w:color w:val="auto"/>
          <w:kern w:val="0"/>
          <w:szCs w:val="21"/>
        </w:rPr>
        <w:t>供应商</w:t>
      </w:r>
      <w:r>
        <w:rPr>
          <w:rFonts w:hint="eastAsia" w:ascii="宋体" w:hAnsi="宋体" w:eastAsia="宋体" w:cs="宋体"/>
          <w:color w:val="auto"/>
          <w:szCs w:val="21"/>
        </w:rPr>
        <w:t>全称（加盖公章）：</w:t>
      </w:r>
    </w:p>
    <w:p>
      <w:pPr>
        <w:tabs>
          <w:tab w:val="left" w:pos="2535"/>
        </w:tabs>
        <w:spacing w:line="360" w:lineRule="auto"/>
        <w:ind w:firstLine="105" w:firstLineChars="50"/>
        <w:jc w:val="lef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rPr>
        <w:tab/>
      </w:r>
    </w:p>
    <w:p>
      <w:pPr>
        <w:spacing w:line="360" w:lineRule="auto"/>
        <w:ind w:firstLine="105" w:firstLineChars="50"/>
        <w:jc w:val="left"/>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bCs/>
          <w:color w:val="auto"/>
          <w:szCs w:val="21"/>
        </w:rPr>
        <w:t>(</w:t>
      </w:r>
      <w:r>
        <w:rPr>
          <w:rFonts w:hint="eastAsia" w:ascii="宋体" w:hAnsi="宋体" w:eastAsia="宋体" w:cs="宋体"/>
          <w:color w:val="auto"/>
          <w:szCs w:val="21"/>
        </w:rPr>
        <w:t>签字或签章</w:t>
      </w:r>
      <w:r>
        <w:rPr>
          <w:rFonts w:hint="eastAsia" w:ascii="宋体" w:hAnsi="宋体" w:eastAsia="宋体" w:cs="宋体"/>
          <w:bCs/>
          <w:color w:val="auto"/>
          <w:szCs w:val="21"/>
        </w:rPr>
        <w:t>)</w:t>
      </w:r>
      <w:r>
        <w:rPr>
          <w:rFonts w:hint="eastAsia" w:ascii="宋体" w:hAnsi="宋体" w:eastAsia="宋体" w:cs="宋体"/>
          <w:color w:val="auto"/>
          <w:szCs w:val="21"/>
        </w:rPr>
        <w:t>：</w:t>
      </w:r>
    </w:p>
    <w:p>
      <w:pPr>
        <w:spacing w:line="360" w:lineRule="auto"/>
        <w:ind w:firstLine="105" w:firstLineChars="50"/>
        <w:jc w:val="left"/>
        <w:rPr>
          <w:rFonts w:hint="eastAsia" w:ascii="宋体" w:hAnsi="宋体" w:eastAsia="宋体" w:cs="宋体"/>
          <w:color w:val="auto"/>
          <w:szCs w:val="21"/>
        </w:rPr>
      </w:pPr>
      <w:r>
        <w:rPr>
          <w:rFonts w:hint="eastAsia" w:ascii="宋体" w:hAnsi="宋体" w:eastAsia="宋体" w:cs="宋体"/>
          <w:color w:val="auto"/>
          <w:szCs w:val="21"/>
        </w:rPr>
        <w:t>被授权人(</w:t>
      </w:r>
      <w:r>
        <w:rPr>
          <w:rFonts w:hint="eastAsia" w:ascii="宋体" w:hAnsi="宋体" w:eastAsia="宋体" w:cs="宋体"/>
          <w:color w:val="auto"/>
          <w:kern w:val="0"/>
          <w:szCs w:val="21"/>
        </w:rPr>
        <w:t>供应商</w:t>
      </w:r>
      <w:r>
        <w:rPr>
          <w:rFonts w:hint="eastAsia" w:ascii="宋体" w:hAnsi="宋体" w:eastAsia="宋体" w:cs="宋体"/>
          <w:color w:val="auto"/>
          <w:szCs w:val="21"/>
        </w:rPr>
        <w:t>授权代表)</w:t>
      </w:r>
      <w:r>
        <w:rPr>
          <w:rFonts w:hint="eastAsia" w:ascii="宋体" w:hAnsi="宋体" w:eastAsia="宋体" w:cs="宋体"/>
          <w:bCs/>
          <w:color w:val="auto"/>
          <w:szCs w:val="21"/>
        </w:rPr>
        <w:t xml:space="preserve"> (</w:t>
      </w:r>
      <w:r>
        <w:rPr>
          <w:rFonts w:hint="eastAsia" w:ascii="宋体" w:hAnsi="宋体" w:eastAsia="宋体" w:cs="宋体"/>
          <w:color w:val="auto"/>
          <w:szCs w:val="21"/>
        </w:rPr>
        <w:t>签字或签章</w:t>
      </w:r>
      <w:r>
        <w:rPr>
          <w:rFonts w:hint="eastAsia" w:ascii="宋体" w:hAnsi="宋体" w:eastAsia="宋体" w:cs="宋体"/>
          <w:bCs/>
          <w:color w:val="auto"/>
          <w:szCs w:val="21"/>
        </w:rPr>
        <w:t>)</w:t>
      </w:r>
      <w:r>
        <w:rPr>
          <w:rFonts w:hint="eastAsia" w:ascii="宋体" w:hAnsi="宋体" w:eastAsia="宋体" w:cs="宋体"/>
          <w:color w:val="auto"/>
          <w:szCs w:val="21"/>
        </w:rPr>
        <w:t>：</w:t>
      </w:r>
    </w:p>
    <w:tbl>
      <w:tblPr>
        <w:tblStyle w:val="88"/>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2"/>
              <w:spacing w:line="360" w:lineRule="auto"/>
              <w:jc w:val="left"/>
              <w:rPr>
                <w:rFonts w:hint="eastAsia" w:ascii="宋体" w:hAnsi="宋体" w:eastAsia="宋体" w:cs="宋体"/>
                <w:b/>
                <w:color w:val="auto"/>
                <w:szCs w:val="21"/>
              </w:rPr>
            </w:pP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被授权人(供应商授权代表)</w:t>
            </w: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居民身份证复印件粘贴处</w:t>
            </w:r>
          </w:p>
          <w:p>
            <w:pPr>
              <w:pStyle w:val="2"/>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（正反面）</w:t>
            </w:r>
          </w:p>
          <w:p>
            <w:pPr>
              <w:pStyle w:val="2"/>
              <w:spacing w:line="360" w:lineRule="auto"/>
              <w:jc w:val="left"/>
              <w:rPr>
                <w:rFonts w:hint="eastAsia" w:ascii="宋体" w:hAnsi="宋体" w:eastAsia="宋体" w:cs="宋体"/>
                <w:color w:val="auto"/>
                <w:szCs w:val="21"/>
              </w:rPr>
            </w:pPr>
          </w:p>
        </w:tc>
      </w:tr>
    </w:tbl>
    <w:p>
      <w:pPr>
        <w:pStyle w:val="2"/>
        <w:spacing w:line="360" w:lineRule="auto"/>
        <w:ind w:firstLine="422"/>
        <w:jc w:val="left"/>
        <w:rPr>
          <w:rFonts w:hint="eastAsia" w:ascii="宋体" w:hAnsi="宋体" w:eastAsia="宋体" w:cs="宋体"/>
          <w:b/>
          <w:color w:val="auto"/>
          <w:szCs w:val="21"/>
        </w:rPr>
      </w:pPr>
    </w:p>
    <w:p>
      <w:pPr>
        <w:pStyle w:val="2"/>
        <w:spacing w:line="360" w:lineRule="auto"/>
        <w:ind w:firstLine="422"/>
        <w:jc w:val="left"/>
        <w:rPr>
          <w:rFonts w:hint="eastAsia" w:ascii="宋体" w:hAnsi="宋体" w:eastAsia="宋体" w:cs="宋体"/>
          <w:b/>
          <w:color w:val="auto"/>
          <w:szCs w:val="21"/>
        </w:rPr>
      </w:pPr>
      <w:r>
        <w:rPr>
          <w:rFonts w:hint="eastAsia" w:ascii="宋体" w:hAnsi="宋体" w:eastAsia="宋体" w:cs="宋体"/>
          <w:b/>
          <w:color w:val="auto"/>
          <w:szCs w:val="21"/>
        </w:rPr>
        <w:t>注：本表格须附在正副的磋商响应文件中，并另封装一份在 “报价信封”内。如是法定代表人作为供应商代表，则无需提交此资料。</w:t>
      </w: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widowControl/>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r>
        <w:rPr>
          <w:rFonts w:hint="eastAsia" w:ascii="宋体" w:hAnsi="宋体" w:eastAsia="宋体" w:cs="宋体"/>
          <w:b/>
          <w:bCs/>
          <w:color w:val="auto"/>
          <w:kern w:val="0"/>
          <w:sz w:val="28"/>
          <w:szCs w:val="28"/>
        </w:rPr>
        <w:t>附件4</w:t>
      </w:r>
      <w:r>
        <w:rPr>
          <w:rFonts w:hint="eastAsia" w:ascii="宋体" w:hAnsi="宋体" w:eastAsia="宋体" w:cs="宋体"/>
          <w:b/>
          <w:bCs/>
          <w:color w:val="auto"/>
          <w:sz w:val="28"/>
          <w:szCs w:val="28"/>
        </w:rPr>
        <w:t xml:space="preserve"> 书面承诺声明</w:t>
      </w:r>
    </w:p>
    <w:p>
      <w:pPr>
        <w:spacing w:line="360" w:lineRule="auto"/>
        <w:jc w:val="left"/>
        <w:rPr>
          <w:rFonts w:hint="eastAsia" w:ascii="宋体" w:hAnsi="宋体" w:eastAsia="宋体" w:cs="宋体"/>
          <w:b/>
          <w:color w:val="auto"/>
          <w:sz w:val="24"/>
        </w:rPr>
      </w:pPr>
    </w:p>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成致项目管理有限公司：</w:t>
      </w:r>
    </w:p>
    <w:p>
      <w:pPr>
        <w:autoSpaceDE w:val="0"/>
        <w:snapToGrid w:val="0"/>
        <w:spacing w:before="120" w:beforeLines="50"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关于贵公司</w:t>
      </w:r>
      <w:r>
        <w:rPr>
          <w:rFonts w:hint="eastAsia" w:ascii="宋体" w:hAnsi="宋体" w:eastAsia="宋体" w:cs="宋体"/>
          <w:color w:val="auto"/>
          <w:sz w:val="2"/>
          <w:szCs w:val="2"/>
        </w:rPr>
        <w:t>UUUU</w:t>
      </w:r>
      <w:r>
        <w:rPr>
          <w:rFonts w:hint="eastAsia" w:ascii="宋体" w:hAnsi="宋体" w:eastAsia="宋体" w:cs="宋体"/>
          <w:color w:val="auto"/>
          <w:szCs w:val="21"/>
        </w:rPr>
        <w:t>发布</w:t>
      </w:r>
      <w:r>
        <w:rPr>
          <w:rFonts w:hint="eastAsia" w:ascii="宋体" w:hAnsi="宋体" w:eastAsia="宋体" w:cs="宋体"/>
          <w:color w:val="auto"/>
          <w:u w:val="single"/>
        </w:rPr>
        <w:t xml:space="preserve">    项目名称   </w:t>
      </w:r>
      <w:r>
        <w:rPr>
          <w:rFonts w:hint="eastAsia" w:ascii="宋体" w:hAnsi="宋体" w:eastAsia="宋体" w:cs="宋体"/>
          <w:color w:val="auto"/>
          <w:szCs w:val="21"/>
        </w:rPr>
        <w:t>项目（项目编号：</w:t>
      </w:r>
      <w:r>
        <w:rPr>
          <w:rFonts w:hint="eastAsia" w:ascii="宋体" w:hAnsi="宋体" w:eastAsia="宋体" w:cs="宋体"/>
          <w:color w:val="auto"/>
          <w:szCs w:val="21"/>
          <w:u w:val="single"/>
        </w:rPr>
        <w:t xml:space="preserve">   项目编号   </w:t>
      </w:r>
      <w:r>
        <w:rPr>
          <w:rFonts w:hint="eastAsia" w:ascii="宋体" w:hAnsi="宋体" w:eastAsia="宋体" w:cs="宋体"/>
          <w:color w:val="auto"/>
          <w:szCs w:val="21"/>
        </w:rPr>
        <w:t>）的磋商公告，本公司（企业）愿意参加磋商响应，并声明：</w:t>
      </w:r>
    </w:p>
    <w:p>
      <w:pPr>
        <w:keepNext w:val="0"/>
        <w:keepLines w:val="0"/>
        <w:pageBreakBefore w:val="0"/>
        <w:numPr>
          <w:ilvl w:val="0"/>
          <w:numId w:val="0"/>
        </w:numPr>
        <w:tabs>
          <w:tab w:val="left" w:pos="851"/>
        </w:tabs>
        <w:kinsoku/>
        <w:wordWrap/>
        <w:overflowPunct/>
        <w:topLinePunct w:val="0"/>
        <w:autoSpaceDE w:val="0"/>
        <w:autoSpaceDN w:val="0"/>
        <w:bidi w:val="0"/>
        <w:adjustRightInd w:val="0"/>
        <w:snapToGrid w:val="0"/>
        <w:spacing w:line="360" w:lineRule="auto"/>
        <w:ind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eastAsia="zh-CN"/>
        </w:rPr>
        <w:t>一、</w:t>
      </w:r>
      <w:r>
        <w:rPr>
          <w:rFonts w:hint="eastAsia" w:ascii="宋体" w:hAnsi="宋体" w:eastAsia="宋体" w:cs="宋体"/>
          <w:color w:val="auto"/>
          <w:szCs w:val="21"/>
        </w:rPr>
        <w:t>具备《政府采购法》第二十二条</w:t>
      </w:r>
      <w:r>
        <w:rPr>
          <w:rFonts w:hint="eastAsia" w:ascii="宋体" w:hAnsi="宋体" w:eastAsia="宋体" w:cs="宋体"/>
          <w:bCs/>
          <w:color w:val="auto"/>
        </w:rPr>
        <w:t>供应商</w:t>
      </w:r>
      <w:r>
        <w:rPr>
          <w:rFonts w:hint="eastAsia" w:ascii="宋体" w:hAnsi="宋体" w:eastAsia="宋体" w:cs="宋体"/>
          <w:color w:val="auto"/>
          <w:szCs w:val="21"/>
        </w:rPr>
        <w:t>资格条件。</w:t>
      </w:r>
    </w:p>
    <w:p>
      <w:pPr>
        <w:keepNext w:val="0"/>
        <w:keepLines w:val="0"/>
        <w:pageBreakBefore w:val="0"/>
        <w:numPr>
          <w:ilvl w:val="0"/>
          <w:numId w:val="0"/>
        </w:numPr>
        <w:tabs>
          <w:tab w:val="left" w:pos="851"/>
        </w:tabs>
        <w:kinsoku/>
        <w:wordWrap/>
        <w:overflowPunct/>
        <w:topLinePunct w:val="0"/>
        <w:autoSpaceDE w:val="0"/>
        <w:autoSpaceDN w:val="0"/>
        <w:bidi w:val="0"/>
        <w:adjustRightInd w:val="0"/>
        <w:snapToGrid w:val="0"/>
        <w:spacing w:line="360" w:lineRule="auto"/>
        <w:ind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eastAsia="zh-CN"/>
        </w:rPr>
        <w:t>二、</w:t>
      </w:r>
      <w:r>
        <w:rPr>
          <w:rFonts w:hint="eastAsia" w:ascii="宋体" w:hAnsi="宋体" w:eastAsia="宋体" w:cs="宋体"/>
          <w:color w:val="auto"/>
          <w:szCs w:val="21"/>
        </w:rPr>
        <w:t>具有独立承担民事责任的能力。</w:t>
      </w:r>
    </w:p>
    <w:p>
      <w:pPr>
        <w:keepNext w:val="0"/>
        <w:keepLines w:val="0"/>
        <w:pageBreakBefore w:val="0"/>
        <w:numPr>
          <w:ilvl w:val="0"/>
          <w:numId w:val="0"/>
        </w:numPr>
        <w:tabs>
          <w:tab w:val="left" w:pos="426"/>
          <w:tab w:val="left" w:pos="720"/>
        </w:tabs>
        <w:kinsoku/>
        <w:wordWrap/>
        <w:overflowPunct/>
        <w:topLinePunct w:val="0"/>
        <w:autoSpaceDE w:val="0"/>
        <w:autoSpaceDN w:val="0"/>
        <w:bidi w:val="0"/>
        <w:adjustRightInd w:val="0"/>
        <w:snapToGrid w:val="0"/>
        <w:spacing w:line="360" w:lineRule="auto"/>
        <w:ind w:leftChars="0" w:firstLine="420" w:firstLineChars="200"/>
        <w:rPr>
          <w:rFonts w:hint="eastAsia" w:ascii="宋体" w:hAnsi="宋体" w:eastAsia="宋体" w:cs="宋体"/>
          <w:color w:val="auto"/>
        </w:rPr>
      </w:pPr>
      <w:r>
        <w:rPr>
          <w:rFonts w:hint="eastAsia" w:ascii="宋体" w:hAnsi="宋体" w:eastAsia="宋体" w:cs="宋体"/>
          <w:color w:val="auto"/>
          <w:lang w:eastAsia="zh-CN"/>
        </w:rPr>
        <w:t>三、</w:t>
      </w:r>
      <w:r>
        <w:rPr>
          <w:rFonts w:hint="eastAsia" w:ascii="宋体" w:hAnsi="宋体" w:eastAsia="宋体" w:cs="宋体"/>
          <w:color w:val="auto"/>
        </w:rPr>
        <w:t>具有良好的商业信誉和健全的财务会计制度。</w:t>
      </w:r>
    </w:p>
    <w:p>
      <w:pPr>
        <w:keepNext w:val="0"/>
        <w:keepLines w:val="0"/>
        <w:pageBreakBefore w:val="0"/>
        <w:numPr>
          <w:ilvl w:val="0"/>
          <w:numId w:val="0"/>
        </w:numPr>
        <w:tabs>
          <w:tab w:val="left" w:pos="426"/>
          <w:tab w:val="left" w:pos="720"/>
        </w:tabs>
        <w:kinsoku/>
        <w:wordWrap/>
        <w:overflowPunct/>
        <w:topLinePunct w:val="0"/>
        <w:autoSpaceDE w:val="0"/>
        <w:autoSpaceDN w:val="0"/>
        <w:bidi w:val="0"/>
        <w:adjustRightInd w:val="0"/>
        <w:snapToGrid w:val="0"/>
        <w:spacing w:line="360" w:lineRule="auto"/>
        <w:ind w:leftChars="0" w:firstLine="420" w:firstLineChars="200"/>
        <w:rPr>
          <w:rFonts w:hint="eastAsia" w:ascii="宋体" w:hAnsi="宋体" w:eastAsia="宋体" w:cs="宋体"/>
          <w:color w:val="auto"/>
        </w:rPr>
      </w:pPr>
      <w:r>
        <w:rPr>
          <w:rFonts w:hint="eastAsia" w:ascii="宋体" w:hAnsi="宋体" w:eastAsia="宋体" w:cs="宋体"/>
          <w:color w:val="auto"/>
          <w:lang w:eastAsia="zh-CN"/>
        </w:rPr>
        <w:t>四、</w:t>
      </w:r>
      <w:r>
        <w:rPr>
          <w:rFonts w:hint="eastAsia" w:ascii="宋体" w:hAnsi="宋体" w:eastAsia="宋体" w:cs="宋体"/>
          <w:color w:val="auto"/>
        </w:rPr>
        <w:t>具有履行合同所必需的设备和专业技术能力。</w:t>
      </w:r>
    </w:p>
    <w:p>
      <w:pPr>
        <w:keepNext w:val="0"/>
        <w:keepLines w:val="0"/>
        <w:pageBreakBefore w:val="0"/>
        <w:numPr>
          <w:ilvl w:val="0"/>
          <w:numId w:val="0"/>
        </w:numPr>
        <w:tabs>
          <w:tab w:val="left" w:pos="426"/>
          <w:tab w:val="left" w:pos="720"/>
        </w:tabs>
        <w:kinsoku/>
        <w:wordWrap/>
        <w:overflowPunct/>
        <w:topLinePunct w:val="0"/>
        <w:autoSpaceDE w:val="0"/>
        <w:autoSpaceDN w:val="0"/>
        <w:bidi w:val="0"/>
        <w:adjustRightInd w:val="0"/>
        <w:snapToGrid w:val="0"/>
        <w:spacing w:line="360" w:lineRule="auto"/>
        <w:ind w:leftChars="0" w:firstLine="420" w:firstLineChars="200"/>
        <w:rPr>
          <w:rFonts w:hint="eastAsia" w:ascii="宋体" w:hAnsi="宋体" w:eastAsia="宋体" w:cs="宋体"/>
          <w:color w:val="auto"/>
        </w:rPr>
      </w:pPr>
      <w:r>
        <w:rPr>
          <w:rFonts w:hint="eastAsia" w:ascii="宋体" w:hAnsi="宋体" w:eastAsia="宋体" w:cs="宋体"/>
          <w:color w:val="auto"/>
          <w:lang w:eastAsia="zh-CN"/>
        </w:rPr>
        <w:t>五、</w:t>
      </w:r>
      <w:r>
        <w:rPr>
          <w:rFonts w:hint="eastAsia" w:ascii="宋体" w:hAnsi="宋体" w:eastAsia="宋体" w:cs="宋体"/>
          <w:color w:val="auto"/>
        </w:rPr>
        <w:t>有依法缴纳税收和社会保障资金的良好记录。</w:t>
      </w:r>
    </w:p>
    <w:p>
      <w:pPr>
        <w:keepNext w:val="0"/>
        <w:keepLines w:val="0"/>
        <w:pageBreakBefore w:val="0"/>
        <w:numPr>
          <w:ilvl w:val="0"/>
          <w:numId w:val="0"/>
        </w:numPr>
        <w:tabs>
          <w:tab w:val="left" w:pos="426"/>
          <w:tab w:val="left" w:pos="720"/>
        </w:tabs>
        <w:kinsoku/>
        <w:wordWrap/>
        <w:overflowPunct/>
        <w:topLinePunct w:val="0"/>
        <w:autoSpaceDE w:val="0"/>
        <w:autoSpaceDN w:val="0"/>
        <w:bidi w:val="0"/>
        <w:adjustRightInd w:val="0"/>
        <w:snapToGrid w:val="0"/>
        <w:spacing w:line="360" w:lineRule="auto"/>
        <w:ind w:leftChars="0" w:firstLine="420" w:firstLineChars="200"/>
        <w:rPr>
          <w:rFonts w:hint="eastAsia" w:ascii="宋体" w:hAnsi="宋体" w:eastAsia="宋体" w:cs="宋体"/>
          <w:color w:val="auto"/>
        </w:rPr>
      </w:pPr>
      <w:r>
        <w:rPr>
          <w:rFonts w:hint="eastAsia" w:ascii="宋体" w:hAnsi="宋体" w:eastAsia="宋体" w:cs="宋体"/>
          <w:color w:val="auto"/>
          <w:lang w:eastAsia="zh-CN"/>
        </w:rPr>
        <w:t>六、</w:t>
      </w:r>
      <w:r>
        <w:rPr>
          <w:rFonts w:hint="eastAsia" w:ascii="宋体" w:hAnsi="宋体" w:eastAsia="宋体" w:cs="宋体"/>
          <w:color w:val="auto"/>
        </w:rPr>
        <w:t>参加政府采购活动前三年内，在经营活动中没有重大违法记录。</w:t>
      </w:r>
    </w:p>
    <w:p>
      <w:pPr>
        <w:keepNext w:val="0"/>
        <w:keepLines w:val="0"/>
        <w:pageBreakBefore w:val="0"/>
        <w:numPr>
          <w:ilvl w:val="0"/>
          <w:numId w:val="0"/>
        </w:numPr>
        <w:tabs>
          <w:tab w:val="left" w:pos="426"/>
          <w:tab w:val="left" w:pos="720"/>
        </w:tabs>
        <w:kinsoku/>
        <w:wordWrap/>
        <w:overflowPunct/>
        <w:topLinePunct w:val="0"/>
        <w:autoSpaceDE w:val="0"/>
        <w:autoSpaceDN w:val="0"/>
        <w:bidi w:val="0"/>
        <w:adjustRightInd w:val="0"/>
        <w:snapToGrid w:val="0"/>
        <w:spacing w:line="360" w:lineRule="auto"/>
        <w:ind w:leftChars="0" w:firstLine="420" w:firstLineChars="200"/>
        <w:rPr>
          <w:rFonts w:hint="eastAsia" w:ascii="宋体" w:hAnsi="宋体" w:eastAsia="宋体" w:cs="宋体"/>
          <w:color w:val="auto"/>
        </w:rPr>
      </w:pPr>
      <w:r>
        <w:rPr>
          <w:rFonts w:hint="eastAsia" w:ascii="宋体" w:hAnsi="宋体" w:eastAsia="宋体" w:cs="宋体"/>
          <w:color w:val="auto"/>
          <w:lang w:eastAsia="zh-CN"/>
        </w:rPr>
        <w:t>七、</w:t>
      </w:r>
      <w:r>
        <w:rPr>
          <w:rFonts w:hint="eastAsia" w:ascii="宋体" w:hAnsi="宋体" w:eastAsia="宋体" w:cs="宋体"/>
          <w:color w:val="auto"/>
        </w:rPr>
        <w:t>法律、行政法规规定的其他条件。</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本公司（企业）已清楚竞争性磋商文件的要求及有关文件规定，并承诺在本次招标采购活动中，如有违法、违规、弄虚作假行为，所造成的损失、不良后果及法律责任，一律由我公司（企业）承担。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rFonts w:hint="eastAsia" w:ascii="宋体" w:hAnsi="宋体" w:eastAsia="宋体" w:cs="宋体"/>
          <w:color w:val="auto"/>
          <w:szCs w:val="21"/>
        </w:rPr>
      </w:pPr>
    </w:p>
    <w:p>
      <w:pPr>
        <w:spacing w:line="360" w:lineRule="auto"/>
        <w:ind w:firstLine="420"/>
        <w:jc w:val="left"/>
        <w:rPr>
          <w:rFonts w:hint="eastAsia" w:ascii="宋体" w:hAnsi="宋体" w:eastAsia="宋体" w:cs="宋体"/>
          <w:color w:val="auto"/>
          <w:szCs w:val="21"/>
        </w:rPr>
      </w:pPr>
      <w:r>
        <w:rPr>
          <w:rFonts w:hint="eastAsia" w:ascii="宋体" w:hAnsi="宋体" w:eastAsia="宋体" w:cs="宋体"/>
          <w:color w:val="auto"/>
          <w:szCs w:val="21"/>
        </w:rPr>
        <w:t>特此声明！</w:t>
      </w:r>
    </w:p>
    <w:p>
      <w:pPr>
        <w:spacing w:line="360" w:lineRule="auto"/>
        <w:jc w:val="left"/>
        <w:rPr>
          <w:rFonts w:hint="eastAsia" w:ascii="宋体" w:hAnsi="宋体" w:eastAsia="宋体" w:cs="宋体"/>
          <w:color w:val="auto"/>
          <w:szCs w:val="21"/>
        </w:rPr>
      </w:pPr>
    </w:p>
    <w:p>
      <w:pPr>
        <w:adjustRightInd w:val="0"/>
        <w:snapToGrid w:val="0"/>
        <w:spacing w:line="360" w:lineRule="auto"/>
        <w:ind w:left="-2" w:leftChars="-1"/>
        <w:jc w:val="left"/>
        <w:rPr>
          <w:rFonts w:hint="eastAsia" w:ascii="宋体" w:hAnsi="宋体" w:eastAsia="宋体" w:cs="宋体"/>
          <w:color w:val="auto"/>
          <w:szCs w:val="21"/>
        </w:rPr>
      </w:pPr>
    </w:p>
    <w:p>
      <w:pPr>
        <w:pStyle w:val="2"/>
        <w:tabs>
          <w:tab w:val="left" w:pos="7260"/>
        </w:tabs>
        <w:spacing w:line="360" w:lineRule="auto"/>
        <w:ind w:left="-2" w:leftChars="-1" w:firstLine="539" w:firstLineChars="257"/>
        <w:jc w:val="left"/>
        <w:rPr>
          <w:rFonts w:hint="eastAsia" w:ascii="宋体" w:hAnsi="宋体" w:eastAsia="宋体" w:cs="宋体"/>
          <w:color w:val="auto"/>
          <w:szCs w:val="21"/>
          <w:u w:val="single"/>
        </w:rPr>
      </w:pPr>
      <w:r>
        <w:rPr>
          <w:rFonts w:hint="eastAsia" w:ascii="宋体" w:hAnsi="宋体" w:eastAsia="宋体" w:cs="宋体"/>
          <w:color w:val="auto"/>
          <w:kern w:val="0"/>
          <w:szCs w:val="21"/>
        </w:rPr>
        <w:t>供应商</w:t>
      </w:r>
      <w:r>
        <w:rPr>
          <w:rFonts w:hint="eastAsia" w:ascii="宋体" w:hAnsi="宋体" w:eastAsia="宋体" w:cs="宋体"/>
          <w:color w:val="auto"/>
          <w:szCs w:val="21"/>
        </w:rPr>
        <w:t>全称（加盖公章）：</w:t>
      </w:r>
    </w:p>
    <w:p>
      <w:pPr>
        <w:pStyle w:val="2"/>
        <w:tabs>
          <w:tab w:val="left" w:pos="4500"/>
        </w:tabs>
        <w:spacing w:line="360" w:lineRule="auto"/>
        <w:ind w:left="-2" w:leftChars="-1" w:firstLine="539" w:firstLineChars="257"/>
        <w:jc w:val="left"/>
        <w:rPr>
          <w:rFonts w:hint="eastAsia" w:ascii="宋体" w:hAnsi="宋体" w:eastAsia="宋体" w:cs="宋体"/>
          <w:color w:val="auto"/>
          <w:szCs w:val="21"/>
          <w:u w:val="single"/>
        </w:rPr>
      </w:pPr>
      <w:r>
        <w:rPr>
          <w:rFonts w:hint="eastAsia" w:ascii="宋体" w:hAnsi="宋体" w:eastAsia="宋体" w:cs="宋体"/>
          <w:color w:val="auto"/>
          <w:szCs w:val="21"/>
        </w:rPr>
        <w:t>法定代表人或其授权代表</w:t>
      </w:r>
      <w:r>
        <w:rPr>
          <w:rFonts w:hint="eastAsia" w:ascii="宋体" w:hAnsi="宋体" w:eastAsia="宋体" w:cs="宋体"/>
          <w:bCs/>
          <w:color w:val="auto"/>
          <w:szCs w:val="21"/>
        </w:rPr>
        <w:t>(</w:t>
      </w:r>
      <w:r>
        <w:rPr>
          <w:rFonts w:hint="eastAsia" w:ascii="宋体" w:hAnsi="宋体" w:eastAsia="宋体" w:cs="宋体"/>
          <w:color w:val="auto"/>
          <w:szCs w:val="21"/>
        </w:rPr>
        <w:t>签字或签章</w:t>
      </w:r>
      <w:r>
        <w:rPr>
          <w:rFonts w:hint="eastAsia" w:ascii="宋体" w:hAnsi="宋体" w:eastAsia="宋体" w:cs="宋体"/>
          <w:bCs/>
          <w:color w:val="auto"/>
          <w:szCs w:val="21"/>
        </w:rPr>
        <w:t>)</w:t>
      </w:r>
      <w:r>
        <w:rPr>
          <w:rFonts w:hint="eastAsia" w:ascii="宋体" w:hAnsi="宋体" w:eastAsia="宋体" w:cs="宋体"/>
          <w:color w:val="auto"/>
          <w:szCs w:val="21"/>
        </w:rPr>
        <w:t>:</w:t>
      </w:r>
    </w:p>
    <w:p>
      <w:pPr>
        <w:pStyle w:val="2"/>
        <w:tabs>
          <w:tab w:val="left" w:pos="4500"/>
        </w:tabs>
        <w:spacing w:line="360" w:lineRule="auto"/>
        <w:ind w:left="-2" w:leftChars="-1" w:firstLine="539" w:firstLineChars="257"/>
        <w:jc w:val="left"/>
        <w:rPr>
          <w:rFonts w:hint="eastAsia"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rPr>
        <w:tab/>
      </w:r>
      <w:r>
        <w:rPr>
          <w:rFonts w:hint="eastAsia" w:ascii="宋体" w:hAnsi="宋体" w:eastAsia="宋体" w:cs="宋体"/>
          <w:color w:val="auto"/>
          <w:szCs w:val="21"/>
        </w:rPr>
        <w:t>邮编：</w:t>
      </w:r>
    </w:p>
    <w:p>
      <w:pPr>
        <w:tabs>
          <w:tab w:val="left" w:pos="4500"/>
        </w:tabs>
        <w:spacing w:line="360" w:lineRule="auto"/>
        <w:ind w:left="-2" w:leftChars="-1" w:firstLine="539" w:firstLineChars="257"/>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电话：  </w:t>
      </w:r>
      <w:r>
        <w:rPr>
          <w:rFonts w:hint="eastAsia" w:ascii="宋体" w:hAnsi="宋体" w:eastAsia="宋体" w:cs="宋体"/>
          <w:color w:val="auto"/>
          <w:szCs w:val="21"/>
        </w:rPr>
        <w:tab/>
      </w:r>
      <w:r>
        <w:rPr>
          <w:rFonts w:hint="eastAsia" w:ascii="宋体" w:hAnsi="宋体" w:eastAsia="宋体" w:cs="宋体"/>
          <w:color w:val="auto"/>
          <w:szCs w:val="21"/>
        </w:rPr>
        <w:t>传真：</w:t>
      </w:r>
    </w:p>
    <w:p>
      <w:pPr>
        <w:spacing w:line="360" w:lineRule="auto"/>
        <w:ind w:firstLine="525" w:firstLineChars="25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日    期： </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年  月  日</w:t>
      </w: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color w:val="auto"/>
          <w:sz w:val="32"/>
          <w:szCs w:val="32"/>
        </w:rPr>
      </w:pPr>
      <w:r>
        <w:rPr>
          <w:rFonts w:hint="eastAsia" w:ascii="宋体" w:hAnsi="宋体" w:eastAsia="宋体" w:cs="宋体"/>
          <w:b/>
          <w:bCs/>
          <w:color w:val="auto"/>
          <w:kern w:val="0"/>
          <w:sz w:val="28"/>
          <w:szCs w:val="28"/>
        </w:rPr>
        <w:t>附件5同意竞争性磋商文件条款说明</w:t>
      </w:r>
    </w:p>
    <w:p>
      <w:pPr>
        <w:spacing w:line="360" w:lineRule="auto"/>
        <w:jc w:val="left"/>
        <w:rPr>
          <w:rFonts w:hint="eastAsia" w:ascii="宋体" w:hAnsi="宋体" w:eastAsia="宋体" w:cs="宋体"/>
          <w:color w:val="auto"/>
          <w:szCs w:val="21"/>
        </w:rPr>
      </w:pPr>
    </w:p>
    <w:p>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致：成致项目管理有限公司</w:t>
      </w:r>
    </w:p>
    <w:p>
      <w:pPr>
        <w:spacing w:line="360" w:lineRule="auto"/>
        <w:jc w:val="left"/>
        <w:rPr>
          <w:rFonts w:hint="eastAsia" w:ascii="宋体" w:hAnsi="宋体" w:eastAsia="宋体" w:cs="宋体"/>
          <w:color w:val="auto"/>
          <w:szCs w:val="21"/>
        </w:rPr>
      </w:pPr>
    </w:p>
    <w:p>
      <w:pPr>
        <w:spacing w:line="360" w:lineRule="auto"/>
        <w:jc w:val="left"/>
        <w:rPr>
          <w:rFonts w:hint="eastAsia" w:ascii="宋体" w:hAnsi="宋体" w:eastAsia="宋体" w:cs="宋体"/>
          <w:color w:val="auto"/>
          <w:szCs w:val="21"/>
        </w:rPr>
      </w:pPr>
    </w:p>
    <w:p>
      <w:pPr>
        <w:spacing w:line="360" w:lineRule="auto"/>
        <w:ind w:firstLine="478" w:firstLineChars="228"/>
        <w:jc w:val="left"/>
        <w:rPr>
          <w:rFonts w:hint="eastAsia" w:ascii="宋体" w:hAnsi="宋体" w:eastAsia="宋体" w:cs="宋体"/>
          <w:color w:val="auto"/>
          <w:szCs w:val="21"/>
        </w:rPr>
      </w:pPr>
      <w:r>
        <w:rPr>
          <w:rFonts w:hint="eastAsia" w:ascii="宋体" w:hAnsi="宋体" w:eastAsia="宋体" w:cs="宋体"/>
          <w:color w:val="auto"/>
          <w:kern w:val="0"/>
          <w:szCs w:val="21"/>
        </w:rPr>
        <w:t>为响应你方组织的项目名称：</w:t>
      </w:r>
      <w:r>
        <w:rPr>
          <w:rFonts w:hint="eastAsia" w:ascii="宋体" w:hAnsi="宋体" w:eastAsia="宋体" w:cs="宋体"/>
          <w:color w:val="auto"/>
          <w:u w:val="single"/>
        </w:rPr>
        <w:t xml:space="preserve">       项目名称      </w:t>
      </w:r>
      <w:r>
        <w:rPr>
          <w:rFonts w:hint="eastAsia" w:ascii="宋体" w:hAnsi="宋体" w:eastAsia="宋体" w:cs="宋体"/>
          <w:color w:val="auto"/>
          <w:kern w:val="0"/>
          <w:szCs w:val="21"/>
        </w:rPr>
        <w:t>项目的磋商（项目编号：</w:t>
      </w:r>
      <w:r>
        <w:rPr>
          <w:rFonts w:hint="eastAsia" w:ascii="宋体" w:hAnsi="宋体" w:eastAsia="宋体" w:cs="宋体"/>
          <w:color w:val="auto"/>
          <w:kern w:val="28"/>
          <w:szCs w:val="21"/>
          <w:u w:val="single"/>
        </w:rPr>
        <w:t xml:space="preserve">   项目编号   </w:t>
      </w:r>
      <w:r>
        <w:rPr>
          <w:rFonts w:hint="eastAsia" w:ascii="宋体" w:hAnsi="宋体" w:eastAsia="宋体" w:cs="宋体"/>
          <w:color w:val="auto"/>
          <w:kern w:val="0"/>
          <w:szCs w:val="21"/>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特此声明。</w:t>
      </w:r>
    </w:p>
    <w:p>
      <w:pPr>
        <w:spacing w:line="360" w:lineRule="auto"/>
        <w:jc w:val="left"/>
        <w:rPr>
          <w:rFonts w:hint="eastAsia" w:ascii="宋体" w:hAnsi="宋体" w:eastAsia="宋体" w:cs="宋体"/>
          <w:bCs/>
          <w:color w:val="auto"/>
          <w:szCs w:val="21"/>
        </w:rPr>
      </w:pPr>
    </w:p>
    <w:p>
      <w:pPr>
        <w:spacing w:line="360" w:lineRule="auto"/>
        <w:jc w:val="left"/>
        <w:rPr>
          <w:rFonts w:hint="eastAsia" w:ascii="宋体" w:hAnsi="宋体" w:eastAsia="宋体" w:cs="宋体"/>
          <w:bCs/>
          <w:color w:val="auto"/>
          <w:szCs w:val="21"/>
        </w:rPr>
      </w:pPr>
    </w:p>
    <w:p>
      <w:pPr>
        <w:spacing w:line="360" w:lineRule="auto"/>
        <w:jc w:val="left"/>
        <w:rPr>
          <w:rFonts w:hint="eastAsia" w:ascii="宋体" w:hAnsi="宋体" w:eastAsia="宋体" w:cs="宋体"/>
          <w:bCs/>
          <w:color w:val="auto"/>
          <w:szCs w:val="21"/>
        </w:rPr>
      </w:pPr>
      <w:r>
        <w:rPr>
          <w:rFonts w:hint="eastAsia" w:ascii="宋体" w:hAnsi="宋体" w:eastAsia="宋体" w:cs="宋体"/>
          <w:color w:val="auto"/>
          <w:kern w:val="0"/>
          <w:szCs w:val="21"/>
        </w:rPr>
        <w:t>供应商</w:t>
      </w:r>
      <w:r>
        <w:rPr>
          <w:rFonts w:hint="eastAsia" w:ascii="宋体" w:hAnsi="宋体" w:eastAsia="宋体" w:cs="宋体"/>
          <w:bCs/>
          <w:color w:val="auto"/>
          <w:szCs w:val="21"/>
        </w:rPr>
        <w:t>全称（加盖公章）:</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jc w:val="left"/>
        <w:rPr>
          <w:rFonts w:hint="eastAsia" w:ascii="宋体" w:hAnsi="宋体" w:eastAsia="宋体" w:cs="宋体"/>
          <w:b/>
          <w:bCs/>
          <w:color w:val="auto"/>
          <w:kern w:val="0"/>
          <w:sz w:val="28"/>
          <w:szCs w:val="28"/>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widowControl/>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附件6  公平竞争承诺书</w:t>
      </w: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autoSpaceDE w:val="0"/>
        <w:autoSpaceDN w:val="0"/>
        <w:adjustRightIn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本公司郑重承诺：本公司保证所提交的相关资质文件和证明材料的真实性，有良好的历史诚信记录，并将依法参与 </w:t>
      </w:r>
      <w:r>
        <w:rPr>
          <w:rFonts w:hint="eastAsia" w:ascii="宋体" w:hAnsi="宋体" w:eastAsia="宋体" w:cs="宋体"/>
          <w:color w:val="auto"/>
          <w:u w:val="single"/>
        </w:rPr>
        <w:t xml:space="preserve">    项目名称     </w:t>
      </w:r>
      <w:r>
        <w:rPr>
          <w:rFonts w:hint="eastAsia" w:ascii="宋体" w:hAnsi="宋体" w:eastAsia="宋体" w:cs="宋体"/>
          <w:color w:val="auto"/>
          <w:kern w:val="0"/>
          <w:szCs w:val="21"/>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eastAsia="宋体" w:cs="宋体"/>
          <w:color w:val="auto"/>
          <w:kern w:val="0"/>
          <w:szCs w:val="21"/>
        </w:rPr>
      </w:pPr>
    </w:p>
    <w:p>
      <w:pPr>
        <w:wordWrap w:val="0"/>
        <w:spacing w:line="360" w:lineRule="auto"/>
        <w:ind w:right="900"/>
        <w:rPr>
          <w:rFonts w:hint="eastAsia" w:ascii="宋体" w:hAnsi="宋体" w:eastAsia="宋体" w:cs="宋体"/>
          <w:color w:val="auto"/>
          <w:kern w:val="0"/>
          <w:szCs w:val="21"/>
        </w:rPr>
      </w:pPr>
    </w:p>
    <w:p>
      <w:pPr>
        <w:spacing w:line="360" w:lineRule="auto"/>
        <w:ind w:right="900"/>
        <w:jc w:val="center"/>
        <w:rPr>
          <w:rFonts w:hint="eastAsia" w:ascii="宋体" w:hAnsi="宋体" w:eastAsia="宋体" w:cs="宋体"/>
          <w:color w:val="auto"/>
          <w:kern w:val="0"/>
          <w:szCs w:val="21"/>
          <w:u w:val="single"/>
        </w:rPr>
      </w:pPr>
    </w:p>
    <w:p>
      <w:pPr>
        <w:spacing w:line="360" w:lineRule="auto"/>
        <w:ind w:firstLine="6300" w:firstLineChars="3000"/>
        <w:rPr>
          <w:rFonts w:hint="eastAsia" w:ascii="宋体" w:hAnsi="宋体" w:eastAsia="宋体" w:cs="宋体"/>
          <w:b/>
          <w:bCs/>
          <w:color w:val="auto"/>
          <w:kern w:val="0"/>
          <w:sz w:val="28"/>
          <w:szCs w:val="28"/>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p>
    <w:p>
      <w:pPr>
        <w:widowControl/>
        <w:jc w:val="left"/>
        <w:rPr>
          <w:rFonts w:hint="eastAsia" w:ascii="宋体" w:hAnsi="宋体" w:eastAsia="宋体" w:cs="宋体"/>
          <w:b/>
          <w:bCs/>
          <w:color w:val="auto"/>
          <w:kern w:val="0"/>
          <w:sz w:val="28"/>
          <w:szCs w:val="28"/>
        </w:rPr>
      </w:pPr>
    </w:p>
    <w:p>
      <w:pPr>
        <w:spacing w:line="360" w:lineRule="auto"/>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附件7  首次报价一览表</w:t>
      </w:r>
    </w:p>
    <w:p>
      <w:pPr>
        <w:pStyle w:val="2"/>
        <w:spacing w:line="360" w:lineRule="auto"/>
        <w:ind w:right="480"/>
        <w:jc w:val="left"/>
        <w:rPr>
          <w:rFonts w:hint="eastAsia" w:ascii="宋体" w:hAnsi="宋体" w:eastAsia="宋体" w:cs="宋体"/>
          <w:color w:val="auto"/>
        </w:rPr>
      </w:pPr>
    </w:p>
    <w:p>
      <w:pPr>
        <w:pStyle w:val="2"/>
        <w:spacing w:line="360" w:lineRule="auto"/>
        <w:ind w:right="482"/>
        <w:jc w:val="left"/>
        <w:rPr>
          <w:rFonts w:hint="eastAsia" w:ascii="宋体" w:hAnsi="宋体" w:eastAsia="宋体" w:cs="宋体"/>
          <w:color w:val="auto"/>
          <w:szCs w:val="21"/>
        </w:rPr>
      </w:pPr>
      <w:r>
        <w:rPr>
          <w:rFonts w:hint="eastAsia" w:ascii="宋体" w:hAnsi="宋体" w:eastAsia="宋体" w:cs="宋体"/>
          <w:color w:val="auto"/>
          <w:szCs w:val="21"/>
        </w:rPr>
        <w:t xml:space="preserve">项目名称：                       </w:t>
      </w:r>
    </w:p>
    <w:p>
      <w:pPr>
        <w:pStyle w:val="2"/>
        <w:spacing w:line="360" w:lineRule="auto"/>
        <w:ind w:right="482"/>
        <w:jc w:val="left"/>
        <w:rPr>
          <w:rFonts w:hint="eastAsia" w:ascii="宋体" w:hAnsi="宋体" w:eastAsia="宋体" w:cs="宋体"/>
          <w:color w:val="auto"/>
          <w:szCs w:val="21"/>
        </w:rPr>
      </w:pPr>
      <w:r>
        <w:rPr>
          <w:rFonts w:hint="eastAsia" w:ascii="宋体" w:hAnsi="宋体" w:eastAsia="宋体" w:cs="宋体"/>
          <w:color w:val="auto"/>
          <w:szCs w:val="21"/>
        </w:rPr>
        <w:t xml:space="preserve">项目编号： </w:t>
      </w:r>
    </w:p>
    <w:p>
      <w:pPr>
        <w:pStyle w:val="2"/>
        <w:spacing w:line="360" w:lineRule="auto"/>
        <w:ind w:right="482"/>
        <w:jc w:val="left"/>
        <w:rPr>
          <w:rFonts w:hint="eastAsia" w:ascii="宋体" w:hAnsi="宋体" w:eastAsia="宋体" w:cs="宋体"/>
          <w:color w:val="auto"/>
          <w:szCs w:val="21"/>
        </w:rPr>
      </w:pPr>
    </w:p>
    <w:tbl>
      <w:tblPr>
        <w:tblStyle w:val="88"/>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649"/>
        <w:gridCol w:w="2529"/>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jc w:val="center"/>
        </w:trPr>
        <w:tc>
          <w:tcPr>
            <w:tcW w:w="1922" w:type="dxa"/>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投标单位名称</w:t>
            </w:r>
          </w:p>
        </w:tc>
        <w:tc>
          <w:tcPr>
            <w:tcW w:w="2649" w:type="dxa"/>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投标总报价（元）</w:t>
            </w:r>
          </w:p>
        </w:tc>
        <w:tc>
          <w:tcPr>
            <w:tcW w:w="2529" w:type="dxa"/>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合同履行期限</w:t>
            </w:r>
          </w:p>
        </w:tc>
        <w:tc>
          <w:tcPr>
            <w:tcW w:w="2465" w:type="dxa"/>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22" w:type="dxa"/>
            <w:vMerge w:val="restart"/>
            <w:vAlign w:val="center"/>
          </w:tcPr>
          <w:p>
            <w:pPr>
              <w:widowControl/>
              <w:spacing w:line="360" w:lineRule="auto"/>
              <w:jc w:val="left"/>
              <w:rPr>
                <w:rFonts w:hint="eastAsia" w:ascii="宋体" w:hAnsi="宋体" w:eastAsia="宋体" w:cs="宋体"/>
                <w:color w:val="auto"/>
                <w:kern w:val="0"/>
                <w:szCs w:val="21"/>
              </w:rPr>
            </w:pPr>
          </w:p>
        </w:tc>
        <w:tc>
          <w:tcPr>
            <w:tcW w:w="2649" w:type="dxa"/>
            <w:vAlign w:val="center"/>
          </w:tcPr>
          <w:p>
            <w:p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小写：</w:t>
            </w:r>
          </w:p>
        </w:tc>
        <w:tc>
          <w:tcPr>
            <w:tcW w:w="2529" w:type="dxa"/>
            <w:vMerge w:val="restart"/>
            <w:vAlign w:val="center"/>
          </w:tcPr>
          <w:p>
            <w:pPr>
              <w:spacing w:line="360" w:lineRule="auto"/>
              <w:jc w:val="center"/>
              <w:rPr>
                <w:rFonts w:hint="eastAsia" w:ascii="宋体" w:hAnsi="宋体" w:eastAsia="宋体" w:cs="宋体"/>
                <w:color w:val="auto"/>
                <w:kern w:val="0"/>
                <w:szCs w:val="21"/>
              </w:rPr>
            </w:pPr>
          </w:p>
        </w:tc>
        <w:tc>
          <w:tcPr>
            <w:tcW w:w="2465" w:type="dxa"/>
            <w:vMerge w:val="restart"/>
            <w:vAlign w:val="center"/>
          </w:tcPr>
          <w:p>
            <w:pPr>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22" w:type="dxa"/>
            <w:vMerge w:val="continue"/>
            <w:vAlign w:val="center"/>
          </w:tcPr>
          <w:p>
            <w:pPr>
              <w:widowControl/>
              <w:spacing w:line="360" w:lineRule="auto"/>
              <w:jc w:val="left"/>
              <w:rPr>
                <w:rFonts w:hint="eastAsia" w:ascii="宋体" w:hAnsi="宋体" w:eastAsia="宋体" w:cs="宋体"/>
                <w:color w:val="auto"/>
                <w:kern w:val="0"/>
                <w:szCs w:val="21"/>
              </w:rPr>
            </w:pPr>
          </w:p>
        </w:tc>
        <w:tc>
          <w:tcPr>
            <w:tcW w:w="2649" w:type="dxa"/>
            <w:vAlign w:val="center"/>
          </w:tcPr>
          <w:p>
            <w:p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大写： </w:t>
            </w:r>
          </w:p>
        </w:tc>
        <w:tc>
          <w:tcPr>
            <w:tcW w:w="2529" w:type="dxa"/>
            <w:vMerge w:val="continue"/>
            <w:vAlign w:val="center"/>
          </w:tcPr>
          <w:p>
            <w:pPr>
              <w:spacing w:line="360" w:lineRule="auto"/>
              <w:jc w:val="left"/>
              <w:rPr>
                <w:rFonts w:hint="eastAsia" w:ascii="宋体" w:hAnsi="宋体" w:eastAsia="宋体" w:cs="宋体"/>
                <w:color w:val="auto"/>
                <w:kern w:val="0"/>
                <w:szCs w:val="21"/>
              </w:rPr>
            </w:pPr>
          </w:p>
        </w:tc>
        <w:tc>
          <w:tcPr>
            <w:tcW w:w="2465" w:type="dxa"/>
            <w:vMerge w:val="continue"/>
            <w:vAlign w:val="center"/>
          </w:tcPr>
          <w:p>
            <w:pPr>
              <w:spacing w:line="360" w:lineRule="auto"/>
              <w:jc w:val="left"/>
              <w:rPr>
                <w:rFonts w:hint="eastAsia" w:ascii="宋体" w:hAnsi="宋体" w:eastAsia="宋体" w:cs="宋体"/>
                <w:color w:val="auto"/>
                <w:kern w:val="0"/>
                <w:szCs w:val="21"/>
              </w:rPr>
            </w:pPr>
          </w:p>
        </w:tc>
      </w:tr>
    </w:tbl>
    <w:p>
      <w:pPr>
        <w:spacing w:line="360" w:lineRule="auto"/>
        <w:ind w:left="1206" w:leftChars="195" w:hanging="797" w:hangingChars="294"/>
        <w:jc w:val="left"/>
        <w:rPr>
          <w:rStyle w:val="91"/>
          <w:rFonts w:hint="eastAsia" w:ascii="宋体" w:hAnsi="宋体" w:eastAsia="宋体" w:cs="宋体"/>
          <w:color w:val="auto"/>
          <w:sz w:val="27"/>
          <w:szCs w:val="27"/>
          <w:shd w:val="clear" w:color="auto" w:fill="FFFFFF"/>
        </w:rPr>
      </w:pPr>
    </w:p>
    <w:p>
      <w:pPr>
        <w:adjustRightInd w:val="0"/>
        <w:snapToGrid w:val="0"/>
        <w:spacing w:line="360" w:lineRule="auto"/>
        <w:ind w:left="630" w:hanging="630" w:hangingChars="299"/>
        <w:jc w:val="left"/>
        <w:rPr>
          <w:rFonts w:hint="eastAsia" w:ascii="宋体" w:hAnsi="宋体" w:eastAsia="宋体" w:cs="宋体"/>
          <w:b/>
          <w:color w:val="auto"/>
          <w:szCs w:val="21"/>
        </w:rPr>
      </w:pP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注:1.供应商应按“采购人需求”的要求，根据实际情况进行报价。本表内的</w:t>
      </w:r>
      <w:r>
        <w:rPr>
          <w:rFonts w:hint="eastAsia" w:ascii="宋体" w:hAnsi="宋体" w:eastAsia="宋体" w:cs="宋体"/>
          <w:b/>
          <w:color w:val="auto"/>
          <w:kern w:val="0"/>
          <w:szCs w:val="21"/>
        </w:rPr>
        <w:t>响应报价为第一次报价</w:t>
      </w:r>
      <w:r>
        <w:rPr>
          <w:rFonts w:hint="eastAsia" w:ascii="宋体" w:hAnsi="宋体" w:eastAsia="宋体" w:cs="宋体"/>
          <w:b/>
          <w:color w:val="auto"/>
          <w:szCs w:val="21"/>
        </w:rPr>
        <w:t>；</w:t>
      </w:r>
    </w:p>
    <w:p>
      <w:pPr>
        <w:snapToGrid w:val="0"/>
        <w:spacing w:line="360" w:lineRule="auto"/>
        <w:ind w:left="515" w:leftChars="150" w:hanging="200" w:hangingChars="95"/>
        <w:rPr>
          <w:rFonts w:hint="eastAsia" w:ascii="宋体" w:hAnsi="宋体" w:eastAsia="宋体" w:cs="宋体"/>
          <w:b/>
          <w:color w:val="auto"/>
          <w:szCs w:val="21"/>
        </w:rPr>
      </w:pPr>
      <w:r>
        <w:rPr>
          <w:rFonts w:hint="eastAsia" w:ascii="宋体" w:hAnsi="宋体" w:eastAsia="宋体" w:cs="宋体"/>
          <w:b/>
          <w:color w:val="auto"/>
          <w:szCs w:val="21"/>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rPr>
      </w:pPr>
      <w:r>
        <w:rPr>
          <w:rFonts w:hint="eastAsia" w:ascii="宋体" w:hAnsi="宋体" w:eastAsia="宋体" w:cs="宋体"/>
          <w:b/>
          <w:color w:val="auto"/>
          <w:szCs w:val="21"/>
        </w:rPr>
        <w:t>3.中文大写金额用汉字，如壹、贰、叁、肆、伍、陆、柒、捌、玖、拾、佰、仟、万、亿、元、角、分、零、整（正）等。如：小写： 1230000，大写：</w:t>
      </w:r>
      <w:r>
        <w:rPr>
          <w:rFonts w:hint="eastAsia" w:ascii="宋体" w:hAnsi="宋体" w:eastAsia="宋体" w:cs="宋体"/>
          <w:b/>
          <w:color w:val="auto"/>
          <w:szCs w:val="21"/>
          <w:u w:val="single"/>
        </w:rPr>
        <w:t>壹佰贰拾叁万元整</w:t>
      </w:r>
      <w:r>
        <w:rPr>
          <w:rFonts w:hint="eastAsia" w:ascii="宋体" w:hAnsi="宋体" w:eastAsia="宋体" w:cs="宋体"/>
          <w:b/>
          <w:color w:val="auto"/>
          <w:szCs w:val="21"/>
        </w:rPr>
        <w:t>。</w:t>
      </w:r>
    </w:p>
    <w:p>
      <w:pPr>
        <w:snapToGrid w:val="0"/>
        <w:spacing w:line="360" w:lineRule="auto"/>
        <w:ind w:left="512" w:leftChars="195" w:hanging="103" w:hangingChars="49"/>
        <w:rPr>
          <w:rFonts w:hint="eastAsia" w:ascii="宋体" w:hAnsi="宋体" w:eastAsia="宋体" w:cs="宋体"/>
          <w:b/>
          <w:color w:val="auto"/>
          <w:szCs w:val="21"/>
        </w:rPr>
      </w:pPr>
      <w:r>
        <w:rPr>
          <w:rFonts w:hint="eastAsia" w:ascii="宋体" w:hAnsi="宋体" w:eastAsia="宋体" w:cs="宋体"/>
          <w:b/>
          <w:color w:val="auto"/>
          <w:szCs w:val="21"/>
        </w:rPr>
        <w:t>4.投标总报价应包含采购项目的全部费用，投标人不得再向采购人收取任何费用；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5.报价以人民币元为单位，保留小数点后两位；</w:t>
      </w:r>
    </w:p>
    <w:p>
      <w:pPr>
        <w:spacing w:line="360" w:lineRule="auto"/>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6.投标报价要求具体见第二章“投标报价”及采购人需求要求；</w:t>
      </w:r>
    </w:p>
    <w:p>
      <w:pPr>
        <w:spacing w:line="360" w:lineRule="auto"/>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7.本表格须附在正副的投标文件中，并另封装一份在 “唱标信封”内。</w:t>
      </w:r>
    </w:p>
    <w:p>
      <w:pPr>
        <w:adjustRightInd w:val="0"/>
        <w:snapToGrid w:val="0"/>
        <w:spacing w:line="360" w:lineRule="auto"/>
        <w:ind w:left="630" w:hanging="630" w:hangingChars="299"/>
        <w:jc w:val="left"/>
        <w:rPr>
          <w:rFonts w:hint="eastAsia" w:ascii="宋体" w:hAnsi="宋体" w:eastAsia="宋体" w:cs="宋体"/>
          <w:b/>
          <w:color w:val="auto"/>
          <w:szCs w:val="21"/>
        </w:rPr>
      </w:pPr>
    </w:p>
    <w:p>
      <w:pPr>
        <w:pStyle w:val="2"/>
        <w:tabs>
          <w:tab w:val="left" w:pos="3960"/>
        </w:tabs>
        <w:spacing w:line="360" w:lineRule="auto"/>
        <w:ind w:firstLine="4330" w:firstLineChars="2062"/>
        <w:jc w:val="left"/>
        <w:rPr>
          <w:rFonts w:hint="eastAsia" w:ascii="宋体" w:hAnsi="宋体" w:eastAsia="宋体" w:cs="宋体"/>
          <w:color w:val="auto"/>
          <w:szCs w:val="21"/>
        </w:rPr>
      </w:pPr>
    </w:p>
    <w:p>
      <w:pPr>
        <w:pStyle w:val="2"/>
        <w:tabs>
          <w:tab w:val="left" w:pos="3960"/>
        </w:tabs>
        <w:spacing w:line="360" w:lineRule="auto"/>
        <w:ind w:firstLine="4330" w:firstLineChars="2062"/>
        <w:jc w:val="left"/>
        <w:rPr>
          <w:rFonts w:hint="eastAsia" w:ascii="宋体" w:hAnsi="宋体" w:eastAsia="宋体" w:cs="宋体"/>
          <w:color w:val="auto"/>
          <w:szCs w:val="21"/>
        </w:rPr>
      </w:pP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供应商全称（加盖公章）:</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jc w:val="left"/>
        <w:rPr>
          <w:rFonts w:hint="eastAsia" w:ascii="宋体" w:hAnsi="宋体" w:eastAsia="宋体" w:cs="宋体"/>
          <w:b/>
          <w:color w:val="auto"/>
          <w:szCs w:val="21"/>
        </w:rPr>
      </w:pPr>
      <w:r>
        <w:rPr>
          <w:rFonts w:hint="eastAsia" w:ascii="宋体" w:hAnsi="宋体" w:eastAsia="宋体" w:cs="宋体"/>
          <w:bCs/>
          <w:color w:val="auto"/>
          <w:szCs w:val="21"/>
        </w:rPr>
        <w:t>日    期：     年   月   日</w:t>
      </w:r>
    </w:p>
    <w:p>
      <w:pPr>
        <w:pStyle w:val="2"/>
        <w:tabs>
          <w:tab w:val="left" w:pos="3960"/>
        </w:tabs>
        <w:spacing w:line="360" w:lineRule="auto"/>
        <w:ind w:firstLine="4330" w:firstLineChars="2062"/>
        <w:rPr>
          <w:rFonts w:hint="eastAsia" w:ascii="宋体" w:hAnsi="宋体" w:eastAsia="宋体" w:cs="宋体"/>
          <w:color w:val="auto"/>
        </w:rPr>
      </w:pPr>
    </w:p>
    <w:p>
      <w:pPr>
        <w:pStyle w:val="2"/>
        <w:tabs>
          <w:tab w:val="left" w:pos="3960"/>
        </w:tabs>
        <w:spacing w:line="360" w:lineRule="auto"/>
        <w:ind w:firstLine="4330" w:firstLineChars="2062"/>
        <w:rPr>
          <w:rFonts w:hint="eastAsia" w:ascii="宋体" w:hAnsi="宋体" w:eastAsia="宋体" w:cs="宋体"/>
          <w:color w:val="auto"/>
        </w:rPr>
      </w:pPr>
    </w:p>
    <w:p>
      <w:pPr>
        <w:pStyle w:val="2"/>
        <w:tabs>
          <w:tab w:val="left" w:pos="3960"/>
        </w:tabs>
        <w:spacing w:line="360" w:lineRule="auto"/>
        <w:ind w:firstLine="4330" w:firstLineChars="2062"/>
        <w:rPr>
          <w:rFonts w:hint="eastAsia" w:ascii="宋体" w:hAnsi="宋体" w:eastAsia="宋体" w:cs="宋体"/>
          <w:color w:val="auto"/>
        </w:rPr>
      </w:pPr>
    </w:p>
    <w:p>
      <w:pPr>
        <w:pStyle w:val="2"/>
        <w:tabs>
          <w:tab w:val="left" w:pos="3960"/>
        </w:tabs>
        <w:spacing w:line="360" w:lineRule="auto"/>
        <w:ind w:firstLine="4330" w:firstLineChars="2062"/>
        <w:rPr>
          <w:rFonts w:hint="eastAsia" w:ascii="宋体" w:hAnsi="宋体" w:eastAsia="宋体" w:cs="宋体"/>
          <w:color w:val="auto"/>
        </w:rPr>
      </w:pPr>
    </w:p>
    <w:p>
      <w:pPr>
        <w:pStyle w:val="97"/>
        <w:rPr>
          <w:rFonts w:hint="eastAsia" w:ascii="宋体" w:hAnsi="宋体" w:eastAsia="宋体" w:cs="宋体"/>
          <w:color w:val="auto"/>
        </w:rPr>
      </w:pPr>
    </w:p>
    <w:p>
      <w:pPr>
        <w:pStyle w:val="97"/>
        <w:rPr>
          <w:rFonts w:hint="eastAsia" w:ascii="宋体" w:hAnsi="宋体" w:eastAsia="宋体" w:cs="宋体"/>
          <w:color w:val="auto"/>
        </w:rPr>
      </w:pPr>
    </w:p>
    <w:p>
      <w:pPr>
        <w:pStyle w:val="2"/>
        <w:tabs>
          <w:tab w:val="left" w:pos="3960"/>
        </w:tabs>
        <w:spacing w:line="360" w:lineRule="auto"/>
        <w:ind w:firstLine="4330" w:firstLineChars="2062"/>
        <w:rPr>
          <w:rFonts w:hint="eastAsia" w:ascii="宋体" w:hAnsi="宋体" w:eastAsia="宋体" w:cs="宋体"/>
          <w:color w:val="auto"/>
        </w:rPr>
      </w:pPr>
    </w:p>
    <w:p>
      <w:pPr>
        <w:pStyle w:val="97"/>
        <w:rPr>
          <w:rFonts w:hint="eastAsia" w:ascii="宋体" w:hAnsi="宋体" w:eastAsia="宋体" w:cs="宋体"/>
          <w:color w:val="auto"/>
        </w:rPr>
      </w:pPr>
    </w:p>
    <w:p>
      <w:pPr>
        <w:pStyle w:val="97"/>
        <w:rPr>
          <w:rFonts w:hint="eastAsia" w:ascii="宋体" w:hAnsi="宋体" w:eastAsia="宋体" w:cs="宋体"/>
          <w:color w:val="auto"/>
        </w:rPr>
      </w:pPr>
    </w:p>
    <w:p>
      <w:pPr>
        <w:pStyle w:val="2"/>
        <w:tabs>
          <w:tab w:val="left" w:pos="3960"/>
        </w:tabs>
        <w:spacing w:line="360" w:lineRule="auto"/>
        <w:ind w:firstLine="4330" w:firstLineChars="2062"/>
        <w:rPr>
          <w:rFonts w:hint="eastAsia" w:ascii="宋体" w:hAnsi="宋体" w:eastAsia="宋体" w:cs="宋体"/>
          <w:color w:val="auto"/>
        </w:rPr>
      </w:pP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w:t>
      </w:r>
      <w:r>
        <w:rPr>
          <w:rFonts w:hint="eastAsia" w:ascii="宋体" w:hAnsi="宋体" w:eastAsia="宋体" w:cs="宋体"/>
          <w:b/>
          <w:bCs/>
          <w:color w:val="auto"/>
          <w:kern w:val="0"/>
          <w:sz w:val="28"/>
          <w:szCs w:val="28"/>
          <w:lang w:val="en-US" w:eastAsia="zh-CN"/>
        </w:rPr>
        <w:t>8</w:t>
      </w:r>
      <w:r>
        <w:rPr>
          <w:rFonts w:hint="eastAsia" w:ascii="宋体" w:hAnsi="宋体" w:eastAsia="宋体" w:cs="宋体"/>
          <w:b/>
          <w:bCs/>
          <w:color w:val="auto"/>
          <w:kern w:val="0"/>
          <w:sz w:val="28"/>
          <w:szCs w:val="28"/>
        </w:rPr>
        <w:t xml:space="preserve">  产品适用政府采购政策情况表</w:t>
      </w:r>
    </w:p>
    <w:p>
      <w:pPr>
        <w:spacing w:line="360" w:lineRule="auto"/>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产品适用政府采购政策情况表</w:t>
      </w:r>
    </w:p>
    <w:tbl>
      <w:tblPr>
        <w:tblStyle w:val="8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如属所列情形的，请在括号内打“√”：</w:t>
            </w:r>
          </w:p>
          <w:p>
            <w:pPr>
              <w:tabs>
                <w:tab w:val="left" w:pos="1260"/>
              </w:tabs>
              <w:spacing w:before="40" w:after="40" w:line="360" w:lineRule="auto"/>
              <w:jc w:val="left"/>
              <w:rPr>
                <w:rFonts w:hint="eastAsia" w:ascii="宋体" w:hAnsi="宋体" w:eastAsia="宋体" w:cs="宋体"/>
                <w:color w:val="auto"/>
                <w:szCs w:val="21"/>
              </w:rPr>
            </w:pPr>
            <w:r>
              <w:rPr>
                <w:rFonts w:hint="eastAsia" w:ascii="宋体" w:hAnsi="宋体" w:eastAsia="宋体" w:cs="宋体"/>
                <w:color w:val="auto"/>
                <w:szCs w:val="21"/>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制造商</w:t>
            </w:r>
          </w:p>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r>
              <w:rPr>
                <w:rFonts w:hint="eastAsia" w:ascii="宋体" w:hAnsi="宋体" w:eastAsia="宋体" w:cs="宋体"/>
                <w:color w:val="auto"/>
                <w:szCs w:val="21"/>
              </w:rPr>
              <w:t>小型、微型企业产品</w:t>
            </w:r>
            <w:r>
              <w:rPr>
                <w:rFonts w:hint="eastAsia" w:ascii="宋体" w:hAnsi="宋体" w:eastAsia="宋体" w:cs="宋体"/>
                <w:color w:val="auto"/>
                <w:szCs w:val="21"/>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rPr>
            </w:pPr>
            <w:r>
              <w:rPr>
                <w:rFonts w:hint="eastAsia" w:ascii="宋体" w:hAnsi="宋体" w:eastAsia="宋体" w:cs="宋体"/>
                <w:bCs/>
                <w:color w:val="auto"/>
                <w:szCs w:val="21"/>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r>
              <w:rPr>
                <w:rFonts w:hint="eastAsia" w:ascii="宋体" w:hAnsi="宋体" w:eastAsia="宋体" w:cs="宋体"/>
                <w:bCs/>
                <w:color w:val="auto"/>
                <w:szCs w:val="21"/>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r>
              <w:rPr>
                <w:rFonts w:hint="eastAsia" w:ascii="宋体" w:hAnsi="宋体" w:eastAsia="宋体" w:cs="宋体"/>
                <w:bCs/>
                <w:color w:val="auto"/>
                <w:szCs w:val="21"/>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使用价值量占总金额比重</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hint="eastAsia" w:ascii="宋体" w:hAnsi="宋体" w:eastAsia="宋体" w:cs="宋体"/>
                <w:color w:val="auto"/>
                <w:szCs w:val="21"/>
                <w:lang w:val="en-GB"/>
              </w:rPr>
            </w:pPr>
          </w:p>
        </w:tc>
      </w:tr>
    </w:tbl>
    <w:p>
      <w:pPr>
        <w:adjustRightInd w:val="0"/>
        <w:snapToGrid w:val="0"/>
        <w:spacing w:line="360" w:lineRule="auto"/>
        <w:jc w:val="left"/>
        <w:rPr>
          <w:rFonts w:hint="eastAsia" w:ascii="宋体" w:hAnsi="宋体" w:eastAsia="宋体" w:cs="宋体"/>
          <w:bCs/>
          <w:color w:val="auto"/>
          <w:szCs w:val="21"/>
        </w:rPr>
      </w:pPr>
    </w:p>
    <w:p>
      <w:pPr>
        <w:spacing w:line="360" w:lineRule="auto"/>
        <w:jc w:val="left"/>
        <w:rPr>
          <w:rFonts w:hint="eastAsia" w:ascii="宋体" w:hAnsi="宋体" w:eastAsia="宋体" w:cs="宋体"/>
          <w:bCs/>
          <w:color w:val="auto"/>
          <w:szCs w:val="21"/>
        </w:rPr>
      </w:pPr>
      <w:r>
        <w:rPr>
          <w:rFonts w:hint="eastAsia" w:ascii="宋体" w:hAnsi="宋体" w:eastAsia="宋体" w:cs="宋体"/>
          <w:color w:val="auto"/>
          <w:kern w:val="0"/>
          <w:szCs w:val="21"/>
        </w:rPr>
        <w:t>供应商</w:t>
      </w:r>
      <w:r>
        <w:rPr>
          <w:rFonts w:hint="eastAsia" w:ascii="宋体" w:hAnsi="宋体" w:eastAsia="宋体" w:cs="宋体"/>
          <w:bCs/>
          <w:color w:val="auto"/>
          <w:szCs w:val="21"/>
        </w:rPr>
        <w:t>全称（加盖公章）:</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日    期： 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  月  日</w:t>
      </w:r>
    </w:p>
    <w:p>
      <w:pPr>
        <w:spacing w:line="360" w:lineRule="auto"/>
        <w:jc w:val="left"/>
        <w:rPr>
          <w:rFonts w:hint="eastAsia" w:ascii="宋体" w:hAnsi="宋体" w:eastAsia="宋体" w:cs="宋体"/>
          <w:bCs/>
          <w:color w:val="auto"/>
          <w:szCs w:val="21"/>
        </w:rPr>
      </w:pPr>
    </w:p>
    <w:p>
      <w:pPr>
        <w:spacing w:line="360" w:lineRule="auto"/>
        <w:ind w:left="721" w:hanging="721" w:hangingChars="342"/>
        <w:jc w:val="left"/>
        <w:rPr>
          <w:rFonts w:hint="eastAsia" w:ascii="宋体" w:hAnsi="宋体" w:eastAsia="宋体" w:cs="宋体"/>
          <w:b/>
          <w:color w:val="auto"/>
          <w:szCs w:val="21"/>
          <w:lang w:val="en-GB"/>
        </w:rPr>
      </w:pPr>
      <w:r>
        <w:rPr>
          <w:rFonts w:hint="eastAsia" w:ascii="宋体" w:hAnsi="宋体" w:eastAsia="宋体" w:cs="宋体"/>
          <w:b/>
          <w:color w:val="auto"/>
          <w:szCs w:val="21"/>
          <w:lang w:val="en-GB"/>
        </w:rPr>
        <w:t>填报要求：</w:t>
      </w:r>
    </w:p>
    <w:p>
      <w:pPr>
        <w:widowControl/>
        <w:tabs>
          <w:tab w:val="left" w:pos="0"/>
        </w:tabs>
        <w:spacing w:line="360" w:lineRule="auto"/>
        <w:ind w:right="84" w:rightChars="40" w:firstLine="420" w:firstLineChars="200"/>
        <w:jc w:val="left"/>
        <w:rPr>
          <w:rFonts w:hint="eastAsia" w:ascii="宋体" w:hAnsi="宋体" w:eastAsia="宋体" w:cs="宋体"/>
          <w:color w:val="auto"/>
          <w:szCs w:val="21"/>
          <w:lang w:val="en-GB"/>
        </w:rPr>
      </w:pPr>
      <w:r>
        <w:rPr>
          <w:rFonts w:hint="eastAsia" w:ascii="宋体" w:hAnsi="宋体" w:eastAsia="宋体" w:cs="宋体"/>
          <w:color w:val="auto"/>
          <w:szCs w:val="21"/>
        </w:rPr>
        <w:t>1.</w:t>
      </w:r>
      <w:r>
        <w:rPr>
          <w:rFonts w:hint="eastAsia" w:ascii="宋体" w:hAnsi="宋体" w:eastAsia="宋体" w:cs="宋体"/>
          <w:color w:val="auto"/>
          <w:szCs w:val="21"/>
          <w:lang w:val="en-GB"/>
        </w:rPr>
        <w:t>本表的产品名称、规格型号和注册商标、金额应与《报价明细表》一致。</w:t>
      </w:r>
    </w:p>
    <w:p>
      <w:pPr>
        <w:spacing w:line="360" w:lineRule="auto"/>
        <w:ind w:firstLine="420" w:firstLineChars="200"/>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hint="eastAsia" w:ascii="宋体" w:hAnsi="宋体" w:eastAsia="宋体" w:cs="宋体"/>
          <w:color w:val="auto"/>
          <w:szCs w:val="21"/>
        </w:rPr>
      </w:pPr>
      <w:r>
        <w:rPr>
          <w:rFonts w:hint="eastAsia" w:ascii="宋体" w:hAnsi="宋体" w:eastAsia="宋体" w:cs="宋体"/>
          <w:color w:val="auto"/>
          <w:szCs w:val="21"/>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eastAsia="宋体" w:cs="宋体"/>
          <w:color w:val="auto"/>
          <w:kern w:val="0"/>
          <w:szCs w:val="21"/>
        </w:rPr>
        <w:t>供应商</w:t>
      </w:r>
      <w:r>
        <w:rPr>
          <w:rFonts w:hint="eastAsia" w:ascii="宋体" w:hAnsi="宋体" w:eastAsia="宋体" w:cs="宋体"/>
          <w:color w:val="auto"/>
          <w:szCs w:val="21"/>
        </w:rPr>
        <w:t>公章，节能清单在中国政府采购网（http：//www.ccgp.gov .cn/）、国家发展改革委网站（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"http://hzs.nd/" </w:instrText>
      </w:r>
      <w:r>
        <w:rPr>
          <w:rFonts w:hint="eastAsia" w:ascii="宋体" w:hAnsi="宋体" w:eastAsia="宋体" w:cs="宋体"/>
          <w:color w:val="auto"/>
        </w:rPr>
        <w:fldChar w:fldCharType="separate"/>
      </w:r>
      <w:r>
        <w:rPr>
          <w:rStyle w:val="94"/>
          <w:rFonts w:hint="eastAsia" w:ascii="宋体" w:hAnsi="宋体" w:eastAsia="宋体" w:cs="宋体"/>
          <w:color w:val="auto"/>
          <w:szCs w:val="21"/>
        </w:rPr>
        <w:t>http://hzs.nd</w:t>
      </w:r>
      <w:r>
        <w:rPr>
          <w:rStyle w:val="94"/>
          <w:rFonts w:hint="eastAsia" w:ascii="宋体" w:hAnsi="宋体" w:eastAsia="宋体" w:cs="宋体"/>
          <w:color w:val="auto"/>
          <w:szCs w:val="21"/>
        </w:rPr>
        <w:fldChar w:fldCharType="end"/>
      </w:r>
      <w:r>
        <w:rPr>
          <w:rFonts w:hint="eastAsia" w:ascii="宋体" w:hAnsi="宋体" w:eastAsia="宋体" w:cs="宋体"/>
          <w:color w:val="auto"/>
          <w:szCs w:val="21"/>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hint="eastAsia" w:ascii="宋体" w:hAnsi="宋体" w:eastAsia="宋体" w:cs="宋体"/>
          <w:color w:val="auto"/>
          <w:szCs w:val="21"/>
        </w:rPr>
      </w:pPr>
      <w:r>
        <w:rPr>
          <w:rFonts w:hint="eastAsia" w:ascii="宋体" w:hAnsi="宋体" w:eastAsia="宋体" w:cs="宋体"/>
          <w:color w:val="auto"/>
          <w:szCs w:val="21"/>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eastAsia="宋体" w:cs="宋体"/>
          <w:color w:val="auto"/>
          <w:kern w:val="0"/>
          <w:szCs w:val="21"/>
        </w:rPr>
        <w:t>供应商</w:t>
      </w:r>
      <w:r>
        <w:rPr>
          <w:rFonts w:hint="eastAsia" w:ascii="宋体" w:hAnsi="宋体" w:eastAsia="宋体" w:cs="宋体"/>
          <w:color w:val="auto"/>
          <w:szCs w:val="21"/>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hint="eastAsia" w:ascii="宋体" w:hAnsi="宋体" w:eastAsia="宋体" w:cs="宋体"/>
          <w:color w:val="auto"/>
          <w:szCs w:val="21"/>
          <w:lang w:val="en-GB"/>
        </w:rPr>
      </w:pPr>
      <w:r>
        <w:rPr>
          <w:rFonts w:hint="eastAsia" w:ascii="宋体" w:hAnsi="宋体" w:eastAsia="宋体" w:cs="宋体"/>
          <w:color w:val="auto"/>
          <w:szCs w:val="21"/>
        </w:rPr>
        <w:t>4.</w:t>
      </w:r>
      <w:r>
        <w:rPr>
          <w:rFonts w:hint="eastAsia" w:ascii="宋体" w:hAnsi="宋体" w:eastAsia="宋体" w:cs="宋体"/>
          <w:color w:val="auto"/>
          <w:szCs w:val="21"/>
          <w:lang w:val="en-GB"/>
        </w:rPr>
        <w:t xml:space="preserve"> 请</w:t>
      </w:r>
      <w:r>
        <w:rPr>
          <w:rFonts w:hint="eastAsia" w:ascii="宋体" w:hAnsi="宋体" w:eastAsia="宋体" w:cs="宋体"/>
          <w:color w:val="auto"/>
          <w:kern w:val="0"/>
          <w:szCs w:val="21"/>
        </w:rPr>
        <w:t>供应商</w:t>
      </w:r>
      <w:r>
        <w:rPr>
          <w:rFonts w:hint="eastAsia" w:ascii="宋体" w:hAnsi="宋体" w:eastAsia="宋体" w:cs="宋体"/>
          <w:color w:val="auto"/>
          <w:szCs w:val="21"/>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hint="eastAsia" w:ascii="宋体" w:hAnsi="宋体" w:eastAsia="宋体" w:cs="宋体"/>
          <w:b/>
          <w:bCs/>
          <w:color w:val="auto"/>
          <w:kern w:val="0"/>
          <w:sz w:val="28"/>
          <w:szCs w:val="28"/>
        </w:rPr>
      </w:pPr>
      <w:r>
        <w:rPr>
          <w:rFonts w:hint="eastAsia" w:ascii="宋体" w:hAnsi="宋体" w:eastAsia="宋体" w:cs="宋体"/>
          <w:color w:val="auto"/>
          <w:szCs w:val="21"/>
          <w:lang w:val="en-GB"/>
        </w:rPr>
        <w:t>5.</w:t>
      </w:r>
      <w:r>
        <w:rPr>
          <w:rFonts w:hint="eastAsia" w:ascii="宋体" w:hAnsi="宋体" w:eastAsia="宋体" w:cs="宋体"/>
          <w:bCs/>
          <w:color w:val="auto"/>
          <w:szCs w:val="21"/>
        </w:rPr>
        <w:t>上述文件均加盖</w:t>
      </w:r>
      <w:r>
        <w:rPr>
          <w:rFonts w:hint="eastAsia" w:ascii="宋体" w:hAnsi="宋体" w:eastAsia="宋体" w:cs="宋体"/>
          <w:color w:val="auto"/>
          <w:kern w:val="0"/>
          <w:szCs w:val="21"/>
        </w:rPr>
        <w:t>供应商</w:t>
      </w:r>
      <w:r>
        <w:rPr>
          <w:rFonts w:hint="eastAsia" w:ascii="宋体" w:hAnsi="宋体" w:eastAsia="宋体" w:cs="宋体"/>
          <w:bCs/>
          <w:color w:val="auto"/>
          <w:szCs w:val="21"/>
        </w:rPr>
        <w:t>公章。</w:t>
      </w: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adjustRightInd w:val="0"/>
        <w:snapToGrid w:val="0"/>
        <w:spacing w:line="360" w:lineRule="auto"/>
        <w:rPr>
          <w:rFonts w:hint="eastAsia" w:ascii="宋体" w:hAnsi="宋体" w:eastAsia="宋体" w:cs="宋体"/>
          <w:b/>
          <w:bCs/>
          <w:color w:val="auto"/>
          <w:kern w:val="0"/>
          <w:sz w:val="28"/>
          <w:szCs w:val="28"/>
        </w:rPr>
      </w:pP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w:t>
      </w:r>
      <w:r>
        <w:rPr>
          <w:rFonts w:hint="eastAsia" w:ascii="宋体" w:hAnsi="宋体" w:eastAsia="宋体" w:cs="宋体"/>
          <w:b/>
          <w:bCs/>
          <w:color w:val="auto"/>
          <w:kern w:val="0"/>
          <w:sz w:val="28"/>
          <w:szCs w:val="28"/>
          <w:lang w:val="en-US" w:eastAsia="zh-CN"/>
        </w:rPr>
        <w:t>9</w:t>
      </w:r>
      <w:r>
        <w:rPr>
          <w:rFonts w:hint="eastAsia" w:ascii="宋体" w:hAnsi="宋体" w:eastAsia="宋体" w:cs="宋体"/>
          <w:b/>
          <w:bCs/>
          <w:color w:val="auto"/>
          <w:kern w:val="0"/>
          <w:sz w:val="28"/>
          <w:szCs w:val="28"/>
        </w:rPr>
        <w:t xml:space="preserve">  中小企业声明函</w:t>
      </w:r>
    </w:p>
    <w:p>
      <w:pPr>
        <w:spacing w:line="360" w:lineRule="auto"/>
        <w:ind w:firstLine="3373" w:firstLineChars="1600"/>
        <w:rPr>
          <w:rFonts w:hint="eastAsia" w:ascii="宋体" w:hAnsi="宋体" w:eastAsia="宋体" w:cs="宋体"/>
          <w:b/>
          <w:color w:val="auto"/>
          <w:kern w:val="0"/>
          <w:szCs w:val="21"/>
        </w:rPr>
      </w:pPr>
    </w:p>
    <w:p>
      <w:pPr>
        <w:spacing w:line="360" w:lineRule="auto"/>
        <w:ind w:firstLine="3373" w:firstLineChars="1600"/>
        <w:rPr>
          <w:rFonts w:hint="eastAsia" w:ascii="宋体" w:hAnsi="宋体" w:eastAsia="宋体" w:cs="宋体"/>
          <w:color w:val="auto"/>
        </w:rPr>
      </w:pPr>
      <w:r>
        <w:rPr>
          <w:rFonts w:hint="eastAsia" w:ascii="宋体" w:hAnsi="宋体" w:eastAsia="宋体" w:cs="宋体"/>
          <w:b/>
          <w:color w:val="auto"/>
          <w:kern w:val="0"/>
          <w:szCs w:val="21"/>
        </w:rPr>
        <w:t>中小企业声明函（工程）</w:t>
      </w:r>
    </w:p>
    <w:p>
      <w:pPr>
        <w:widowControl/>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本公司（联合体）郑重声明，根据《政府采购促进中小企业发展管理办法》 (财库（2020) 46号）的规定，本公司（联合体）参加</w:t>
      </w:r>
      <w:r>
        <w:rPr>
          <w:rFonts w:hint="eastAsia" w:ascii="宋体" w:hAnsi="宋体" w:eastAsia="宋体" w:cs="宋体"/>
          <w:i/>
          <w:iCs/>
          <w:color w:val="auto"/>
          <w:kern w:val="0"/>
          <w:szCs w:val="21"/>
          <w:u w:val="single"/>
        </w:rPr>
        <w:t>（单位名称）</w:t>
      </w:r>
      <w:r>
        <w:rPr>
          <w:rFonts w:hint="eastAsia" w:ascii="宋体" w:hAnsi="宋体" w:eastAsia="宋体" w:cs="宋体"/>
          <w:color w:val="auto"/>
          <w:kern w:val="0"/>
          <w:szCs w:val="21"/>
        </w:rPr>
        <w:t>的</w:t>
      </w:r>
      <w:r>
        <w:rPr>
          <w:rFonts w:hint="eastAsia" w:ascii="宋体" w:hAnsi="宋体" w:eastAsia="宋体" w:cs="宋体"/>
          <w:i/>
          <w:iCs/>
          <w:color w:val="auto"/>
          <w:kern w:val="0"/>
          <w:szCs w:val="21"/>
          <w:u w:val="single"/>
        </w:rPr>
        <w:t>（项目名称）</w:t>
      </w:r>
      <w:r>
        <w:rPr>
          <w:rFonts w:hint="eastAsia" w:ascii="宋体" w:hAnsi="宋体" w:eastAsia="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i/>
          <w:iCs/>
          <w:color w:val="auto"/>
          <w:kern w:val="0"/>
          <w:szCs w:val="21"/>
          <w:u w:val="single"/>
        </w:rPr>
        <w:t>(标的名称）</w:t>
      </w:r>
      <w:r>
        <w:rPr>
          <w:rFonts w:hint="eastAsia" w:ascii="宋体" w:hAnsi="宋体" w:eastAsia="宋体" w:cs="宋体"/>
          <w:color w:val="auto"/>
          <w:kern w:val="0"/>
          <w:szCs w:val="21"/>
        </w:rPr>
        <w:t>，属于</w:t>
      </w:r>
      <w:r>
        <w:rPr>
          <w:rFonts w:hint="eastAsia" w:ascii="宋体" w:hAnsi="宋体" w:eastAsia="宋体" w:cs="宋体"/>
          <w:i/>
          <w:iCs/>
          <w:color w:val="auto"/>
          <w:kern w:val="0"/>
          <w:szCs w:val="21"/>
          <w:u w:val="single"/>
        </w:rPr>
        <w:t>（采购文件中明确的所属行业）</w:t>
      </w:r>
      <w:r>
        <w:rPr>
          <w:rFonts w:hint="eastAsia" w:ascii="宋体" w:hAnsi="宋体" w:eastAsia="宋体" w:cs="宋体"/>
          <w:color w:val="auto"/>
          <w:kern w:val="0"/>
          <w:szCs w:val="21"/>
        </w:rPr>
        <w:t>行业；承建（承接）企业为</w:t>
      </w:r>
      <w:r>
        <w:rPr>
          <w:rFonts w:hint="eastAsia" w:ascii="宋体" w:hAnsi="宋体" w:eastAsia="宋体" w:cs="宋体"/>
          <w:i/>
          <w:iCs/>
          <w:color w:val="auto"/>
          <w:kern w:val="0"/>
          <w:szCs w:val="21"/>
          <w:u w:val="single"/>
        </w:rPr>
        <w:t>（企业名称）</w:t>
      </w:r>
      <w:r>
        <w:rPr>
          <w:rFonts w:hint="eastAsia" w:ascii="宋体" w:hAnsi="宋体" w:eastAsia="宋体" w:cs="宋体"/>
          <w:color w:val="auto"/>
          <w:kern w:val="0"/>
          <w:szCs w:val="21"/>
        </w:rPr>
        <w:t>， 从业人员</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人，营业收入为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万元，资产总额为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万元， 属于</w:t>
      </w:r>
      <w:r>
        <w:rPr>
          <w:rFonts w:hint="eastAsia" w:ascii="宋体" w:hAnsi="宋体" w:eastAsia="宋体" w:cs="宋体"/>
          <w:i/>
          <w:iCs/>
          <w:color w:val="auto"/>
          <w:kern w:val="0"/>
          <w:szCs w:val="21"/>
          <w:u w:val="single"/>
        </w:rPr>
        <w:t>（中型企业，小型企业、微型企业）</w:t>
      </w:r>
      <w:r>
        <w:rPr>
          <w:rFonts w:hint="eastAsia" w:ascii="宋体" w:hAnsi="宋体" w:eastAsia="宋体" w:cs="宋体"/>
          <w:color w:val="auto"/>
          <w:kern w:val="0"/>
          <w:szCs w:val="21"/>
        </w:rPr>
        <w:t xml:space="preserve">； </w:t>
      </w:r>
    </w:p>
    <w:p>
      <w:pPr>
        <w:widowControl/>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以上企业，不属于大企业的分支机构，不存在控股股东为大企业的情形，也不存在与大企业的负责人为同一人的情形。</w:t>
      </w:r>
    </w:p>
    <w:p>
      <w:pPr>
        <w:widowControl/>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本企业对上述声明内容的真实性负责。如有虚假，将依法承担相应责任。</w:t>
      </w:r>
    </w:p>
    <w:p>
      <w:pPr>
        <w:widowControl/>
        <w:spacing w:line="360" w:lineRule="auto"/>
        <w:ind w:firstLine="5670" w:firstLineChars="2700"/>
        <w:jc w:val="left"/>
        <w:rPr>
          <w:rFonts w:hint="eastAsia" w:ascii="宋体" w:hAnsi="宋体" w:eastAsia="宋体" w:cs="宋体"/>
          <w:color w:val="auto"/>
          <w:kern w:val="0"/>
          <w:szCs w:val="21"/>
        </w:rPr>
      </w:pPr>
    </w:p>
    <w:p>
      <w:pPr>
        <w:widowControl/>
        <w:spacing w:line="360" w:lineRule="auto"/>
        <w:ind w:firstLine="5670" w:firstLineChars="270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w:t>
      </w:r>
    </w:p>
    <w:p>
      <w:pPr>
        <w:widowControl/>
        <w:spacing w:line="360" w:lineRule="auto"/>
        <w:ind w:firstLine="6930" w:firstLineChars="3300"/>
        <w:jc w:val="left"/>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pPr>
        <w:spacing w:line="360" w:lineRule="auto"/>
        <w:rPr>
          <w:rFonts w:hint="eastAsia" w:ascii="宋体" w:hAnsi="宋体" w:eastAsia="宋体" w:cs="宋体"/>
          <w:color w:val="auto"/>
          <w:kern w:val="0"/>
          <w:szCs w:val="21"/>
        </w:rPr>
      </w:pPr>
    </w:p>
    <w:p>
      <w:pPr>
        <w:spacing w:line="360" w:lineRule="auto"/>
        <w:rPr>
          <w:rFonts w:hint="eastAsia" w:ascii="宋体" w:hAnsi="宋体" w:eastAsia="宋体" w:cs="宋体"/>
          <w:b/>
          <w:bCs/>
          <w:color w:val="auto"/>
          <w:kern w:val="0"/>
          <w:szCs w:val="21"/>
        </w:rPr>
      </w:pPr>
      <w:r>
        <w:rPr>
          <w:rFonts w:hint="eastAsia" w:ascii="宋体" w:hAnsi="宋体" w:eastAsia="宋体" w:cs="宋体"/>
          <w:color w:val="auto"/>
          <w:kern w:val="0"/>
          <w:szCs w:val="21"/>
        </w:rPr>
        <w:t>备注：从业人员、营业收入、资产总额填报上一年度数据，无上一年度数据的新成立企业可不填报。</w:t>
      </w:r>
    </w:p>
    <w:p>
      <w:pPr>
        <w:pStyle w:val="6"/>
        <w:rPr>
          <w:rFonts w:hint="eastAsia" w:ascii="宋体" w:hAnsi="宋体" w:eastAsia="宋体" w:cs="宋体"/>
          <w:bCs/>
          <w:color w:val="auto"/>
          <w:szCs w:val="28"/>
        </w:rPr>
      </w:pPr>
      <w:r>
        <w:rPr>
          <w:rFonts w:hint="eastAsia" w:ascii="宋体" w:hAnsi="宋体" w:eastAsia="宋体" w:cs="宋体"/>
          <w:b w:val="0"/>
          <w:bCs/>
          <w:color w:val="auto"/>
          <w:szCs w:val="28"/>
        </w:rPr>
        <w:br w:type="page"/>
      </w:r>
      <w:r>
        <w:rPr>
          <w:rFonts w:hint="eastAsia" w:ascii="宋体" w:hAnsi="宋体" w:eastAsia="宋体" w:cs="宋体"/>
          <w:bCs/>
          <w:color w:val="auto"/>
          <w:szCs w:val="28"/>
        </w:rPr>
        <w:t>附件1</w:t>
      </w:r>
      <w:r>
        <w:rPr>
          <w:rFonts w:hint="eastAsia" w:ascii="宋体" w:hAnsi="宋体" w:eastAsia="宋体" w:cs="宋体"/>
          <w:bCs/>
          <w:color w:val="auto"/>
          <w:szCs w:val="28"/>
          <w:lang w:val="en-US" w:eastAsia="zh-CN"/>
        </w:rPr>
        <w:t>0</w:t>
      </w:r>
      <w:r>
        <w:rPr>
          <w:rFonts w:hint="eastAsia" w:ascii="宋体" w:hAnsi="宋体" w:eastAsia="宋体" w:cs="宋体"/>
          <w:bCs/>
          <w:color w:val="auto"/>
          <w:szCs w:val="28"/>
        </w:rPr>
        <w:t xml:space="preserve"> 监狱企业的证明文件（如适用）</w:t>
      </w:r>
    </w:p>
    <w:p>
      <w:pPr>
        <w:spacing w:line="360" w:lineRule="auto"/>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说明：监狱企业参加政府采购活动时，应当提供由省级以上监狱管理局、戒毒管理局（含新疆生产建设兵团）出具的属于监狱企业的证明文件。</w:t>
      </w:r>
    </w:p>
    <w:p>
      <w:pPr>
        <w:pStyle w:val="6"/>
        <w:ind w:firstLine="422" w:firstLineChars="200"/>
        <w:rPr>
          <w:rFonts w:hint="eastAsia" w:ascii="宋体" w:hAnsi="宋体" w:eastAsia="宋体" w:cs="宋体"/>
          <w:color w:val="auto"/>
          <w:sz w:val="21"/>
          <w:szCs w:val="21"/>
        </w:rPr>
      </w:pPr>
      <w:bookmarkStart w:id="610" w:name="OLE_LINK13"/>
      <w:bookmarkStart w:id="611" w:name="OLE_LINK14"/>
    </w:p>
    <w:p>
      <w:pPr>
        <w:pStyle w:val="6"/>
        <w:rPr>
          <w:rFonts w:hint="eastAsia" w:ascii="宋体" w:hAnsi="宋体" w:eastAsia="宋体" w:cs="宋体"/>
          <w:color w:val="auto"/>
          <w:sz w:val="21"/>
          <w:szCs w:val="21"/>
        </w:rPr>
      </w:pPr>
    </w:p>
    <w:p>
      <w:pPr>
        <w:pStyle w:val="6"/>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报价人全称（加盖公章）:</w:t>
      </w:r>
      <w:r>
        <w:rPr>
          <w:rFonts w:hint="eastAsia" w:ascii="宋体" w:hAnsi="宋体" w:eastAsia="宋体" w:cs="宋体"/>
          <w:b w:val="0"/>
          <w:bCs/>
          <w:color w:val="auto"/>
          <w:sz w:val="21"/>
          <w:szCs w:val="21"/>
          <w:u w:val="single"/>
        </w:rPr>
        <w:t xml:space="preserve">                         </w:t>
      </w:r>
    </w:p>
    <w:p>
      <w:pPr>
        <w:pStyle w:val="6"/>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法定代表或其授权代表(签字或签章)：</w:t>
      </w:r>
      <w:r>
        <w:rPr>
          <w:rFonts w:hint="eastAsia" w:ascii="宋体" w:hAnsi="宋体" w:eastAsia="宋体" w:cs="宋体"/>
          <w:b w:val="0"/>
          <w:bCs/>
          <w:color w:val="auto"/>
          <w:sz w:val="21"/>
          <w:szCs w:val="21"/>
          <w:u w:val="single"/>
        </w:rPr>
        <w:t xml:space="preserve">                        </w:t>
      </w:r>
    </w:p>
    <w:p>
      <w:pPr>
        <w:pStyle w:val="6"/>
        <w:rPr>
          <w:rFonts w:hint="eastAsia" w:ascii="宋体" w:hAnsi="宋体" w:eastAsia="宋体" w:cs="宋体"/>
          <w:color w:val="auto"/>
          <w:sz w:val="24"/>
          <w:szCs w:val="24"/>
        </w:rPr>
      </w:pPr>
      <w:r>
        <w:rPr>
          <w:rFonts w:hint="eastAsia" w:ascii="宋体" w:hAnsi="宋体" w:eastAsia="宋体" w:cs="宋体"/>
          <w:b w:val="0"/>
          <w:bCs/>
          <w:color w:val="auto"/>
          <w:sz w:val="21"/>
          <w:szCs w:val="21"/>
        </w:rPr>
        <w:t>日    期： 202</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年  月  日</w:t>
      </w:r>
      <w:r>
        <w:rPr>
          <w:rFonts w:hint="eastAsia" w:ascii="宋体" w:hAnsi="宋体" w:eastAsia="宋体" w:cs="宋体"/>
          <w:color w:val="auto"/>
          <w:sz w:val="21"/>
          <w:szCs w:val="21"/>
        </w:rPr>
        <w:br w:type="page"/>
      </w:r>
      <w:bookmarkStart w:id="612" w:name="_Toc512331248"/>
    </w:p>
    <w:p>
      <w:pPr>
        <w:pStyle w:val="6"/>
        <w:rPr>
          <w:rFonts w:hint="eastAsia" w:ascii="宋体" w:hAnsi="宋体" w:eastAsia="宋体" w:cs="宋体"/>
          <w:bCs/>
          <w:color w:val="auto"/>
          <w:szCs w:val="28"/>
        </w:rPr>
      </w:pPr>
      <w:r>
        <w:rPr>
          <w:rFonts w:hint="eastAsia" w:ascii="宋体" w:hAnsi="宋体" w:eastAsia="宋体" w:cs="宋体"/>
          <w:bCs/>
          <w:color w:val="auto"/>
          <w:szCs w:val="28"/>
        </w:rPr>
        <w:t>附件1</w:t>
      </w:r>
      <w:r>
        <w:rPr>
          <w:rFonts w:hint="eastAsia" w:ascii="宋体" w:hAnsi="宋体" w:eastAsia="宋体" w:cs="宋体"/>
          <w:bCs/>
          <w:color w:val="auto"/>
          <w:szCs w:val="28"/>
          <w:lang w:val="en-US" w:eastAsia="zh-CN"/>
        </w:rPr>
        <w:t>1</w:t>
      </w:r>
      <w:r>
        <w:rPr>
          <w:rFonts w:hint="eastAsia" w:ascii="宋体" w:hAnsi="宋体" w:eastAsia="宋体" w:cs="宋体"/>
          <w:bCs/>
          <w:color w:val="auto"/>
          <w:szCs w:val="28"/>
        </w:rPr>
        <w:t xml:space="preserve"> 残疾人福利性单位声明函（如适用）</w:t>
      </w:r>
      <w:bookmarkEnd w:id="612"/>
    </w:p>
    <w:p>
      <w:pPr>
        <w:rPr>
          <w:rFonts w:hint="eastAsia" w:ascii="宋体" w:hAnsi="宋体" w:eastAsia="宋体" w:cs="宋体"/>
          <w:color w:val="auto"/>
        </w:rPr>
      </w:pPr>
    </w:p>
    <w:bookmarkEnd w:id="610"/>
    <w:bookmarkEnd w:id="611"/>
    <w:p>
      <w:pPr>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本单位郑重声明，根据《财政部 民政部 中国残疾人联合会关于促进残疾人就业政府采购政策的通知》（财库</w:t>
      </w:r>
      <w:r>
        <w:rPr>
          <w:rFonts w:hint="eastAsia" w:ascii="宋体" w:hAnsi="宋体" w:eastAsia="宋体" w:cs="宋体"/>
          <w:color w:val="auto"/>
          <w:szCs w:val="21"/>
        </w:rPr>
        <w:t>〔2017〕 141</w:t>
      </w:r>
      <w:r>
        <w:rPr>
          <w:rFonts w:hint="eastAsia" w:ascii="宋体" w:hAnsi="宋体" w:eastAsia="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本单位对上述声明的真实性负责。如有虚假，将依法承担相应责任。</w:t>
      </w:r>
    </w:p>
    <w:p>
      <w:pPr>
        <w:spacing w:line="360" w:lineRule="auto"/>
        <w:ind w:firstLine="444" w:firstLineChars="200"/>
        <w:rPr>
          <w:rFonts w:hint="eastAsia" w:ascii="宋体" w:hAnsi="宋体" w:eastAsia="宋体" w:cs="宋体"/>
          <w:color w:val="auto"/>
          <w:spacing w:val="6"/>
          <w:szCs w:val="21"/>
        </w:rPr>
      </w:pPr>
    </w:p>
    <w:p>
      <w:pPr>
        <w:spacing w:line="360" w:lineRule="auto"/>
        <w:ind w:firstLine="444" w:firstLineChars="200"/>
        <w:rPr>
          <w:rFonts w:hint="eastAsia" w:ascii="宋体" w:hAnsi="宋体" w:eastAsia="宋体" w:cs="宋体"/>
          <w:color w:val="auto"/>
          <w:spacing w:val="6"/>
          <w:szCs w:val="21"/>
        </w:rPr>
      </w:pPr>
    </w:p>
    <w:p>
      <w:pPr>
        <w:tabs>
          <w:tab w:val="left" w:pos="4860"/>
        </w:tabs>
        <w:spacing w:line="360" w:lineRule="auto"/>
        <w:ind w:firstLine="3996" w:firstLineChars="1800"/>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单位名称（盖章）：</w:t>
      </w:r>
      <w:r>
        <w:rPr>
          <w:rFonts w:hint="eastAsia" w:ascii="宋体" w:hAnsi="宋体" w:eastAsia="宋体" w:cs="宋体"/>
          <w:color w:val="auto"/>
          <w:spacing w:val="6"/>
          <w:szCs w:val="21"/>
          <w:u w:val="single"/>
        </w:rPr>
        <w:t xml:space="preserve">                     </w:t>
      </w:r>
    </w:p>
    <w:p>
      <w:pPr>
        <w:tabs>
          <w:tab w:val="left" w:pos="4860"/>
        </w:tabs>
        <w:ind w:firstLine="3996" w:firstLineChars="1800"/>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日  期：</w:t>
      </w:r>
    </w:p>
    <w:p>
      <w:pPr>
        <w:spacing w:line="360" w:lineRule="auto"/>
        <w:rPr>
          <w:rFonts w:hint="eastAsia" w:ascii="宋体" w:hAnsi="宋体" w:eastAsia="宋体" w:cs="宋体"/>
          <w:bCs/>
          <w:color w:val="auto"/>
          <w:sz w:val="28"/>
          <w:szCs w:val="28"/>
        </w:rPr>
      </w:pPr>
      <w:r>
        <w:rPr>
          <w:rFonts w:hint="eastAsia" w:ascii="宋体" w:hAnsi="宋体" w:eastAsia="宋体" w:cs="宋体"/>
          <w:b/>
          <w:bCs/>
          <w:color w:val="auto"/>
          <w:kern w:val="0"/>
          <w:sz w:val="28"/>
          <w:szCs w:val="28"/>
        </w:rPr>
        <w:br w:type="page"/>
      </w: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2</w:t>
      </w:r>
      <w:r>
        <w:rPr>
          <w:rFonts w:hint="eastAsia" w:ascii="宋体" w:hAnsi="宋体" w:eastAsia="宋体" w:cs="宋体"/>
          <w:b/>
          <w:bCs/>
          <w:color w:val="auto"/>
          <w:kern w:val="0"/>
          <w:sz w:val="28"/>
          <w:szCs w:val="28"/>
        </w:rPr>
        <w:t xml:space="preserve"> 供应商基本情况表</w:t>
      </w:r>
    </w:p>
    <w:p>
      <w:pPr>
        <w:pStyle w:val="147"/>
        <w:rPr>
          <w:rFonts w:hint="eastAsia" w:ascii="宋体" w:hAnsi="宋体" w:eastAsia="宋体" w:cs="宋体"/>
          <w:color w:val="auto"/>
          <w:sz w:val="21"/>
          <w:szCs w:val="21"/>
        </w:rPr>
      </w:pP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1、公司名称：                     电话号码：</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2、地    址：                     传    真：</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3、经济性质：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4、公司开户银行名称及帐户：                 </w:t>
      </w:r>
    </w:p>
    <w:p>
      <w:pPr>
        <w:pStyle w:val="147"/>
        <w:rPr>
          <w:rFonts w:hint="eastAsia" w:ascii="宋体" w:hAnsi="宋体" w:eastAsia="宋体" w:cs="宋体"/>
          <w:color w:val="auto"/>
          <w:sz w:val="21"/>
          <w:szCs w:val="21"/>
        </w:rPr>
      </w:pPr>
      <w:r>
        <w:rPr>
          <w:rFonts w:hint="eastAsia" w:ascii="宋体" w:hAnsi="宋体" w:eastAsia="宋体" w:cs="宋体"/>
          <w:color w:val="auto"/>
          <w:sz w:val="21"/>
          <w:szCs w:val="21"/>
        </w:rPr>
        <w:t xml:space="preserve">   名称：</w:t>
      </w:r>
    </w:p>
    <w:p>
      <w:pPr>
        <w:spacing w:line="360" w:lineRule="auto"/>
        <w:ind w:firstLine="315" w:firstLineChars="150"/>
        <w:rPr>
          <w:rFonts w:hint="eastAsia" w:ascii="宋体" w:hAnsi="宋体" w:eastAsia="宋体" w:cs="宋体"/>
          <w:color w:val="auto"/>
          <w:szCs w:val="21"/>
          <w:u w:val="single"/>
        </w:rPr>
      </w:pPr>
      <w:r>
        <w:rPr>
          <w:rFonts w:hint="eastAsia" w:ascii="宋体" w:hAnsi="宋体" w:eastAsia="宋体" w:cs="宋体"/>
          <w:color w:val="auto"/>
          <w:szCs w:val="21"/>
        </w:rPr>
        <w:t>帐户：</w:t>
      </w:r>
    </w:p>
    <w:p>
      <w:pPr>
        <w:autoSpaceDE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5、公司基本情况：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kern w:val="0"/>
          <w:szCs w:val="21"/>
        </w:rPr>
        <w:t>供应商</w:t>
      </w:r>
      <w:r>
        <w:rPr>
          <w:rFonts w:hint="eastAsia" w:ascii="宋体" w:hAnsi="宋体" w:eastAsia="宋体" w:cs="宋体"/>
          <w:color w:val="auto"/>
          <w:szCs w:val="21"/>
        </w:rPr>
        <w:t>获得资质和荣誉证书复印件一览表（后附相关证书复印件加盖公章）</w:t>
      </w:r>
    </w:p>
    <w:tbl>
      <w:tblPr>
        <w:tblStyle w:val="8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rPr>
            </w:pPr>
          </w:p>
        </w:tc>
      </w:tr>
    </w:tbl>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我/我们声明以上所述准确无误，您有权进行您认为有必要的所有调查。</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bCs/>
          <w:color w:val="auto"/>
          <w:szCs w:val="21"/>
        </w:rPr>
      </w:pPr>
      <w:r>
        <w:rPr>
          <w:rFonts w:hint="eastAsia" w:ascii="宋体" w:hAnsi="宋体" w:eastAsia="宋体" w:cs="宋体"/>
          <w:color w:val="auto"/>
          <w:kern w:val="0"/>
          <w:szCs w:val="21"/>
        </w:rPr>
        <w:t>供应商</w:t>
      </w:r>
      <w:r>
        <w:rPr>
          <w:rFonts w:hint="eastAsia" w:ascii="宋体" w:hAnsi="宋体" w:eastAsia="宋体" w:cs="宋体"/>
          <w:bCs/>
          <w:color w:val="auto"/>
          <w:szCs w:val="21"/>
        </w:rPr>
        <w:t>全称（加盖公章）:</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日    期： 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  月  日</w:t>
      </w:r>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br w:type="page"/>
      </w:r>
      <w:bookmarkStart w:id="613" w:name="_Toc81142098"/>
      <w:bookmarkStart w:id="614" w:name="_Toc109467914"/>
    </w:p>
    <w:p>
      <w:pPr>
        <w:spacing w:line="360" w:lineRule="auto"/>
        <w:rPr>
          <w:rFonts w:hint="eastAsia" w:ascii="宋体" w:hAnsi="宋体" w:eastAsia="宋体" w:cs="宋体"/>
          <w:color w:val="auto"/>
          <w:szCs w:val="21"/>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3</w:t>
      </w:r>
      <w:r>
        <w:rPr>
          <w:rFonts w:hint="eastAsia" w:ascii="宋体" w:hAnsi="宋体" w:eastAsia="宋体" w:cs="宋体"/>
          <w:b/>
          <w:bCs/>
          <w:color w:val="auto"/>
          <w:kern w:val="0"/>
          <w:sz w:val="28"/>
          <w:szCs w:val="28"/>
        </w:rPr>
        <w:t xml:space="preserve">  采购需求响应表</w:t>
      </w:r>
    </w:p>
    <w:p>
      <w:pPr>
        <w:pStyle w:val="2"/>
        <w:spacing w:line="360" w:lineRule="auto"/>
        <w:ind w:right="482"/>
        <w:rPr>
          <w:rFonts w:hint="eastAsia" w:ascii="宋体" w:hAnsi="宋体" w:eastAsia="宋体" w:cs="宋体"/>
          <w:color w:val="auto"/>
          <w:szCs w:val="21"/>
        </w:rPr>
      </w:pPr>
    </w:p>
    <w:p>
      <w:pPr>
        <w:pStyle w:val="2"/>
        <w:spacing w:line="360" w:lineRule="auto"/>
        <w:ind w:right="482"/>
        <w:rPr>
          <w:rFonts w:hint="eastAsia" w:ascii="宋体" w:hAnsi="宋体" w:eastAsia="宋体" w:cs="宋体"/>
          <w:color w:val="auto"/>
          <w:szCs w:val="21"/>
        </w:rPr>
      </w:pPr>
      <w:r>
        <w:rPr>
          <w:rFonts w:hint="eastAsia" w:ascii="宋体" w:hAnsi="宋体" w:eastAsia="宋体" w:cs="宋体"/>
          <w:color w:val="auto"/>
          <w:szCs w:val="21"/>
        </w:rPr>
        <w:t xml:space="preserve">项目名称： </w:t>
      </w:r>
    </w:p>
    <w:p>
      <w:pPr>
        <w:pStyle w:val="2"/>
        <w:spacing w:line="360" w:lineRule="auto"/>
        <w:ind w:right="482"/>
        <w:rPr>
          <w:rFonts w:hint="eastAsia" w:ascii="宋体" w:hAnsi="宋体" w:eastAsia="宋体" w:cs="宋体"/>
          <w:color w:val="auto"/>
          <w:szCs w:val="21"/>
        </w:rPr>
      </w:pPr>
      <w:r>
        <w:rPr>
          <w:rFonts w:hint="eastAsia" w:ascii="宋体" w:hAnsi="宋体" w:eastAsia="宋体" w:cs="宋体"/>
          <w:color w:val="auto"/>
          <w:szCs w:val="21"/>
        </w:rPr>
        <w:t>项目编号：</w:t>
      </w:r>
    </w:p>
    <w:p>
      <w:pPr>
        <w:pStyle w:val="147"/>
        <w:rPr>
          <w:rFonts w:hint="eastAsia" w:ascii="宋体" w:hAnsi="宋体" w:eastAsia="宋体" w:cs="宋体"/>
          <w:color w:val="auto"/>
          <w:sz w:val="21"/>
          <w:szCs w:val="21"/>
        </w:rPr>
      </w:pPr>
    </w:p>
    <w:tbl>
      <w:tblPr>
        <w:tblStyle w:val="88"/>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内容</w:t>
            </w:r>
            <w:r>
              <w:rPr>
                <w:rFonts w:hint="eastAsia" w:ascii="宋体" w:hAnsi="宋体" w:eastAsia="宋体" w:cs="宋体"/>
                <w:bCs/>
                <w:color w:val="auto"/>
                <w:szCs w:val="21"/>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hint="eastAsia" w:ascii="宋体" w:hAnsi="宋体" w:eastAsia="宋体" w:cs="宋体"/>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bCs/>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hint="eastAsia" w:ascii="宋体" w:hAnsi="宋体" w:eastAsia="宋体" w:cs="宋体"/>
                <w:color w:val="auto"/>
                <w:szCs w:val="21"/>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hint="eastAsia" w:ascii="宋体" w:hAnsi="宋体" w:eastAsia="宋体" w:cs="宋体"/>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hint="eastAsia" w:ascii="宋体" w:hAnsi="宋体" w:eastAsia="宋体" w:cs="宋体"/>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hint="eastAsia" w:ascii="宋体" w:hAnsi="宋体" w:eastAsia="宋体" w:cs="宋体"/>
                <w:bCs/>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rFonts w:hint="eastAsia" w:ascii="宋体" w:hAnsi="宋体" w:eastAsia="宋体" w:cs="宋体"/>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rFonts w:hint="eastAsia" w:ascii="宋体" w:hAnsi="宋体" w:eastAsia="宋体" w:cs="宋体"/>
                <w:color w:val="auto"/>
                <w:szCs w:val="21"/>
              </w:rPr>
            </w:pPr>
          </w:p>
        </w:tc>
      </w:tr>
    </w:tbl>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供应商全称（盖公章）：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法定代表人或磋商授权代表（签字或签章）：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注：1.本表格内容需对第三章“采购人需求书”内容进行响应填报。</w:t>
      </w:r>
    </w:p>
    <w:p>
      <w:pPr>
        <w:spacing w:line="360" w:lineRule="auto"/>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2.采购人需求书中的服务要求仅为最低要求。供应商在磋商响应文件中必须列出具体报价响应内容。</w:t>
      </w:r>
    </w:p>
    <w:p>
      <w:pPr>
        <w:spacing w:line="360" w:lineRule="auto"/>
        <w:ind w:firstLine="413" w:firstLineChars="196"/>
        <w:rPr>
          <w:rFonts w:hint="eastAsia" w:ascii="宋体" w:hAnsi="宋体" w:eastAsia="宋体" w:cs="宋体"/>
          <w:b/>
          <w:color w:val="auto"/>
          <w:szCs w:val="21"/>
        </w:rPr>
        <w:sectPr>
          <w:headerReference r:id="rId12" w:type="default"/>
          <w:footerReference r:id="rId13" w:type="default"/>
          <w:pgSz w:w="11906" w:h="16838"/>
          <w:pgMar w:top="567" w:right="1304" w:bottom="567" w:left="1361" w:header="567" w:footer="737" w:gutter="0"/>
          <w:pgNumType w:fmt="decimal"/>
          <w:cols w:space="720" w:num="1"/>
          <w:docGrid w:linePitch="312" w:charSpace="0"/>
        </w:sectPr>
      </w:pPr>
      <w:r>
        <w:rPr>
          <w:rFonts w:hint="eastAsia" w:ascii="宋体" w:hAnsi="宋体" w:eastAsia="宋体" w:cs="宋体"/>
          <w:b/>
          <w:color w:val="auto"/>
          <w:szCs w:val="21"/>
        </w:rPr>
        <w:t>3.供应商没有在磋商响应文件中注明偏离（文字说明或在服务、商务偏离表注明）的参数、配置、条款视为供应商完全接受。</w:t>
      </w: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4</w:t>
      </w:r>
      <w:r>
        <w:rPr>
          <w:rFonts w:hint="eastAsia" w:ascii="宋体" w:hAnsi="宋体" w:eastAsia="宋体" w:cs="宋体"/>
          <w:b/>
          <w:bCs/>
          <w:color w:val="auto"/>
          <w:kern w:val="0"/>
          <w:sz w:val="28"/>
          <w:szCs w:val="28"/>
        </w:rPr>
        <w:t xml:space="preserve">  合同条款响应一览表</w:t>
      </w:r>
    </w:p>
    <w:p>
      <w:pPr>
        <w:pStyle w:val="147"/>
        <w:rPr>
          <w:rFonts w:hint="eastAsia" w:ascii="宋体" w:hAnsi="宋体" w:eastAsia="宋体" w:cs="宋体"/>
          <w:color w:val="auto"/>
        </w:rPr>
      </w:pPr>
    </w:p>
    <w:p>
      <w:pPr>
        <w:spacing w:line="360" w:lineRule="auto"/>
        <w:ind w:left="945" w:hanging="945" w:hangingChars="450"/>
        <w:rPr>
          <w:rFonts w:hint="eastAsia" w:ascii="宋体" w:hAnsi="宋体" w:eastAsia="宋体" w:cs="宋体"/>
          <w:color w:val="auto"/>
          <w:szCs w:val="21"/>
        </w:rPr>
      </w:pPr>
      <w:r>
        <w:rPr>
          <w:rFonts w:hint="eastAsia" w:ascii="宋体" w:hAnsi="宋体" w:eastAsia="宋体" w:cs="宋体"/>
          <w:color w:val="auto"/>
          <w:szCs w:val="21"/>
        </w:rPr>
        <w:t>说明：1、</w:t>
      </w:r>
      <w:r>
        <w:rPr>
          <w:rFonts w:hint="eastAsia" w:ascii="宋体" w:hAnsi="宋体" w:eastAsia="宋体" w:cs="宋体"/>
          <w:color w:val="auto"/>
          <w:kern w:val="0"/>
          <w:szCs w:val="21"/>
        </w:rPr>
        <w:t>供应商</w:t>
      </w:r>
      <w:r>
        <w:rPr>
          <w:rFonts w:hint="eastAsia" w:ascii="宋体" w:hAnsi="宋体" w:eastAsia="宋体" w:cs="宋体"/>
          <w:color w:val="auto"/>
          <w:szCs w:val="21"/>
        </w:rPr>
        <w:t>必须对应竞争性磋商文件的第四章政府采购合同条款逐条应答并按要求填写下表。</w:t>
      </w:r>
    </w:p>
    <w:p>
      <w:pPr>
        <w:spacing w:line="360" w:lineRule="auto"/>
        <w:ind w:left="533" w:leftChars="254"/>
        <w:rPr>
          <w:rFonts w:hint="eastAsia" w:ascii="宋体" w:hAnsi="宋体" w:eastAsia="宋体" w:cs="宋体"/>
          <w:color w:val="auto"/>
          <w:szCs w:val="21"/>
        </w:rPr>
      </w:pPr>
      <w:r>
        <w:rPr>
          <w:rFonts w:hint="eastAsia" w:ascii="宋体" w:hAnsi="宋体" w:eastAsia="宋体" w:cs="宋体"/>
          <w:color w:val="auto"/>
          <w:szCs w:val="21"/>
        </w:rPr>
        <w:t>2、对完全响应的条目在下表相应列中标注“○”。对有偏离的条目在下表相应列中标注“×”，并简述偏离内容。</w:t>
      </w:r>
    </w:p>
    <w:tbl>
      <w:tblPr>
        <w:tblStyle w:val="88"/>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完全</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9"/>
              <w:keepNext w:val="0"/>
              <w:adjustRightInd/>
              <w:spacing w:before="0" w:after="0" w:line="360" w:lineRule="auto"/>
              <w:rPr>
                <w:rFonts w:hint="eastAsia" w:ascii="宋体" w:hAnsi="宋体" w:eastAsia="宋体" w:cs="宋体"/>
                <w:color w:val="auto"/>
                <w:spacing w:val="0"/>
                <w:kern w:val="2"/>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bl>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注：供应商对竞争性磋商文件的合同（样本）不允许实质性偏离，否则将视为不响应。</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供应商</w:t>
      </w:r>
      <w:r>
        <w:rPr>
          <w:rFonts w:hint="eastAsia" w:ascii="宋体" w:hAnsi="宋体" w:eastAsia="宋体" w:cs="宋体"/>
          <w:color w:val="auto"/>
          <w:szCs w:val="21"/>
        </w:rPr>
        <w:t>全称（盖公章）：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法定代表人或磋商授权代表（签字或签章）：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日    期： 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  月  日</w:t>
      </w:r>
    </w:p>
    <w:p>
      <w:pPr>
        <w:spacing w:line="360" w:lineRule="auto"/>
        <w:ind w:firstLine="413" w:firstLineChars="196"/>
        <w:rPr>
          <w:rFonts w:hint="eastAsia" w:ascii="宋体" w:hAnsi="宋体" w:eastAsia="宋体" w:cs="宋体"/>
          <w:b/>
          <w:color w:val="auto"/>
          <w:szCs w:val="21"/>
        </w:rPr>
        <w:sectPr>
          <w:pgSz w:w="11906" w:h="16838"/>
          <w:pgMar w:top="567" w:right="1304" w:bottom="567" w:left="1361" w:header="567" w:footer="737" w:gutter="0"/>
          <w:pgNumType w:fmt="decimal"/>
          <w:cols w:space="720" w:num="1"/>
          <w:docGrid w:linePitch="312" w:charSpace="0"/>
        </w:sectPr>
      </w:pPr>
    </w:p>
    <w:bookmarkEnd w:id="613"/>
    <w:bookmarkEnd w:id="614"/>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5</w:t>
      </w:r>
      <w:r>
        <w:rPr>
          <w:rFonts w:hint="eastAsia" w:ascii="宋体" w:hAnsi="宋体" w:eastAsia="宋体" w:cs="宋体"/>
          <w:b/>
          <w:bCs/>
          <w:color w:val="auto"/>
          <w:kern w:val="0"/>
          <w:sz w:val="28"/>
          <w:szCs w:val="28"/>
        </w:rPr>
        <w:t xml:space="preserve">  同类项目业绩一览表</w:t>
      </w:r>
    </w:p>
    <w:p>
      <w:pPr>
        <w:pStyle w:val="2"/>
        <w:spacing w:line="360" w:lineRule="auto"/>
        <w:ind w:right="482"/>
        <w:rPr>
          <w:rFonts w:hint="eastAsia" w:ascii="宋体" w:hAnsi="宋体" w:eastAsia="宋体" w:cs="宋体"/>
          <w:color w:val="auto"/>
          <w:szCs w:val="21"/>
        </w:rPr>
      </w:pPr>
    </w:p>
    <w:p>
      <w:pPr>
        <w:pStyle w:val="2"/>
        <w:spacing w:line="360" w:lineRule="auto"/>
        <w:ind w:right="482"/>
        <w:rPr>
          <w:rFonts w:hint="eastAsia" w:ascii="宋体" w:hAnsi="宋体" w:eastAsia="宋体" w:cs="宋体"/>
          <w:color w:val="auto"/>
          <w:szCs w:val="21"/>
        </w:rPr>
      </w:pPr>
      <w:r>
        <w:rPr>
          <w:rFonts w:hint="eastAsia" w:ascii="宋体" w:hAnsi="宋体" w:eastAsia="宋体" w:cs="宋体"/>
          <w:color w:val="auto"/>
          <w:szCs w:val="21"/>
        </w:rPr>
        <w:t xml:space="preserve">项目名称：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项目编号： </w:t>
      </w:r>
    </w:p>
    <w:tbl>
      <w:tblPr>
        <w:tblStyle w:val="88"/>
        <w:tblW w:w="9581" w:type="dxa"/>
        <w:jc w:val="center"/>
        <w:tblLayout w:type="fixed"/>
        <w:tblCellMar>
          <w:top w:w="0" w:type="dxa"/>
          <w:left w:w="10" w:type="dxa"/>
          <w:bottom w:w="0" w:type="dxa"/>
          <w:right w:w="10" w:type="dxa"/>
        </w:tblCellMar>
      </w:tblPr>
      <w:tblGrid>
        <w:gridCol w:w="619"/>
        <w:gridCol w:w="974"/>
        <w:gridCol w:w="1104"/>
        <w:gridCol w:w="1090"/>
        <w:gridCol w:w="1094"/>
        <w:gridCol w:w="1229"/>
        <w:gridCol w:w="1085"/>
        <w:gridCol w:w="1133"/>
        <w:gridCol w:w="1253"/>
      </w:tblGrid>
      <w:tr>
        <w:tblPrEx>
          <w:tblCellMar>
            <w:top w:w="0" w:type="dxa"/>
            <w:left w:w="10" w:type="dxa"/>
            <w:bottom w:w="0" w:type="dxa"/>
            <w:right w:w="10" w:type="dxa"/>
          </w:tblCellMar>
        </w:tblPrEx>
        <w:trPr>
          <w:trHeight w:val="965" w:hRule="exact"/>
          <w:jc w:val="center"/>
        </w:trPr>
        <w:tc>
          <w:tcPr>
            <w:tcW w:w="619"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序序</w:t>
            </w:r>
          </w:p>
        </w:tc>
        <w:tc>
          <w:tcPr>
            <w:tcW w:w="974"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用户/业主 名称</w:t>
            </w:r>
          </w:p>
        </w:tc>
        <w:tc>
          <w:tcPr>
            <w:tcW w:w="1104"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1090"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项目内容</w:t>
            </w:r>
          </w:p>
        </w:tc>
        <w:tc>
          <w:tcPr>
            <w:tcW w:w="1094"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合同总价</w:t>
            </w:r>
          </w:p>
        </w:tc>
        <w:tc>
          <w:tcPr>
            <w:tcW w:w="1229"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签订时间</w:t>
            </w:r>
          </w:p>
        </w:tc>
        <w:tc>
          <w:tcPr>
            <w:tcW w:w="1085" w:type="dxa"/>
            <w:tcBorders>
              <w:top w:val="single" w:color="auto" w:sz="4" w:space="0"/>
              <w:lef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完成时间</w:t>
            </w:r>
          </w:p>
        </w:tc>
        <w:tc>
          <w:tcPr>
            <w:tcW w:w="1133" w:type="dxa"/>
            <w:tcBorders>
              <w:top w:val="single" w:color="auto" w:sz="4" w:space="0"/>
              <w:left w:val="single" w:color="auto" w:sz="4" w:space="0"/>
            </w:tcBorders>
            <w:shd w:val="clear" w:color="auto" w:fill="DDDDDD"/>
            <w:vAlign w:val="bottom"/>
          </w:tcPr>
          <w:p>
            <w:pPr>
              <w:rPr>
                <w:rFonts w:hint="eastAsia" w:ascii="宋体" w:hAnsi="宋体" w:eastAsia="宋体" w:cs="宋体"/>
                <w:color w:val="auto"/>
                <w:szCs w:val="21"/>
              </w:rPr>
            </w:pPr>
            <w:r>
              <w:rPr>
                <w:rFonts w:hint="eastAsia" w:ascii="宋体" w:hAnsi="宋体" w:eastAsia="宋体" w:cs="宋体"/>
                <w:color w:val="auto"/>
                <w:szCs w:val="21"/>
              </w:rPr>
              <w:t>用户/业主 联系人及电 话</w:t>
            </w:r>
          </w:p>
        </w:tc>
        <w:tc>
          <w:tcPr>
            <w:tcW w:w="1253" w:type="dxa"/>
            <w:tcBorders>
              <w:top w:val="single" w:color="auto" w:sz="4" w:space="0"/>
              <w:left w:val="single" w:color="auto" w:sz="4" w:space="0"/>
              <w:right w:val="single" w:color="auto" w:sz="4" w:space="0"/>
            </w:tcBorders>
            <w:shd w:val="clear" w:color="auto" w:fill="DDDDDD"/>
            <w:vAlign w:val="center"/>
          </w:tcPr>
          <w:p>
            <w:pPr>
              <w:rPr>
                <w:rFonts w:hint="eastAsia" w:ascii="宋体" w:hAnsi="宋体" w:eastAsia="宋体" w:cs="宋体"/>
                <w:color w:val="auto"/>
                <w:szCs w:val="21"/>
              </w:rPr>
            </w:pPr>
            <w:r>
              <w:rPr>
                <w:rFonts w:hint="eastAsia" w:ascii="宋体" w:hAnsi="宋体" w:eastAsia="宋体" w:cs="宋体"/>
                <w:color w:val="auto"/>
                <w:szCs w:val="21"/>
              </w:rPr>
              <w:t>查阅/证明文 件指引</w:t>
            </w:r>
          </w:p>
        </w:tc>
      </w:tr>
      <w:tr>
        <w:tblPrEx>
          <w:tblCellMar>
            <w:top w:w="0" w:type="dxa"/>
            <w:left w:w="10" w:type="dxa"/>
            <w:bottom w:w="0" w:type="dxa"/>
            <w:right w:w="10" w:type="dxa"/>
          </w:tblCellMar>
        </w:tblPrEx>
        <w:trPr>
          <w:trHeight w:val="418" w:hRule="exact"/>
          <w:jc w:val="center"/>
        </w:trPr>
        <w:tc>
          <w:tcPr>
            <w:tcW w:w="619" w:type="dxa"/>
            <w:tcBorders>
              <w:top w:val="single" w:color="auto" w:sz="4" w:space="0"/>
              <w:lef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7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0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0"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29"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85"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33"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53" w:type="dxa"/>
            <w:tcBorders>
              <w:top w:val="single" w:color="auto" w:sz="4" w:space="0"/>
              <w:left w:val="single" w:color="auto" w:sz="4" w:space="0"/>
              <w:righ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第—页</w:t>
            </w:r>
          </w:p>
        </w:tc>
      </w:tr>
      <w:tr>
        <w:tblPrEx>
          <w:tblCellMar>
            <w:top w:w="0" w:type="dxa"/>
            <w:left w:w="10" w:type="dxa"/>
            <w:bottom w:w="0" w:type="dxa"/>
            <w:right w:w="10" w:type="dxa"/>
          </w:tblCellMar>
        </w:tblPrEx>
        <w:trPr>
          <w:trHeight w:val="413" w:hRule="exact"/>
          <w:jc w:val="center"/>
        </w:trPr>
        <w:tc>
          <w:tcPr>
            <w:tcW w:w="619" w:type="dxa"/>
            <w:tcBorders>
              <w:top w:val="single" w:color="auto" w:sz="4" w:space="0"/>
              <w:lef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7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0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0"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29"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85"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33"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53"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第—页</w:t>
            </w:r>
          </w:p>
        </w:tc>
      </w:tr>
      <w:tr>
        <w:tblPrEx>
          <w:tblCellMar>
            <w:top w:w="0" w:type="dxa"/>
            <w:left w:w="10" w:type="dxa"/>
            <w:bottom w:w="0" w:type="dxa"/>
            <w:right w:w="10" w:type="dxa"/>
          </w:tblCellMar>
        </w:tblPrEx>
        <w:trPr>
          <w:trHeight w:val="408" w:hRule="exact"/>
          <w:jc w:val="center"/>
        </w:trPr>
        <w:tc>
          <w:tcPr>
            <w:tcW w:w="619" w:type="dxa"/>
            <w:tcBorders>
              <w:top w:val="single" w:color="auto" w:sz="4" w:space="0"/>
              <w:lef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7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0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0"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29"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85"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33"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53" w:type="dxa"/>
            <w:tcBorders>
              <w:top w:val="single" w:color="auto" w:sz="4" w:space="0"/>
              <w:left w:val="single" w:color="auto" w:sz="4" w:space="0"/>
              <w:righ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第—页</w:t>
            </w:r>
          </w:p>
        </w:tc>
      </w:tr>
      <w:tr>
        <w:tblPrEx>
          <w:tblCellMar>
            <w:top w:w="0" w:type="dxa"/>
            <w:left w:w="10" w:type="dxa"/>
            <w:bottom w:w="0" w:type="dxa"/>
            <w:right w:w="10" w:type="dxa"/>
          </w:tblCellMar>
        </w:tblPrEx>
        <w:trPr>
          <w:trHeight w:val="408" w:hRule="exact"/>
          <w:jc w:val="center"/>
        </w:trPr>
        <w:tc>
          <w:tcPr>
            <w:tcW w:w="619" w:type="dxa"/>
            <w:tcBorders>
              <w:top w:val="single" w:color="auto" w:sz="4" w:space="0"/>
              <w:lef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7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0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0"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94"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29"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085"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133" w:type="dxa"/>
            <w:tcBorders>
              <w:top w:val="single" w:color="auto" w:sz="4" w:space="0"/>
              <w:left w:val="single" w:color="auto" w:sz="4" w:space="0"/>
            </w:tcBorders>
            <w:shd w:val="clear" w:color="auto" w:fill="FFFFFF"/>
          </w:tcPr>
          <w:p>
            <w:pPr>
              <w:rPr>
                <w:rFonts w:hint="eastAsia" w:ascii="宋体" w:hAnsi="宋体" w:eastAsia="宋体" w:cs="宋体"/>
                <w:color w:val="auto"/>
                <w:szCs w:val="21"/>
              </w:rPr>
            </w:pPr>
          </w:p>
        </w:tc>
        <w:tc>
          <w:tcPr>
            <w:tcW w:w="1253" w:type="dxa"/>
            <w:tcBorders>
              <w:top w:val="single" w:color="auto" w:sz="4" w:space="0"/>
              <w:left w:val="single" w:color="auto" w:sz="4" w:space="0"/>
              <w:righ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第—页</w:t>
            </w:r>
          </w:p>
        </w:tc>
      </w:tr>
      <w:tr>
        <w:tblPrEx>
          <w:tblCellMar>
            <w:top w:w="0" w:type="dxa"/>
            <w:left w:w="10" w:type="dxa"/>
            <w:bottom w:w="0" w:type="dxa"/>
            <w:right w:w="10" w:type="dxa"/>
          </w:tblCellMar>
        </w:tblPrEx>
        <w:trPr>
          <w:trHeight w:val="456" w:hRule="exact"/>
          <w:jc w:val="center"/>
        </w:trPr>
        <w:tc>
          <w:tcPr>
            <w:tcW w:w="619" w:type="dxa"/>
            <w:tcBorders>
              <w:top w:val="single" w:color="auto" w:sz="4" w:space="0"/>
              <w:left w:val="single" w:color="auto" w:sz="4" w:space="0"/>
              <w:bottom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974"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104"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090"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094"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229"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085"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133" w:type="dxa"/>
            <w:tcBorders>
              <w:top w:val="single" w:color="auto" w:sz="4" w:space="0"/>
              <w:left w:val="single" w:color="auto" w:sz="4" w:space="0"/>
              <w:bottom w:val="single" w:color="auto" w:sz="4" w:space="0"/>
            </w:tcBorders>
            <w:shd w:val="clear" w:color="auto" w:fill="FFFFFF"/>
          </w:tcPr>
          <w:p>
            <w:pPr>
              <w:rPr>
                <w:rFonts w:hint="eastAsia" w:ascii="宋体" w:hAnsi="宋体" w:eastAsia="宋体" w:cs="宋体"/>
                <w:color w:val="auto"/>
                <w:szCs w:val="21"/>
              </w:rPr>
            </w:pPr>
          </w:p>
        </w:tc>
        <w:tc>
          <w:tcPr>
            <w:tcW w:w="125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hint="eastAsia" w:ascii="宋体" w:hAnsi="宋体" w:eastAsia="宋体" w:cs="宋体"/>
                <w:color w:val="auto"/>
                <w:szCs w:val="21"/>
              </w:rPr>
            </w:pPr>
            <w:r>
              <w:rPr>
                <w:rFonts w:hint="eastAsia" w:ascii="宋体" w:hAnsi="宋体" w:eastAsia="宋体" w:cs="宋体"/>
                <w:color w:val="auto"/>
                <w:szCs w:val="21"/>
              </w:rPr>
              <w:t>第—页</w:t>
            </w:r>
          </w:p>
        </w:tc>
      </w:tr>
    </w:tbl>
    <w:p>
      <w:pPr>
        <w:rPr>
          <w:rFonts w:hint="eastAsia" w:ascii="宋体" w:hAnsi="宋体" w:eastAsia="宋体" w:cs="宋体"/>
          <w:b/>
          <w:color w:val="auto"/>
          <w:szCs w:val="21"/>
        </w:rPr>
      </w:pPr>
      <w:r>
        <w:rPr>
          <w:rFonts w:hint="eastAsia" w:ascii="宋体" w:hAnsi="宋体" w:eastAsia="宋体" w:cs="宋体"/>
          <w:b/>
          <w:bCs/>
          <w:color w:val="auto"/>
          <w:szCs w:val="21"/>
        </w:rPr>
        <w:t>注</w:t>
      </w:r>
      <w:r>
        <w:rPr>
          <w:rFonts w:hint="eastAsia" w:ascii="宋体" w:hAnsi="宋体" w:eastAsia="宋体" w:cs="宋体"/>
          <w:b/>
          <w:color w:val="auto"/>
          <w:szCs w:val="21"/>
        </w:rPr>
        <w:t>：根据评分表的要求提交相应资料。</w:t>
      </w:r>
    </w:p>
    <w:p>
      <w:pPr>
        <w:spacing w:line="360" w:lineRule="auto"/>
        <w:ind w:left="632" w:hanging="632" w:hangingChars="300"/>
        <w:rPr>
          <w:rFonts w:hint="eastAsia" w:ascii="宋体" w:hAnsi="宋体" w:eastAsia="宋体" w:cs="宋体"/>
          <w:b/>
          <w:color w:val="auto"/>
          <w:szCs w:val="21"/>
        </w:rPr>
      </w:pPr>
    </w:p>
    <w:p>
      <w:pPr>
        <w:spacing w:line="360" w:lineRule="auto"/>
        <w:rPr>
          <w:rFonts w:hint="eastAsia" w:ascii="宋体" w:hAnsi="宋体" w:eastAsia="宋体" w:cs="宋体"/>
          <w:bCs/>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供应商</w:t>
      </w:r>
      <w:r>
        <w:rPr>
          <w:rFonts w:hint="eastAsia" w:ascii="宋体" w:hAnsi="宋体" w:eastAsia="宋体" w:cs="宋体"/>
          <w:color w:val="auto"/>
          <w:szCs w:val="21"/>
        </w:rPr>
        <w:t>全称（盖公章）：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法定代表人或磋商授权代表（签字或签章）：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6</w:t>
      </w:r>
      <w:r>
        <w:rPr>
          <w:rFonts w:hint="eastAsia" w:ascii="宋体" w:hAnsi="宋体" w:eastAsia="宋体" w:cs="宋体"/>
          <w:b/>
          <w:bCs/>
          <w:color w:val="auto"/>
          <w:kern w:val="0"/>
          <w:sz w:val="28"/>
          <w:szCs w:val="28"/>
        </w:rPr>
        <w:t xml:space="preserve">  技术服务方案</w:t>
      </w:r>
    </w:p>
    <w:p>
      <w:pPr>
        <w:pStyle w:val="2"/>
        <w:spacing w:line="360" w:lineRule="auto"/>
        <w:ind w:right="482"/>
        <w:rPr>
          <w:rFonts w:hint="eastAsia" w:ascii="宋体" w:hAnsi="宋体" w:eastAsia="宋体" w:cs="宋体"/>
          <w:color w:val="auto"/>
          <w:szCs w:val="21"/>
        </w:rPr>
      </w:pPr>
      <w:r>
        <w:rPr>
          <w:rFonts w:hint="eastAsia" w:ascii="宋体" w:hAnsi="宋体" w:eastAsia="宋体" w:cs="宋体"/>
          <w:color w:val="auto"/>
          <w:szCs w:val="21"/>
        </w:rPr>
        <w:t>项目名称：</w:t>
      </w:r>
    </w:p>
    <w:p>
      <w:pPr>
        <w:pStyle w:val="2"/>
        <w:spacing w:line="360" w:lineRule="auto"/>
        <w:ind w:right="482"/>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rPr>
          <w:rFonts w:hint="eastAsia" w:ascii="宋体" w:hAnsi="宋体" w:eastAsia="宋体" w:cs="宋体"/>
          <w:b/>
          <w:bCs/>
          <w:color w:val="auto"/>
          <w:kern w:val="0"/>
          <w:sz w:val="28"/>
          <w:szCs w:val="28"/>
        </w:rPr>
      </w:pPr>
    </w:p>
    <w:p>
      <w:pPr>
        <w:spacing w:line="360" w:lineRule="auto"/>
        <w:ind w:left="618" w:hanging="618"/>
        <w:rPr>
          <w:rFonts w:hint="eastAsia" w:ascii="宋体" w:hAnsi="宋体" w:eastAsia="宋体" w:cs="宋体"/>
          <w:bCs/>
          <w:color w:val="auto"/>
          <w:szCs w:val="21"/>
        </w:rPr>
      </w:pPr>
      <w:r>
        <w:rPr>
          <w:rFonts w:hint="eastAsia" w:ascii="宋体" w:hAnsi="宋体" w:eastAsia="宋体" w:cs="宋体"/>
          <w:bCs/>
          <w:color w:val="auto"/>
          <w:szCs w:val="21"/>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eastAsia="宋体" w:cs="宋体"/>
          <w:bCs/>
          <w:color w:val="auto"/>
          <w:szCs w:val="21"/>
        </w:rPr>
      </w:pP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对项目的总体要求的理解和把握程度</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监理工作的实施方案</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质量控制的方法和措施</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进度控制的方法和措施</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投资控制的方法和措施</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安全、文明施工管理</w:t>
      </w:r>
    </w:p>
    <w:p>
      <w:pPr>
        <w:ind w:firstLine="630" w:firstLineChars="300"/>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重点难点监控措施</w:t>
      </w:r>
    </w:p>
    <w:p>
      <w:pPr>
        <w:pStyle w:val="99"/>
        <w:rPr>
          <w:rFonts w:hint="eastAsia" w:ascii="宋体" w:hAnsi="宋体" w:eastAsia="宋体" w:cs="宋体"/>
          <w:b/>
          <w:color w:val="auto"/>
          <w:sz w:val="24"/>
        </w:rPr>
      </w:pPr>
    </w:p>
    <w:p>
      <w:pPr>
        <w:pStyle w:val="99"/>
        <w:rPr>
          <w:rFonts w:hint="eastAsia" w:ascii="宋体" w:hAnsi="宋体" w:eastAsia="宋体" w:cs="宋体"/>
          <w:b/>
          <w:color w:val="auto"/>
          <w:sz w:val="24"/>
        </w:rPr>
      </w:pPr>
    </w:p>
    <w:p>
      <w:pPr>
        <w:pStyle w:val="99"/>
        <w:rPr>
          <w:rFonts w:hint="eastAsia" w:ascii="宋体" w:hAnsi="宋体" w:eastAsia="宋体" w:cs="宋体"/>
          <w:b/>
          <w:color w:val="auto"/>
          <w:sz w:val="24"/>
        </w:rPr>
      </w:pPr>
    </w:p>
    <w:p>
      <w:pPr>
        <w:pStyle w:val="99"/>
        <w:rPr>
          <w:rFonts w:hint="eastAsia" w:ascii="宋体" w:hAnsi="宋体" w:eastAsia="宋体" w:cs="宋体"/>
          <w:b/>
          <w:color w:val="auto"/>
          <w:sz w:val="24"/>
        </w:rPr>
      </w:pPr>
    </w:p>
    <w:p>
      <w:pPr>
        <w:pStyle w:val="99"/>
        <w:rPr>
          <w:rFonts w:hint="eastAsia" w:ascii="宋体" w:hAnsi="宋体" w:eastAsia="宋体" w:cs="宋体"/>
          <w:b/>
          <w:color w:val="auto"/>
          <w:sz w:val="24"/>
        </w:rPr>
      </w:pPr>
    </w:p>
    <w:p>
      <w:pPr>
        <w:pStyle w:val="99"/>
        <w:rPr>
          <w:rFonts w:hint="eastAsia" w:ascii="宋体" w:hAnsi="宋体" w:eastAsia="宋体" w:cs="宋体"/>
          <w:b/>
          <w:color w:val="auto"/>
          <w:sz w:val="24"/>
        </w:rPr>
      </w:pPr>
    </w:p>
    <w:p>
      <w:pPr>
        <w:spacing w:line="360" w:lineRule="auto"/>
        <w:ind w:firstLine="4956" w:firstLineChars="2360"/>
        <w:rPr>
          <w:rFonts w:hint="eastAsia" w:ascii="宋体" w:hAnsi="宋体" w:eastAsia="宋体" w:cs="宋体"/>
          <w:color w:val="auto"/>
          <w:szCs w:val="21"/>
        </w:rPr>
      </w:pPr>
      <w:r>
        <w:rPr>
          <w:rFonts w:hint="eastAsia" w:ascii="宋体" w:hAnsi="宋体" w:eastAsia="宋体" w:cs="宋体"/>
          <w:color w:val="auto"/>
          <w:kern w:val="0"/>
          <w:szCs w:val="21"/>
        </w:rPr>
        <w:t>供应商</w:t>
      </w:r>
      <w:r>
        <w:rPr>
          <w:rFonts w:hint="eastAsia" w:ascii="宋体" w:hAnsi="宋体" w:eastAsia="宋体" w:cs="宋体"/>
          <w:color w:val="auto"/>
          <w:szCs w:val="21"/>
        </w:rPr>
        <w:t>全称（盖公章）：</w:t>
      </w:r>
    </w:p>
    <w:p>
      <w:pPr>
        <w:spacing w:line="360" w:lineRule="auto"/>
        <w:ind w:right="420"/>
        <w:jc w:val="right"/>
        <w:rPr>
          <w:rFonts w:hint="eastAsia" w:ascii="宋体" w:hAnsi="宋体" w:eastAsia="宋体" w:cs="宋体"/>
          <w:color w:val="auto"/>
          <w:szCs w:val="21"/>
        </w:rPr>
      </w:pPr>
      <w:r>
        <w:rPr>
          <w:rFonts w:hint="eastAsia" w:ascii="宋体" w:hAnsi="宋体" w:eastAsia="宋体" w:cs="宋体"/>
          <w:color w:val="auto"/>
          <w:szCs w:val="21"/>
        </w:rPr>
        <w:t>法定代表人或磋商授权代表（签字或签章）：</w:t>
      </w:r>
    </w:p>
    <w:p>
      <w:pPr>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Cs w:val="21"/>
        </w:rPr>
        <w:t xml:space="preserve">                               日    期：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  月  日</w:t>
      </w: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spacing w:line="360" w:lineRule="auto"/>
        <w:rPr>
          <w:rFonts w:hint="eastAsia" w:ascii="宋体" w:hAnsi="宋体" w:eastAsia="宋体" w:cs="宋体"/>
          <w:b/>
          <w:bCs/>
          <w:color w:val="auto"/>
          <w:kern w:val="0"/>
          <w:sz w:val="28"/>
          <w:szCs w:val="28"/>
        </w:rPr>
      </w:pPr>
    </w:p>
    <w:p>
      <w:pPr>
        <w:pStyle w:val="2"/>
        <w:spacing w:line="360" w:lineRule="auto"/>
        <w:rPr>
          <w:rFonts w:hint="eastAsia" w:ascii="宋体" w:hAnsi="宋体" w:eastAsia="宋体" w:cs="宋体"/>
          <w:bCs/>
          <w:color w:val="auto"/>
        </w:rPr>
      </w:pP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7</w:t>
      </w:r>
      <w:r>
        <w:rPr>
          <w:rFonts w:hint="eastAsia" w:ascii="宋体" w:hAnsi="宋体" w:eastAsia="宋体" w:cs="宋体"/>
          <w:b/>
          <w:bCs/>
          <w:color w:val="auto"/>
          <w:kern w:val="0"/>
          <w:sz w:val="28"/>
          <w:szCs w:val="28"/>
        </w:rPr>
        <w:t xml:space="preserve"> 拟派本项目负责人及主要人员情况表</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kern w:val="28"/>
          <w:szCs w:val="21"/>
        </w:rPr>
      </w:pPr>
      <w:r>
        <w:rPr>
          <w:rFonts w:hint="eastAsia" w:ascii="宋体" w:hAnsi="宋体" w:eastAsia="宋体" w:cs="宋体"/>
          <w:color w:val="auto"/>
          <w:szCs w:val="21"/>
        </w:rPr>
        <w:t>项目名称</w:t>
      </w:r>
      <w:r>
        <w:rPr>
          <w:rFonts w:hint="eastAsia" w:ascii="宋体" w:hAnsi="宋体" w:eastAsia="宋体" w:cs="宋体"/>
          <w:color w:val="auto"/>
          <w:kern w:val="28"/>
          <w:szCs w:val="21"/>
        </w:rPr>
        <w:t xml:space="preserve">：                                         </w:t>
      </w:r>
    </w:p>
    <w:p>
      <w:pPr>
        <w:spacing w:line="360" w:lineRule="auto"/>
        <w:rPr>
          <w:rFonts w:hint="eastAsia" w:ascii="宋体" w:hAnsi="宋体" w:eastAsia="宋体" w:cs="宋体"/>
          <w:bCs/>
          <w:color w:val="auto"/>
          <w:szCs w:val="21"/>
        </w:rPr>
      </w:pPr>
      <w:r>
        <w:rPr>
          <w:rFonts w:hint="eastAsia" w:ascii="宋体" w:hAnsi="宋体" w:eastAsia="宋体" w:cs="宋体"/>
          <w:color w:val="auto"/>
          <w:szCs w:val="21"/>
        </w:rPr>
        <w:t>项目编号：</w:t>
      </w:r>
    </w:p>
    <w:tbl>
      <w:tblPr>
        <w:tblStyle w:val="8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96"/>
        <w:gridCol w:w="1091"/>
        <w:gridCol w:w="831"/>
        <w:gridCol w:w="832"/>
        <w:gridCol w:w="1041"/>
        <w:gridCol w:w="1041"/>
        <w:gridCol w:w="1041"/>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Merge w:val="restart"/>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6" w:type="dxa"/>
            <w:vMerge w:val="restart"/>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本项目任职</w:t>
            </w:r>
          </w:p>
        </w:tc>
        <w:tc>
          <w:tcPr>
            <w:tcW w:w="1091" w:type="dxa"/>
            <w:vMerge w:val="restart"/>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31" w:type="dxa"/>
            <w:vMerge w:val="restart"/>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832" w:type="dxa"/>
            <w:vMerge w:val="restart"/>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3123" w:type="dxa"/>
            <w:gridSpan w:val="3"/>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2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Merge w:val="continue"/>
            <w:vAlign w:val="center"/>
          </w:tcPr>
          <w:p>
            <w:pPr>
              <w:rPr>
                <w:rFonts w:hint="eastAsia" w:ascii="宋体" w:hAnsi="宋体" w:eastAsia="宋体" w:cs="宋体"/>
                <w:color w:val="auto"/>
                <w:sz w:val="24"/>
                <w:szCs w:val="24"/>
                <w:highlight w:val="none"/>
              </w:rPr>
            </w:pPr>
          </w:p>
        </w:tc>
        <w:tc>
          <w:tcPr>
            <w:tcW w:w="1596" w:type="dxa"/>
            <w:vMerge w:val="continue"/>
            <w:vAlign w:val="top"/>
          </w:tcPr>
          <w:p>
            <w:pPr>
              <w:rPr>
                <w:rFonts w:hint="eastAsia" w:ascii="宋体" w:hAnsi="宋体" w:eastAsia="宋体" w:cs="宋体"/>
                <w:color w:val="auto"/>
                <w:sz w:val="24"/>
                <w:szCs w:val="24"/>
                <w:highlight w:val="none"/>
              </w:rPr>
            </w:pPr>
          </w:p>
        </w:tc>
        <w:tc>
          <w:tcPr>
            <w:tcW w:w="1091" w:type="dxa"/>
            <w:vMerge w:val="continue"/>
            <w:vAlign w:val="center"/>
          </w:tcPr>
          <w:p>
            <w:pPr>
              <w:rPr>
                <w:rFonts w:hint="eastAsia" w:ascii="宋体" w:hAnsi="宋体" w:eastAsia="宋体" w:cs="宋体"/>
                <w:color w:val="auto"/>
                <w:sz w:val="24"/>
                <w:szCs w:val="24"/>
                <w:highlight w:val="none"/>
              </w:rPr>
            </w:pPr>
          </w:p>
        </w:tc>
        <w:tc>
          <w:tcPr>
            <w:tcW w:w="831" w:type="dxa"/>
            <w:vMerge w:val="continue"/>
            <w:vAlign w:val="center"/>
          </w:tcPr>
          <w:p>
            <w:pPr>
              <w:rPr>
                <w:rFonts w:hint="eastAsia" w:ascii="宋体" w:hAnsi="宋体" w:eastAsia="宋体" w:cs="宋体"/>
                <w:color w:val="auto"/>
                <w:sz w:val="24"/>
                <w:szCs w:val="24"/>
                <w:highlight w:val="none"/>
              </w:rPr>
            </w:pPr>
          </w:p>
        </w:tc>
        <w:tc>
          <w:tcPr>
            <w:tcW w:w="832" w:type="dxa"/>
            <w:vMerge w:val="continue"/>
            <w:vAlign w:val="center"/>
          </w:tcPr>
          <w:p>
            <w:pPr>
              <w:spacing w:line="440" w:lineRule="exact"/>
              <w:jc w:val="center"/>
              <w:rPr>
                <w:rFonts w:hint="eastAsia" w:ascii="宋体" w:hAnsi="宋体" w:eastAsia="宋体" w:cs="宋体"/>
                <w:color w:val="auto"/>
                <w:sz w:val="24"/>
                <w:szCs w:val="24"/>
                <w:highlight w:val="none"/>
              </w:rPr>
            </w:pPr>
          </w:p>
        </w:tc>
        <w:tc>
          <w:tcPr>
            <w:tcW w:w="1041" w:type="dxa"/>
            <w:vAlign w:val="center"/>
          </w:tcPr>
          <w:p>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041" w:type="dxa"/>
            <w:vAlign w:val="center"/>
          </w:tcPr>
          <w:p>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41" w:type="dxa"/>
            <w:vAlign w:val="center"/>
          </w:tcPr>
          <w:p>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725" w:type="dxa"/>
            <w:vAlign w:val="center"/>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center"/>
          </w:tcPr>
          <w:p>
            <w:pPr>
              <w:spacing w:line="440" w:lineRule="exact"/>
              <w:jc w:val="center"/>
              <w:rPr>
                <w:rFonts w:hint="eastAsia" w:ascii="宋体" w:hAnsi="宋体" w:eastAsia="宋体" w:cs="宋体"/>
                <w:color w:val="auto"/>
                <w:sz w:val="24"/>
                <w:szCs w:val="24"/>
                <w:highlight w:val="none"/>
              </w:rPr>
            </w:pPr>
          </w:p>
        </w:tc>
        <w:tc>
          <w:tcPr>
            <w:tcW w:w="831" w:type="dxa"/>
            <w:vAlign w:val="center"/>
          </w:tcPr>
          <w:p>
            <w:pPr>
              <w:spacing w:line="440" w:lineRule="exact"/>
              <w:jc w:val="center"/>
              <w:rPr>
                <w:rFonts w:hint="eastAsia" w:ascii="宋体" w:hAnsi="宋体" w:eastAsia="宋体" w:cs="宋体"/>
                <w:color w:val="auto"/>
                <w:sz w:val="24"/>
                <w:szCs w:val="24"/>
                <w:highlight w:val="none"/>
              </w:rPr>
            </w:pPr>
          </w:p>
        </w:tc>
        <w:tc>
          <w:tcPr>
            <w:tcW w:w="832" w:type="dxa"/>
            <w:vAlign w:val="center"/>
          </w:tcPr>
          <w:p>
            <w:pPr>
              <w:spacing w:line="440" w:lineRule="exact"/>
              <w:jc w:val="center"/>
              <w:rPr>
                <w:rFonts w:hint="eastAsia" w:ascii="宋体" w:hAnsi="宋体" w:eastAsia="宋体" w:cs="宋体"/>
                <w:color w:val="auto"/>
                <w:sz w:val="24"/>
                <w:szCs w:val="24"/>
                <w:highlight w:val="none"/>
              </w:rPr>
            </w:pPr>
          </w:p>
        </w:tc>
        <w:tc>
          <w:tcPr>
            <w:tcW w:w="1041" w:type="dxa"/>
            <w:vAlign w:val="center"/>
          </w:tcPr>
          <w:p>
            <w:pPr>
              <w:spacing w:line="440" w:lineRule="exact"/>
              <w:jc w:val="center"/>
              <w:rPr>
                <w:rFonts w:hint="eastAsia" w:ascii="宋体" w:hAnsi="宋体" w:eastAsia="宋体" w:cs="宋体"/>
                <w:color w:val="auto"/>
                <w:sz w:val="24"/>
                <w:szCs w:val="24"/>
                <w:highlight w:val="none"/>
              </w:rPr>
            </w:pPr>
          </w:p>
        </w:tc>
        <w:tc>
          <w:tcPr>
            <w:tcW w:w="1041" w:type="dxa"/>
            <w:vAlign w:val="center"/>
          </w:tcPr>
          <w:p>
            <w:pPr>
              <w:spacing w:line="440" w:lineRule="exact"/>
              <w:jc w:val="center"/>
              <w:rPr>
                <w:rFonts w:hint="eastAsia" w:ascii="宋体" w:hAnsi="宋体" w:eastAsia="宋体" w:cs="宋体"/>
                <w:color w:val="auto"/>
                <w:sz w:val="24"/>
                <w:szCs w:val="24"/>
                <w:highlight w:val="none"/>
              </w:rPr>
            </w:pPr>
          </w:p>
        </w:tc>
        <w:tc>
          <w:tcPr>
            <w:tcW w:w="1041" w:type="dxa"/>
            <w:vAlign w:val="center"/>
          </w:tcPr>
          <w:p>
            <w:pPr>
              <w:spacing w:line="440" w:lineRule="exact"/>
              <w:jc w:val="center"/>
              <w:rPr>
                <w:rFonts w:hint="eastAsia" w:ascii="宋体" w:hAnsi="宋体" w:eastAsia="宋体" w:cs="宋体"/>
                <w:color w:val="auto"/>
                <w:sz w:val="24"/>
                <w:szCs w:val="24"/>
                <w:highlight w:val="none"/>
              </w:rPr>
            </w:pPr>
          </w:p>
        </w:tc>
        <w:tc>
          <w:tcPr>
            <w:tcW w:w="725" w:type="dxa"/>
            <w:vAlign w:val="center"/>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vAlign w:val="top"/>
          </w:tcPr>
          <w:p>
            <w:pPr>
              <w:spacing w:line="440" w:lineRule="exact"/>
              <w:jc w:val="center"/>
              <w:rPr>
                <w:rFonts w:hint="eastAsia" w:ascii="宋体" w:hAnsi="宋体" w:eastAsia="宋体" w:cs="宋体"/>
                <w:color w:val="auto"/>
                <w:sz w:val="24"/>
                <w:szCs w:val="24"/>
                <w:highlight w:val="none"/>
              </w:rPr>
            </w:pPr>
          </w:p>
        </w:tc>
        <w:tc>
          <w:tcPr>
            <w:tcW w:w="1596" w:type="dxa"/>
            <w:vAlign w:val="top"/>
          </w:tcPr>
          <w:p>
            <w:pPr>
              <w:spacing w:line="440" w:lineRule="exact"/>
              <w:jc w:val="center"/>
              <w:rPr>
                <w:rFonts w:hint="eastAsia" w:ascii="宋体" w:hAnsi="宋体" w:eastAsia="宋体" w:cs="宋体"/>
                <w:color w:val="auto"/>
                <w:sz w:val="24"/>
                <w:szCs w:val="24"/>
                <w:highlight w:val="none"/>
              </w:rPr>
            </w:pPr>
          </w:p>
        </w:tc>
        <w:tc>
          <w:tcPr>
            <w:tcW w:w="1091" w:type="dxa"/>
            <w:vAlign w:val="top"/>
          </w:tcPr>
          <w:p>
            <w:pPr>
              <w:spacing w:line="440" w:lineRule="exact"/>
              <w:jc w:val="center"/>
              <w:rPr>
                <w:rFonts w:hint="eastAsia" w:ascii="宋体" w:hAnsi="宋体" w:eastAsia="宋体" w:cs="宋体"/>
                <w:color w:val="auto"/>
                <w:sz w:val="24"/>
                <w:szCs w:val="24"/>
                <w:highlight w:val="none"/>
              </w:rPr>
            </w:pPr>
          </w:p>
        </w:tc>
        <w:tc>
          <w:tcPr>
            <w:tcW w:w="831" w:type="dxa"/>
            <w:vAlign w:val="top"/>
          </w:tcPr>
          <w:p>
            <w:pPr>
              <w:spacing w:line="440" w:lineRule="exact"/>
              <w:jc w:val="center"/>
              <w:rPr>
                <w:rFonts w:hint="eastAsia" w:ascii="宋体" w:hAnsi="宋体" w:eastAsia="宋体" w:cs="宋体"/>
                <w:color w:val="auto"/>
                <w:sz w:val="24"/>
                <w:szCs w:val="24"/>
                <w:highlight w:val="none"/>
              </w:rPr>
            </w:pPr>
          </w:p>
        </w:tc>
        <w:tc>
          <w:tcPr>
            <w:tcW w:w="832"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1041" w:type="dxa"/>
            <w:vAlign w:val="top"/>
          </w:tcPr>
          <w:p>
            <w:pPr>
              <w:spacing w:line="440" w:lineRule="exact"/>
              <w:jc w:val="center"/>
              <w:rPr>
                <w:rFonts w:hint="eastAsia" w:ascii="宋体" w:hAnsi="宋体" w:eastAsia="宋体" w:cs="宋体"/>
                <w:color w:val="auto"/>
                <w:sz w:val="24"/>
                <w:szCs w:val="24"/>
                <w:highlight w:val="none"/>
              </w:rPr>
            </w:pPr>
          </w:p>
        </w:tc>
        <w:tc>
          <w:tcPr>
            <w:tcW w:w="725" w:type="dxa"/>
            <w:vAlign w:val="top"/>
          </w:tcPr>
          <w:p>
            <w:pPr>
              <w:spacing w:line="440" w:lineRule="exact"/>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需提供身份证、职称证、相关资格证、注册证及近三个月在本单位购买的社保证明文件等证明材料。</w:t>
      </w:r>
    </w:p>
    <w:p>
      <w:pPr>
        <w:spacing w:before="120" w:line="360" w:lineRule="auto"/>
        <w:rPr>
          <w:rFonts w:hint="eastAsia" w:ascii="宋体" w:hAnsi="宋体" w:eastAsia="宋体" w:cs="宋体"/>
          <w:b/>
          <w:color w:val="auto"/>
          <w:szCs w:val="21"/>
        </w:rPr>
      </w:pPr>
    </w:p>
    <w:p>
      <w:pPr>
        <w:spacing w:before="120" w:line="360" w:lineRule="auto"/>
        <w:rPr>
          <w:rFonts w:hint="eastAsia" w:ascii="宋体" w:hAnsi="宋体" w:eastAsia="宋体" w:cs="宋体"/>
          <w:b/>
          <w:color w:val="auto"/>
          <w:szCs w:val="21"/>
        </w:rPr>
      </w:pPr>
      <w:r>
        <w:rPr>
          <w:rFonts w:hint="eastAsia" w:ascii="宋体" w:hAnsi="宋体" w:eastAsia="宋体" w:cs="宋体"/>
          <w:b/>
          <w:color w:val="auto"/>
          <w:szCs w:val="21"/>
        </w:rPr>
        <w:t>注：根据评分表的要求提交相应资料。</w:t>
      </w:r>
    </w:p>
    <w:p>
      <w:pPr>
        <w:spacing w:line="360" w:lineRule="auto"/>
        <w:rPr>
          <w:rFonts w:hint="eastAsia" w:ascii="宋体" w:hAnsi="宋体" w:eastAsia="宋体" w:cs="宋体"/>
          <w:color w:val="auto"/>
          <w:kern w:val="0"/>
          <w:szCs w:val="21"/>
        </w:rPr>
      </w:pPr>
    </w:p>
    <w:p>
      <w:pPr>
        <w:spacing w:line="360" w:lineRule="auto"/>
        <w:rPr>
          <w:rFonts w:hint="eastAsia" w:ascii="宋体" w:hAnsi="宋体" w:eastAsia="宋体" w:cs="宋体"/>
          <w:bCs/>
          <w:color w:val="auto"/>
          <w:szCs w:val="21"/>
        </w:rPr>
      </w:pPr>
      <w:r>
        <w:rPr>
          <w:rFonts w:hint="eastAsia" w:ascii="宋体" w:hAnsi="宋体" w:eastAsia="宋体" w:cs="宋体"/>
          <w:color w:val="auto"/>
          <w:kern w:val="0"/>
          <w:szCs w:val="21"/>
        </w:rPr>
        <w:t>供应商</w:t>
      </w:r>
      <w:r>
        <w:rPr>
          <w:rFonts w:hint="eastAsia" w:ascii="宋体" w:hAnsi="宋体" w:eastAsia="宋体" w:cs="宋体"/>
          <w:bCs/>
          <w:color w:val="auto"/>
          <w:szCs w:val="21"/>
        </w:rPr>
        <w:t>全称（加盖公章）:</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spacing w:line="360" w:lineRule="auto"/>
        <w:rPr>
          <w:rFonts w:hint="eastAsia" w:ascii="宋体" w:hAnsi="宋体" w:eastAsia="宋体" w:cs="宋体"/>
          <w:b/>
          <w:bCs/>
          <w:color w:val="auto"/>
          <w:kern w:val="0"/>
          <w:sz w:val="28"/>
          <w:szCs w:val="28"/>
        </w:rPr>
        <w:sectPr>
          <w:pgSz w:w="11906" w:h="16838"/>
          <w:pgMar w:top="1134" w:right="1417" w:bottom="1134" w:left="1417" w:header="567" w:footer="737" w:gutter="0"/>
          <w:pgNumType w:fmt="decimal"/>
          <w:cols w:space="720" w:num="1"/>
          <w:docGrid w:linePitch="312" w:charSpace="0"/>
        </w:sectPr>
      </w:pPr>
      <w:r>
        <w:rPr>
          <w:rFonts w:hint="eastAsia" w:ascii="宋体" w:hAnsi="宋体" w:eastAsia="宋体" w:cs="宋体"/>
          <w:bCs/>
          <w:color w:val="auto"/>
          <w:szCs w:val="21"/>
        </w:rPr>
        <w:t>日    期： 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  月  日</w:t>
      </w:r>
    </w:p>
    <w:p>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kern w:val="0"/>
          <w:sz w:val="28"/>
          <w:szCs w:val="28"/>
          <w:lang w:val="en-US" w:eastAsia="zh-CN"/>
        </w:rPr>
        <w:t>8</w:t>
      </w:r>
      <w:r>
        <w:rPr>
          <w:rFonts w:hint="eastAsia" w:ascii="宋体" w:hAnsi="宋体" w:eastAsia="宋体" w:cs="宋体"/>
          <w:b/>
          <w:bCs/>
          <w:color w:val="auto"/>
          <w:kern w:val="0"/>
          <w:sz w:val="28"/>
          <w:szCs w:val="28"/>
        </w:rPr>
        <w:t xml:space="preserve"> 实质性条款响应一览表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kern w:val="28"/>
          <w:szCs w:val="21"/>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color w:val="auto"/>
          <w:szCs w:val="21"/>
        </w:rPr>
      </w:pPr>
      <w:r>
        <w:rPr>
          <w:rFonts w:hint="eastAsia" w:ascii="宋体" w:hAnsi="宋体" w:eastAsia="宋体" w:cs="宋体"/>
          <w:color w:val="auto"/>
          <w:szCs w:val="21"/>
        </w:rPr>
        <w:t>项目编号：</w:t>
      </w:r>
    </w:p>
    <w:tbl>
      <w:tblPr>
        <w:tblStyle w:val="8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083"/>
        <w:gridCol w:w="1159"/>
        <w:gridCol w:w="114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5083" w:type="dxa"/>
            <w:tcBorders>
              <w:lef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带“★”号响应内容</w:t>
            </w: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是否响应</w:t>
            </w: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偏离说明</w:t>
            </w: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szCs w:val="20"/>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5083"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rPr>
            </w:pPr>
          </w:p>
        </w:tc>
        <w:tc>
          <w:tcPr>
            <w:tcW w:w="1159"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145"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c>
          <w:tcPr>
            <w:tcW w:w="1216" w:type="dxa"/>
            <w:vAlign w:val="center"/>
          </w:tcPr>
          <w:p>
            <w:pPr>
              <w:keepNext w:val="0"/>
              <w:keepLines w:val="0"/>
              <w:pageBreakBefore w:val="0"/>
              <w:kinsoku/>
              <w:wordWrap/>
              <w:overflowPunct/>
              <w:topLinePunct w:val="0"/>
              <w:autoSpaceDE/>
              <w:autoSpaceDN/>
              <w:bidi w:val="0"/>
              <w:adjustRightInd/>
              <w:spacing w:line="240" w:lineRule="auto"/>
              <w:ind w:left="902" w:hanging="902"/>
              <w:jc w:val="center"/>
              <w:textAlignment w:val="auto"/>
              <w:rPr>
                <w:rFonts w:hint="eastAsia" w:ascii="宋体" w:hAnsi="宋体" w:eastAsia="宋体" w:cs="宋体"/>
                <w:color w:val="auto"/>
                <w:szCs w:val="21"/>
              </w:rPr>
            </w:pPr>
          </w:p>
        </w:tc>
      </w:tr>
    </w:tbl>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color w:val="auto"/>
          <w:szCs w:val="21"/>
        </w:rPr>
      </w:pPr>
      <w:r>
        <w:rPr>
          <w:rFonts w:hint="eastAsia" w:ascii="宋体" w:hAnsi="宋体" w:eastAsia="宋体" w:cs="宋体"/>
          <w:b/>
          <w:bCs/>
          <w:color w:val="auto"/>
          <w:szCs w:val="21"/>
        </w:rPr>
        <w:t>说明：1、供应商必须对应竞争性磋商文件的 “★”号条款逐条应答并按要求填写下表。</w:t>
      </w:r>
    </w:p>
    <w:p>
      <w:pPr>
        <w:keepNext w:val="0"/>
        <w:keepLines w:val="0"/>
        <w:pageBreakBefore w:val="0"/>
        <w:kinsoku/>
        <w:wordWrap/>
        <w:overflowPunct/>
        <w:topLinePunct w:val="0"/>
        <w:autoSpaceDE/>
        <w:autoSpaceDN/>
        <w:bidi w:val="0"/>
        <w:adjustRightInd/>
        <w:spacing w:line="240" w:lineRule="auto"/>
        <w:ind w:left="718" w:leftChars="342"/>
        <w:textAlignment w:val="auto"/>
        <w:rPr>
          <w:rFonts w:hint="eastAsia" w:ascii="宋体" w:hAnsi="宋体" w:eastAsia="宋体" w:cs="宋体"/>
          <w:b/>
          <w:bCs/>
          <w:color w:val="auto"/>
          <w:szCs w:val="21"/>
        </w:rPr>
      </w:pPr>
      <w:r>
        <w:rPr>
          <w:rFonts w:hint="eastAsia" w:ascii="宋体" w:hAnsi="宋体" w:eastAsia="宋体" w:cs="宋体"/>
          <w:b/>
          <w:bCs/>
          <w:color w:val="auto"/>
          <w:szCs w:val="21"/>
        </w:rPr>
        <w:t>2、对完全响应的条目在下表相应列中标注“○”。对有偏离的条目在下表相应列中标注“×”，并简述偏离内容。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color w:val="auto"/>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供应商全称（加盖公章）:</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color w:val="auto"/>
          <w:szCs w:val="21"/>
        </w:rPr>
      </w:pPr>
      <w:r>
        <w:rPr>
          <w:rFonts w:hint="eastAsia" w:ascii="宋体" w:hAnsi="宋体" w:eastAsia="宋体" w:cs="宋体"/>
          <w:bCs/>
          <w:color w:val="auto"/>
          <w:szCs w:val="21"/>
        </w:rPr>
        <w:t>法定代表人或其授权代表(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color w:val="auto"/>
          <w:szCs w:val="21"/>
        </w:rPr>
      </w:pPr>
      <w:r>
        <w:rPr>
          <w:rFonts w:hint="eastAsia" w:ascii="宋体" w:hAnsi="宋体" w:eastAsia="宋体" w:cs="宋体"/>
          <w:bCs/>
          <w:color w:val="auto"/>
          <w:szCs w:val="21"/>
        </w:rPr>
        <w:t>日    期：     年   月   日</w:t>
      </w:r>
      <w:bookmarkEnd w:id="500"/>
      <w:bookmarkEnd w:id="590"/>
      <w:bookmarkEnd w:id="591"/>
      <w:bookmarkEnd w:id="592"/>
      <w:bookmarkEnd w:id="593"/>
      <w:bookmarkEnd w:id="594"/>
      <w:bookmarkEnd w:id="596"/>
      <w:bookmarkEnd w:id="597"/>
      <w:bookmarkEnd w:id="598"/>
      <w:bookmarkEnd w:id="599"/>
      <w:bookmarkEnd w:id="600"/>
      <w:bookmarkEnd w:id="601"/>
      <w:bookmarkEnd w:id="602"/>
      <w:bookmarkEnd w:id="603"/>
      <w:bookmarkEnd w:id="604"/>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w:t>
      </w:r>
      <w:r>
        <w:rPr>
          <w:rFonts w:hint="eastAsia" w:ascii="宋体" w:hAnsi="宋体" w:eastAsia="宋体" w:cs="宋体"/>
          <w:b/>
          <w:bCs/>
          <w:color w:val="auto"/>
          <w:kern w:val="0"/>
          <w:sz w:val="28"/>
          <w:szCs w:val="28"/>
          <w:lang w:val="en-US" w:eastAsia="zh-CN"/>
        </w:rPr>
        <w:t>19</w:t>
      </w:r>
      <w:r>
        <w:rPr>
          <w:rFonts w:hint="eastAsia" w:ascii="宋体" w:hAnsi="宋体" w:eastAsia="宋体" w:cs="宋体"/>
          <w:b/>
          <w:bCs/>
          <w:color w:val="auto"/>
          <w:kern w:val="0"/>
          <w:sz w:val="28"/>
          <w:szCs w:val="28"/>
        </w:rPr>
        <w:t xml:space="preserve">   ▲条款响应一览表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kern w:val="28"/>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项目编号：</w:t>
      </w:r>
    </w:p>
    <w:tbl>
      <w:tblPr>
        <w:tblStyle w:val="88"/>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996" w:type="dxa"/>
            <w:tcBorders>
              <w:left w:val="single" w:color="000000" w:sz="4" w:space="0"/>
            </w:tcBorders>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带“▲”号响应内容</w:t>
            </w:r>
          </w:p>
        </w:tc>
        <w:tc>
          <w:tcPr>
            <w:tcW w:w="1729"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是否响应</w:t>
            </w:r>
          </w:p>
        </w:tc>
        <w:tc>
          <w:tcPr>
            <w:tcW w:w="1749"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偏离说明</w:t>
            </w:r>
          </w:p>
        </w:tc>
        <w:tc>
          <w:tcPr>
            <w:tcW w:w="1253"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996" w:type="dxa"/>
            <w:tcBorders>
              <w:left w:val="single" w:color="000000" w:sz="4" w:space="0"/>
            </w:tcBorders>
          </w:tcPr>
          <w:p>
            <w:pPr>
              <w:widowControl/>
              <w:spacing w:line="280" w:lineRule="exact"/>
              <w:jc w:val="left"/>
              <w:rPr>
                <w:rFonts w:hint="eastAsia" w:ascii="宋体" w:hAnsi="宋体" w:eastAsia="宋体" w:cs="宋体"/>
                <w:color w:val="auto"/>
                <w:szCs w:val="21"/>
              </w:rPr>
            </w:pPr>
          </w:p>
        </w:tc>
        <w:tc>
          <w:tcPr>
            <w:tcW w:w="1729" w:type="dxa"/>
            <w:vAlign w:val="center"/>
          </w:tcPr>
          <w:p>
            <w:pPr>
              <w:spacing w:before="240" w:line="360" w:lineRule="auto"/>
              <w:ind w:left="902" w:hanging="902"/>
              <w:jc w:val="center"/>
              <w:rPr>
                <w:rFonts w:hint="eastAsia" w:ascii="宋体" w:hAnsi="宋体" w:eastAsia="宋体" w:cs="宋体"/>
                <w:color w:val="auto"/>
                <w:szCs w:val="21"/>
              </w:rPr>
            </w:pPr>
          </w:p>
        </w:tc>
        <w:tc>
          <w:tcPr>
            <w:tcW w:w="1749" w:type="dxa"/>
            <w:vAlign w:val="center"/>
          </w:tcPr>
          <w:p>
            <w:pPr>
              <w:spacing w:before="240" w:line="360" w:lineRule="auto"/>
              <w:ind w:left="902" w:hanging="902"/>
              <w:jc w:val="center"/>
              <w:rPr>
                <w:rFonts w:hint="eastAsia" w:ascii="宋体" w:hAnsi="宋体" w:eastAsia="宋体" w:cs="宋体"/>
                <w:color w:val="auto"/>
                <w:szCs w:val="21"/>
              </w:rPr>
            </w:pPr>
          </w:p>
        </w:tc>
        <w:tc>
          <w:tcPr>
            <w:tcW w:w="1253" w:type="dxa"/>
            <w:vAlign w:val="center"/>
          </w:tcPr>
          <w:p>
            <w:pPr>
              <w:spacing w:before="240" w:line="360" w:lineRule="auto"/>
              <w:ind w:left="902" w:hanging="902"/>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996" w:type="dxa"/>
            <w:tcBorders>
              <w:left w:val="single" w:color="000000" w:sz="4" w:space="0"/>
            </w:tcBorders>
          </w:tcPr>
          <w:p>
            <w:pPr>
              <w:widowControl/>
              <w:spacing w:line="280" w:lineRule="exact"/>
              <w:jc w:val="left"/>
              <w:rPr>
                <w:rFonts w:hint="eastAsia" w:ascii="宋体" w:hAnsi="宋体" w:eastAsia="宋体" w:cs="宋体"/>
                <w:color w:val="auto"/>
                <w:szCs w:val="21"/>
              </w:rPr>
            </w:pPr>
          </w:p>
        </w:tc>
        <w:tc>
          <w:tcPr>
            <w:tcW w:w="1729" w:type="dxa"/>
            <w:vAlign w:val="center"/>
          </w:tcPr>
          <w:p>
            <w:pPr>
              <w:spacing w:before="240" w:line="360" w:lineRule="auto"/>
              <w:ind w:left="902" w:hanging="902"/>
              <w:jc w:val="center"/>
              <w:rPr>
                <w:rFonts w:hint="eastAsia" w:ascii="宋体" w:hAnsi="宋体" w:eastAsia="宋体" w:cs="宋体"/>
                <w:color w:val="auto"/>
                <w:szCs w:val="21"/>
              </w:rPr>
            </w:pPr>
          </w:p>
        </w:tc>
        <w:tc>
          <w:tcPr>
            <w:tcW w:w="1749" w:type="dxa"/>
            <w:vAlign w:val="center"/>
          </w:tcPr>
          <w:p>
            <w:pPr>
              <w:spacing w:before="240" w:line="360" w:lineRule="auto"/>
              <w:ind w:left="902" w:hanging="902"/>
              <w:jc w:val="center"/>
              <w:rPr>
                <w:rFonts w:hint="eastAsia" w:ascii="宋体" w:hAnsi="宋体" w:eastAsia="宋体" w:cs="宋体"/>
                <w:color w:val="auto"/>
                <w:szCs w:val="21"/>
              </w:rPr>
            </w:pPr>
          </w:p>
        </w:tc>
        <w:tc>
          <w:tcPr>
            <w:tcW w:w="1253" w:type="dxa"/>
            <w:vAlign w:val="center"/>
          </w:tcPr>
          <w:p>
            <w:pPr>
              <w:spacing w:before="240" w:line="360" w:lineRule="auto"/>
              <w:ind w:left="902" w:hanging="902"/>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spacing w:before="240" w:line="360" w:lineRule="auto"/>
              <w:ind w:left="902" w:hanging="902"/>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996" w:type="dxa"/>
            <w:tcBorders>
              <w:left w:val="single" w:color="000000" w:sz="4" w:space="0"/>
            </w:tcBorders>
          </w:tcPr>
          <w:p>
            <w:pPr>
              <w:widowControl/>
              <w:spacing w:line="280" w:lineRule="exact"/>
              <w:jc w:val="left"/>
              <w:rPr>
                <w:rFonts w:hint="eastAsia" w:ascii="宋体" w:hAnsi="宋体" w:eastAsia="宋体" w:cs="宋体"/>
                <w:color w:val="auto"/>
                <w:szCs w:val="21"/>
              </w:rPr>
            </w:pPr>
          </w:p>
        </w:tc>
        <w:tc>
          <w:tcPr>
            <w:tcW w:w="1729" w:type="dxa"/>
            <w:vAlign w:val="center"/>
          </w:tcPr>
          <w:p>
            <w:pPr>
              <w:spacing w:before="240" w:line="360" w:lineRule="auto"/>
              <w:ind w:left="902" w:hanging="902"/>
              <w:jc w:val="center"/>
              <w:rPr>
                <w:rFonts w:hint="eastAsia" w:ascii="宋体" w:hAnsi="宋体" w:eastAsia="宋体" w:cs="宋体"/>
                <w:color w:val="auto"/>
                <w:szCs w:val="21"/>
              </w:rPr>
            </w:pPr>
          </w:p>
        </w:tc>
        <w:tc>
          <w:tcPr>
            <w:tcW w:w="1749" w:type="dxa"/>
            <w:vAlign w:val="center"/>
          </w:tcPr>
          <w:p>
            <w:pPr>
              <w:spacing w:before="240" w:line="360" w:lineRule="auto"/>
              <w:ind w:left="902" w:hanging="902"/>
              <w:jc w:val="center"/>
              <w:rPr>
                <w:rFonts w:hint="eastAsia" w:ascii="宋体" w:hAnsi="宋体" w:eastAsia="宋体" w:cs="宋体"/>
                <w:color w:val="auto"/>
                <w:szCs w:val="21"/>
              </w:rPr>
            </w:pPr>
          </w:p>
        </w:tc>
        <w:tc>
          <w:tcPr>
            <w:tcW w:w="1253" w:type="dxa"/>
            <w:vAlign w:val="center"/>
          </w:tcPr>
          <w:p>
            <w:pPr>
              <w:spacing w:before="240" w:line="360" w:lineRule="auto"/>
              <w:ind w:left="902" w:hanging="902"/>
              <w:jc w:val="center"/>
              <w:rPr>
                <w:rFonts w:hint="eastAsia" w:ascii="宋体" w:hAnsi="宋体" w:eastAsia="宋体" w:cs="宋体"/>
                <w:color w:val="auto"/>
                <w:szCs w:val="21"/>
              </w:rPr>
            </w:pPr>
          </w:p>
        </w:tc>
      </w:tr>
    </w:tbl>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说明：1、投标人必须对应采购文件的 “</w:t>
      </w:r>
      <w:r>
        <w:rPr>
          <w:rFonts w:hint="eastAsia" w:ascii="宋体" w:hAnsi="宋体" w:eastAsia="宋体" w:cs="宋体"/>
          <w:color w:val="auto"/>
          <w:szCs w:val="21"/>
        </w:rPr>
        <w:t>▲</w:t>
      </w:r>
      <w:r>
        <w:rPr>
          <w:rFonts w:hint="eastAsia" w:ascii="宋体" w:hAnsi="宋体" w:eastAsia="宋体" w:cs="宋体"/>
          <w:b/>
          <w:bCs/>
          <w:color w:val="auto"/>
          <w:szCs w:val="21"/>
        </w:rPr>
        <w:t>”号条款逐条应答并按要求填写下表。</w:t>
      </w:r>
    </w:p>
    <w:p>
      <w:pPr>
        <w:rPr>
          <w:rFonts w:hint="eastAsia" w:ascii="宋体" w:hAnsi="宋体" w:eastAsia="宋体" w:cs="宋体"/>
          <w:b/>
          <w:bCs/>
          <w:color w:val="auto"/>
          <w:kern w:val="0"/>
          <w:sz w:val="24"/>
        </w:rPr>
      </w:pPr>
      <w:r>
        <w:rPr>
          <w:rFonts w:hint="eastAsia" w:ascii="宋体" w:hAnsi="宋体" w:eastAsia="宋体" w:cs="宋体"/>
          <w:b/>
          <w:bCs/>
          <w:color w:val="auto"/>
          <w:szCs w:val="21"/>
        </w:rPr>
        <w:t>2、对完全响应的条目在下表相应列中标注“○”。对有偏离的条目在下表相应列中标注“×”，并简述偏离内容。</w:t>
      </w:r>
    </w:p>
    <w:p>
      <w:pPr>
        <w:rPr>
          <w:rFonts w:hint="eastAsia" w:ascii="宋体" w:hAnsi="宋体" w:eastAsia="宋体" w:cs="宋体"/>
          <w:b/>
          <w:bCs/>
          <w:color w:val="auto"/>
          <w:kern w:val="0"/>
          <w:sz w:val="24"/>
        </w:rPr>
      </w:pPr>
    </w:p>
    <w:p>
      <w:pPr>
        <w:rPr>
          <w:rFonts w:hint="eastAsia" w:ascii="宋体" w:hAnsi="宋体" w:eastAsia="宋体" w:cs="宋体"/>
          <w:b/>
          <w:bCs/>
          <w:color w:val="auto"/>
          <w:kern w:val="0"/>
          <w:sz w:val="24"/>
        </w:rPr>
      </w:pPr>
    </w:p>
    <w:p>
      <w:pPr>
        <w:rPr>
          <w:rFonts w:hint="eastAsia" w:ascii="宋体" w:hAnsi="宋体" w:eastAsia="宋体" w:cs="宋体"/>
          <w:b/>
          <w:bCs/>
          <w:color w:val="auto"/>
          <w:kern w:val="0"/>
          <w:sz w:val="24"/>
        </w:rPr>
      </w:pPr>
    </w:p>
    <w:p>
      <w:pPr>
        <w:rPr>
          <w:rFonts w:hint="eastAsia" w:ascii="宋体" w:hAnsi="宋体" w:eastAsia="宋体" w:cs="宋体"/>
          <w:b/>
          <w:bCs/>
          <w:color w:val="auto"/>
          <w:kern w:val="0"/>
          <w:sz w:val="24"/>
        </w:rPr>
      </w:pP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投标人全称（加盖公章）:</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法定代表或其授权代表(</w:t>
      </w:r>
      <w:r>
        <w:rPr>
          <w:rFonts w:hint="eastAsia" w:ascii="宋体" w:hAnsi="宋体" w:eastAsia="宋体" w:cs="宋体"/>
          <w:color w:val="auto"/>
          <w:szCs w:val="21"/>
        </w:rPr>
        <w:t>签字或签章</w:t>
      </w:r>
      <w:r>
        <w:rPr>
          <w:rFonts w:hint="eastAsia" w:ascii="宋体" w:hAnsi="宋体" w:eastAsia="宋体" w:cs="宋体"/>
          <w:bCs/>
          <w:color w:val="auto"/>
          <w:szCs w:val="21"/>
        </w:rPr>
        <w:t>)：</w:t>
      </w:r>
    </w:p>
    <w:p>
      <w:pPr>
        <w:rPr>
          <w:rFonts w:hint="eastAsia" w:ascii="宋体" w:hAnsi="宋体" w:eastAsia="宋体" w:cs="宋体"/>
          <w:b/>
          <w:bCs/>
          <w:color w:val="auto"/>
          <w:kern w:val="0"/>
          <w:sz w:val="28"/>
          <w:szCs w:val="28"/>
        </w:rPr>
      </w:pPr>
      <w:r>
        <w:rPr>
          <w:rFonts w:hint="eastAsia" w:ascii="宋体" w:hAnsi="宋体" w:eastAsia="宋体" w:cs="宋体"/>
          <w:bCs/>
          <w:color w:val="auto"/>
          <w:szCs w:val="21"/>
        </w:rPr>
        <w:t>日    期：     年   月   日</w:t>
      </w:r>
      <w:r>
        <w:rPr>
          <w:rFonts w:hint="eastAsia" w:ascii="宋体" w:hAnsi="宋体" w:eastAsia="宋体" w:cs="宋体"/>
          <w:b/>
          <w:bCs/>
          <w:color w:val="auto"/>
          <w:kern w:val="0"/>
          <w:sz w:val="28"/>
          <w:szCs w:val="28"/>
        </w:rPr>
        <w:br w:type="page"/>
      </w:r>
    </w:p>
    <w:p>
      <w:pPr>
        <w:widowControl/>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附件2</w:t>
      </w:r>
      <w:r>
        <w:rPr>
          <w:rFonts w:hint="eastAsia" w:ascii="宋体" w:hAnsi="宋体" w:eastAsia="宋体" w:cs="宋体"/>
          <w:b/>
          <w:bCs/>
          <w:color w:val="auto"/>
          <w:kern w:val="0"/>
          <w:sz w:val="28"/>
          <w:szCs w:val="28"/>
          <w:lang w:val="en-US" w:eastAsia="zh-CN"/>
        </w:rPr>
        <w:t>0</w:t>
      </w:r>
      <w:r>
        <w:rPr>
          <w:rFonts w:hint="eastAsia" w:ascii="宋体" w:hAnsi="宋体" w:eastAsia="宋体" w:cs="宋体"/>
          <w:b/>
          <w:bCs/>
          <w:color w:val="auto"/>
          <w:kern w:val="0"/>
          <w:sz w:val="28"/>
          <w:szCs w:val="28"/>
        </w:rPr>
        <w:t xml:space="preserve">  供应商认为有必要说明的其他文件</w:t>
      </w:r>
    </w:p>
    <w:p>
      <w:pPr>
        <w:widowControl/>
        <w:snapToGrid w:val="0"/>
        <w:spacing w:line="360" w:lineRule="auto"/>
        <w:rPr>
          <w:rFonts w:hint="eastAsia" w:ascii="宋体" w:hAnsi="宋体" w:eastAsia="宋体" w:cs="宋体"/>
          <w:color w:val="auto"/>
          <w:szCs w:val="21"/>
        </w:rPr>
      </w:pPr>
    </w:p>
    <w:p>
      <w:pPr>
        <w:spacing w:line="360" w:lineRule="auto"/>
        <w:rPr>
          <w:rFonts w:hint="eastAsia" w:ascii="宋体" w:hAnsi="宋体" w:eastAsia="宋体" w:cs="宋体"/>
          <w:bCs/>
          <w:color w:val="auto"/>
          <w:szCs w:val="21"/>
        </w:rPr>
      </w:pPr>
    </w:p>
    <w:p>
      <w:pPr>
        <w:rPr>
          <w:rFonts w:hint="eastAsia" w:ascii="宋体" w:hAnsi="宋体" w:eastAsia="宋体" w:cs="宋体"/>
          <w:color w:val="auto"/>
        </w:rPr>
      </w:pPr>
    </w:p>
    <w:sectPr>
      <w:pgSz w:w="11906" w:h="16838"/>
      <w:pgMar w:top="567" w:right="1304" w:bottom="567" w:left="1361"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2"/>
      </w:rPr>
    </w:pPr>
    <w:r>
      <w:fldChar w:fldCharType="begin"/>
    </w:r>
    <w:r>
      <w:rPr>
        <w:rStyle w:val="92"/>
      </w:rPr>
      <w:instrText xml:space="preserve">PAGE  </w:instrText>
    </w:r>
    <w:r>
      <w:fldChar w:fldCharType="end"/>
    </w:r>
  </w:p>
  <w:p>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270" w:firstLine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tabs>
        <w:tab w:val="right" w:pos="8400"/>
        <w:tab w:val="clear" w:pos="8306"/>
      </w:tabs>
      <w:ind w:right="360"/>
      <w:rPr>
        <w:color w:val="000000"/>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hint="eastAsia" w:eastAsia="宋体"/>
                              <w:sz w:val="22"/>
                              <w:szCs w:val="32"/>
                              <w:lang w:eastAsia="zh-CN"/>
                            </w:rPr>
                          </w:pPr>
                          <w:r>
                            <w:rPr>
                              <w:rFonts w:hint="eastAsia"/>
                              <w:sz w:val="22"/>
                              <w:szCs w:val="32"/>
                              <w:lang w:eastAsia="zh-CN"/>
                            </w:rPr>
                            <w:fldChar w:fldCharType="begin"/>
                          </w:r>
                          <w:r>
                            <w:rPr>
                              <w:rFonts w:hint="eastAsia"/>
                              <w:sz w:val="22"/>
                              <w:szCs w:val="32"/>
                              <w:lang w:eastAsia="zh-CN"/>
                            </w:rPr>
                            <w:instrText xml:space="preserve"> PAGE  \* MERGEFORMAT </w:instrText>
                          </w:r>
                          <w:r>
                            <w:rPr>
                              <w:rFonts w:hint="eastAsia"/>
                              <w:sz w:val="22"/>
                              <w:szCs w:val="32"/>
                              <w:lang w:eastAsia="zh-CN"/>
                            </w:rPr>
                            <w:fldChar w:fldCharType="separate"/>
                          </w:r>
                          <w:r>
                            <w:rPr>
                              <w:rFonts w:hint="eastAsia"/>
                              <w:sz w:val="22"/>
                              <w:szCs w:val="32"/>
                              <w:lang w:eastAsia="zh-CN"/>
                            </w:rPr>
                            <w:t>1</w:t>
                          </w:r>
                          <w:r>
                            <w:rPr>
                              <w:rFonts w:hint="eastAsia"/>
                              <w:sz w:val="2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5"/>
                      <w:rPr>
                        <w:rFonts w:hint="eastAsia" w:eastAsia="宋体"/>
                        <w:sz w:val="22"/>
                        <w:szCs w:val="32"/>
                        <w:lang w:eastAsia="zh-CN"/>
                      </w:rPr>
                    </w:pPr>
                    <w:r>
                      <w:rPr>
                        <w:rFonts w:hint="eastAsia"/>
                        <w:sz w:val="22"/>
                        <w:szCs w:val="32"/>
                        <w:lang w:eastAsia="zh-CN"/>
                      </w:rPr>
                      <w:fldChar w:fldCharType="begin"/>
                    </w:r>
                    <w:r>
                      <w:rPr>
                        <w:rFonts w:hint="eastAsia"/>
                        <w:sz w:val="22"/>
                        <w:szCs w:val="32"/>
                        <w:lang w:eastAsia="zh-CN"/>
                      </w:rPr>
                      <w:instrText xml:space="preserve"> PAGE  \* MERGEFORMAT </w:instrText>
                    </w:r>
                    <w:r>
                      <w:rPr>
                        <w:rFonts w:hint="eastAsia"/>
                        <w:sz w:val="22"/>
                        <w:szCs w:val="32"/>
                        <w:lang w:eastAsia="zh-CN"/>
                      </w:rPr>
                      <w:fldChar w:fldCharType="separate"/>
                    </w:r>
                    <w:r>
                      <w:rPr>
                        <w:rFonts w:hint="eastAsia"/>
                        <w:sz w:val="22"/>
                        <w:szCs w:val="32"/>
                        <w:lang w:eastAsia="zh-CN"/>
                      </w:rPr>
                      <w:t>1</w:t>
                    </w:r>
                    <w:r>
                      <w:rPr>
                        <w:rFonts w:hint="eastAsia"/>
                        <w:sz w:val="22"/>
                        <w:szCs w:val="3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kern w:val="0"/>
        <w:sz w:val="20"/>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M5WI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TOViNAIAAGUEAAAOAAAAAAAAAAEAIAAAAB8BAABkcnMvZTJvRG9jLnhtbFBL&#10;BQYAAAAABgAGAFkBAADFBQAAAAA=&#10;">
              <v:fill on="f" focussize="0,0"/>
              <v:stroke on="f" weight="0.5pt"/>
              <v:imagedata o:title=""/>
              <o:lock v:ext="edit" aspectratio="f"/>
              <v:textbox inset="0mm,0mm,0mm,0mm" style="mso-fit-shape-to-text:t;">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left"/>
    </w:pPr>
    <w:r>
      <w:drawing>
        <wp:inline distT="0" distB="0" distL="0" distR="0">
          <wp:extent cx="381000" cy="314325"/>
          <wp:effectExtent l="0" t="0" r="0" b="9525"/>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314325"/>
                  </a:xfrm>
                  <a:prstGeom prst="rect">
                    <a:avLst/>
                  </a:prstGeom>
                  <a:noFill/>
                  <a:ln>
                    <a:noFill/>
                  </a:ln>
                </pic:spPr>
              </pic:pic>
            </a:graphicData>
          </a:graphic>
        </wp:inline>
      </w:drawing>
    </w:r>
    <w:r>
      <w:drawing>
        <wp:inline distT="0" distB="0" distL="0" distR="0">
          <wp:extent cx="1076325" cy="238125"/>
          <wp:effectExtent l="0" t="0" r="9525" b="9525"/>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drawing>
        <wp:inline distT="0" distB="0" distL="0" distR="0">
          <wp:extent cx="381000" cy="314325"/>
          <wp:effectExtent l="0" t="0" r="0" b="9525"/>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314325"/>
                  </a:xfrm>
                  <a:prstGeom prst="rect">
                    <a:avLst/>
                  </a:prstGeom>
                  <a:noFill/>
                  <a:ln>
                    <a:noFill/>
                  </a:ln>
                </pic:spPr>
              </pic:pic>
            </a:graphicData>
          </a:graphic>
        </wp:inline>
      </w:drawing>
    </w:r>
    <w:r>
      <w:drawing>
        <wp:inline distT="0" distB="0" distL="0" distR="0">
          <wp:extent cx="1076325" cy="238125"/>
          <wp:effectExtent l="0" t="0" r="9525" b="9525"/>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44" name="图片 44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drawing>
        <wp:inline distT="0" distB="0" distL="0" distR="0">
          <wp:extent cx="381000" cy="314325"/>
          <wp:effectExtent l="0" t="0" r="0" b="9525"/>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314325"/>
                  </a:xfrm>
                  <a:prstGeom prst="rect">
                    <a:avLst/>
                  </a:prstGeom>
                  <a:noFill/>
                  <a:ln>
                    <a:noFill/>
                  </a:ln>
                </pic:spPr>
              </pic:pic>
            </a:graphicData>
          </a:graphic>
        </wp:inline>
      </w:drawing>
    </w:r>
    <w:r>
      <w:drawing>
        <wp:inline distT="0" distB="0" distL="0" distR="0">
          <wp:extent cx="1076325" cy="238125"/>
          <wp:effectExtent l="0" t="0" r="9525" b="9525"/>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C82AB"/>
    <w:multiLevelType w:val="singleLevel"/>
    <w:tmpl w:val="DE8C82AB"/>
    <w:lvl w:ilvl="0" w:tentative="0">
      <w:start w:val="1"/>
      <w:numFmt w:val="decimal"/>
      <w:suff w:val="nothing"/>
      <w:lvlText w:val="%1、"/>
      <w:lvlJc w:val="left"/>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3EA44155"/>
    <w:multiLevelType w:val="singleLevel"/>
    <w:tmpl w:val="3EA44155"/>
    <w:lvl w:ilvl="0" w:tentative="0">
      <w:start w:val="9"/>
      <w:numFmt w:val="decimal"/>
      <w:suff w:val="space"/>
      <w:lvlText w:val="%1."/>
      <w:lvlJc w:val="left"/>
    </w:lvl>
  </w:abstractNum>
  <w:abstractNum w:abstractNumId="3">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1EE51E3"/>
    <w:multiLevelType w:val="multilevel"/>
    <w:tmpl w:val="61EE51E3"/>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E51F9"/>
    <w:multiLevelType w:val="multilevel"/>
    <w:tmpl w:val="61EE51F9"/>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E520F"/>
    <w:multiLevelType w:val="multilevel"/>
    <w:tmpl w:val="61EE520F"/>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lvlOverride w:ilvl="0">
      <w:startOverride w:val="1"/>
    </w:lvlOverride>
  </w:num>
  <w:num w:numId="2">
    <w:abstractNumId w:val="1"/>
  </w:num>
  <w:num w:numId="3">
    <w:abstractNumId w:val="8"/>
  </w:num>
  <w:num w:numId="4">
    <w:abstractNumId w:val="4"/>
  </w:num>
  <w:num w:numId="5">
    <w:abstractNumId w:val="3"/>
  </w:num>
  <w:num w:numId="6">
    <w:abstractNumId w:val="2"/>
  </w:num>
  <w:num w:numId="7">
    <w:abstractNumId w:val="9"/>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E72AE"/>
    <w:rsid w:val="031C7164"/>
    <w:rsid w:val="07570E22"/>
    <w:rsid w:val="08446DA9"/>
    <w:rsid w:val="08BA0844"/>
    <w:rsid w:val="08D824C0"/>
    <w:rsid w:val="0BE31FC0"/>
    <w:rsid w:val="0BF81FC7"/>
    <w:rsid w:val="0CD3448B"/>
    <w:rsid w:val="0E4F1A2E"/>
    <w:rsid w:val="11364C2B"/>
    <w:rsid w:val="14596237"/>
    <w:rsid w:val="152F6224"/>
    <w:rsid w:val="16314F3A"/>
    <w:rsid w:val="188D7782"/>
    <w:rsid w:val="1A113A55"/>
    <w:rsid w:val="1D1F1C8E"/>
    <w:rsid w:val="1E8B466B"/>
    <w:rsid w:val="220F4026"/>
    <w:rsid w:val="23C76655"/>
    <w:rsid w:val="292D1D64"/>
    <w:rsid w:val="298E646E"/>
    <w:rsid w:val="2A9C33EB"/>
    <w:rsid w:val="304E7018"/>
    <w:rsid w:val="33BE337C"/>
    <w:rsid w:val="396C0E37"/>
    <w:rsid w:val="40AA1C3C"/>
    <w:rsid w:val="41F830EE"/>
    <w:rsid w:val="42CA0CB7"/>
    <w:rsid w:val="45ED50AE"/>
    <w:rsid w:val="4C2A50F1"/>
    <w:rsid w:val="506363DE"/>
    <w:rsid w:val="512D6067"/>
    <w:rsid w:val="52B93354"/>
    <w:rsid w:val="56031ED0"/>
    <w:rsid w:val="5CBF323F"/>
    <w:rsid w:val="673B33C9"/>
    <w:rsid w:val="697D48A2"/>
    <w:rsid w:val="75BD6407"/>
    <w:rsid w:val="7CBD674D"/>
    <w:rsid w:val="7DF803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0"/>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101"/>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2"/>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4"/>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5"/>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6"/>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7"/>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8"/>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Plain Text"/>
    <w:basedOn w:val="1"/>
    <w:next w:val="1"/>
    <w:link w:val="111"/>
    <w:qFormat/>
    <w:uiPriority w:val="0"/>
    <w:rPr>
      <w:rFonts w:ascii="宋体" w:hAnsi="Courier New" w:cstheme="minorBidi"/>
      <w:szCs w:val="22"/>
    </w:rPr>
  </w:style>
  <w:style w:type="paragraph" w:styleId="3">
    <w:name w:val="macro"/>
    <w:link w:val="153"/>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6"/>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7"/>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3"/>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8"/>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6"/>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4"/>
    <w:qFormat/>
    <w:uiPriority w:val="0"/>
  </w:style>
  <w:style w:type="paragraph" w:styleId="32">
    <w:name w:val="Body Text 3"/>
    <w:basedOn w:val="1"/>
    <w:link w:val="121"/>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5"/>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2"/>
    <w:qFormat/>
    <w:uiPriority w:val="0"/>
    <w:pPr>
      <w:spacing w:after="120"/>
    </w:pPr>
    <w:rPr>
      <w:rFonts w:asciiTheme="minorHAnsi" w:hAnsiTheme="minorHAnsi" w:cstheme="minorBidi"/>
    </w:rPr>
  </w:style>
  <w:style w:type="paragraph" w:styleId="36">
    <w:name w:val="Body Text Indent"/>
    <w:basedOn w:val="1"/>
    <w:link w:val="129"/>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8"/>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qFormat/>
    <w:uiPriority w:val="0"/>
    <w:pPr>
      <w:ind w:left="1470"/>
      <w:jc w:val="left"/>
    </w:pPr>
    <w:rPr>
      <w:sz w:val="18"/>
      <w:szCs w:val="18"/>
    </w:rPr>
  </w:style>
  <w:style w:type="paragraph" w:styleId="49">
    <w:name w:val="index 3"/>
    <w:basedOn w:val="1"/>
    <w:next w:val="1"/>
    <w:semiHidden/>
    <w:qFormat/>
    <w:uiPriority w:val="0"/>
    <w:pPr>
      <w:ind w:left="400" w:leftChars="400"/>
    </w:pPr>
  </w:style>
  <w:style w:type="paragraph" w:styleId="50">
    <w:name w:val="Date"/>
    <w:basedOn w:val="1"/>
    <w:next w:val="1"/>
    <w:link w:val="140"/>
    <w:qFormat/>
    <w:uiPriority w:val="0"/>
    <w:pPr>
      <w:autoSpaceDE w:val="0"/>
      <w:autoSpaceDN w:val="0"/>
      <w:adjustRightInd w:val="0"/>
      <w:spacing w:line="312" w:lineRule="atLeast"/>
      <w:textAlignment w:val="baseline"/>
    </w:pPr>
    <w:rPr>
      <w:kern w:val="0"/>
      <w:sz w:val="32"/>
      <w:szCs w:val="20"/>
    </w:rPr>
  </w:style>
  <w:style w:type="paragraph" w:styleId="51">
    <w:name w:val="Body Text Indent 2"/>
    <w:basedOn w:val="1"/>
    <w:link w:val="137"/>
    <w:qFormat/>
    <w:uiPriority w:val="0"/>
    <w:pPr>
      <w:spacing w:line="360" w:lineRule="auto"/>
      <w:ind w:left="718" w:leftChars="342"/>
    </w:pPr>
    <w:rPr>
      <w:rFonts w:ascii="宋体" w:hAnsi="宋体"/>
      <w:sz w:val="24"/>
    </w:rPr>
  </w:style>
  <w:style w:type="paragraph" w:styleId="52">
    <w:name w:val="endnote text"/>
    <w:basedOn w:val="1"/>
    <w:link w:val="144"/>
    <w:semiHidden/>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17"/>
    <w:qFormat/>
    <w:uiPriority w:val="0"/>
    <w:rPr>
      <w:rFonts w:asciiTheme="minorHAnsi" w:hAnsiTheme="minorHAnsi" w:eastAsiaTheme="minorEastAsia" w:cstheme="minorBidi"/>
      <w:sz w:val="18"/>
      <w:szCs w:val="18"/>
    </w:rPr>
  </w:style>
  <w:style w:type="paragraph" w:styleId="55">
    <w:name w:val="footer"/>
    <w:basedOn w:val="1"/>
    <w:next w:val="1"/>
    <w:link w:val="114"/>
    <w:qFormat/>
    <w:uiPriority w:val="99"/>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6">
    <w:name w:val="envelope return"/>
    <w:basedOn w:val="1"/>
    <w:qFormat/>
    <w:uiPriority w:val="0"/>
    <w:pPr>
      <w:snapToGrid w:val="0"/>
    </w:pPr>
    <w:rPr>
      <w:rFonts w:ascii="Arial" w:hAnsi="Arial" w:cs="Arial"/>
    </w:rPr>
  </w:style>
  <w:style w:type="paragraph" w:styleId="57">
    <w:name w:val="header"/>
    <w:basedOn w:val="1"/>
    <w:link w:val="1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8">
    <w:name w:val="Signature"/>
    <w:basedOn w:val="1"/>
    <w:link w:val="149"/>
    <w:qFormat/>
    <w:uiPriority w:val="0"/>
    <w:pPr>
      <w:ind w:left="100" w:leftChars="2100"/>
    </w:pPr>
  </w:style>
  <w:style w:type="paragraph" w:styleId="59">
    <w:name w:val="toc 1"/>
    <w:basedOn w:val="1"/>
    <w:next w:val="1"/>
    <w:qFormat/>
    <w:uiPriority w:val="39"/>
    <w:pPr>
      <w:spacing w:before="120" w:after="120"/>
      <w:jc w:val="left"/>
    </w:pPr>
    <w:rPr>
      <w:b/>
      <w:bCs/>
      <w:caps/>
      <w:sz w:val="20"/>
      <w:szCs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630"/>
      <w:jc w:val="left"/>
    </w:pPr>
    <w:rPr>
      <w:sz w:val="18"/>
      <w:szCs w:val="18"/>
    </w:r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link w:val="136"/>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ind w:left="2040" w:hanging="360"/>
    </w:pPr>
  </w:style>
  <w:style w:type="paragraph" w:styleId="66">
    <w:name w:val="List"/>
    <w:basedOn w:val="1"/>
    <w:qFormat/>
    <w:uiPriority w:val="0"/>
    <w:pPr>
      <w:tabs>
        <w:tab w:val="left" w:pos="360"/>
        <w:tab w:val="left" w:pos="709"/>
      </w:tabs>
      <w:spacing w:line="300" w:lineRule="auto"/>
      <w:ind w:left="363" w:hanging="170"/>
    </w:pPr>
    <w:rPr>
      <w:spacing w:val="20"/>
      <w:szCs w:val="20"/>
    </w:rPr>
  </w:style>
  <w:style w:type="paragraph" w:styleId="67">
    <w:name w:val="footnote text"/>
    <w:basedOn w:val="1"/>
    <w:link w:val="159"/>
    <w:semiHidden/>
    <w:qFormat/>
    <w:uiPriority w:val="0"/>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link w:val="160"/>
    <w:qFormat/>
    <w:uiPriority w:val="0"/>
    <w:pPr>
      <w:spacing w:line="360" w:lineRule="auto"/>
      <w:ind w:firstLine="480" w:firstLineChars="200"/>
    </w:pPr>
    <w:rPr>
      <w:rFonts w:ascii="宋体" w:hAnsi="宋体"/>
      <w:sz w:val="24"/>
    </w:rPr>
  </w:style>
  <w:style w:type="paragraph" w:styleId="71">
    <w:name w:val="index 7"/>
    <w:basedOn w:val="1"/>
    <w:next w:val="1"/>
    <w:semiHidden/>
    <w:qFormat/>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200" w:leftChars="200" w:hanging="200" w:hangingChars="200"/>
    </w:pPr>
  </w:style>
  <w:style w:type="paragraph" w:styleId="74">
    <w:name w:val="toc 2"/>
    <w:basedOn w:val="1"/>
    <w:next w:val="1"/>
    <w:qFormat/>
    <w:uiPriority w:val="0"/>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link w:val="122"/>
    <w:qFormat/>
    <w:uiPriority w:val="0"/>
    <w:rPr>
      <w:rFonts w:asciiTheme="minorHAnsi" w:hAnsiTheme="minorHAnsi" w:eastAsiaTheme="minorEastAsia" w:cstheme="minorBidi"/>
      <w:sz w:val="18"/>
    </w:r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link w:val="126"/>
    <w:qFormat/>
    <w:uiPriority w:val="0"/>
    <w:pPr>
      <w:spacing w:before="240" w:after="60"/>
      <w:jc w:val="center"/>
      <w:outlineLvl w:val="0"/>
    </w:pPr>
    <w:rPr>
      <w:rFonts w:ascii="Arial" w:hAnsi="Arial" w:eastAsiaTheme="minorEastAsia" w:cstheme="minorBidi"/>
      <w:b/>
      <w:bCs/>
      <w:sz w:val="32"/>
      <w:szCs w:val="32"/>
    </w:rPr>
  </w:style>
  <w:style w:type="paragraph" w:styleId="85">
    <w:name w:val="annotation subject"/>
    <w:basedOn w:val="29"/>
    <w:next w:val="29"/>
    <w:link w:val="119"/>
    <w:qFormat/>
    <w:uiPriority w:val="0"/>
    <w:rPr>
      <w:rFonts w:eastAsiaTheme="minorEastAsia"/>
      <w:b/>
      <w:bCs/>
    </w:rPr>
  </w:style>
  <w:style w:type="paragraph" w:styleId="86">
    <w:name w:val="Body Text First Indent"/>
    <w:basedOn w:val="35"/>
    <w:link w:val="120"/>
    <w:qFormat/>
    <w:uiPriority w:val="0"/>
    <w:pPr>
      <w:widowControl/>
      <w:ind w:firstLine="420" w:firstLineChars="100"/>
      <w:jc w:val="left"/>
    </w:pPr>
    <w:rPr>
      <w:rFonts w:ascii="楷体_GB2312" w:eastAsia="楷体_GB2312"/>
      <w:b/>
      <w:sz w:val="30"/>
    </w:rPr>
  </w:style>
  <w:style w:type="paragraph" w:styleId="87">
    <w:name w:val="Body Text First Indent 2"/>
    <w:basedOn w:val="36"/>
    <w:link w:val="130"/>
    <w:qFormat/>
    <w:uiPriority w:val="0"/>
    <w:pPr>
      <w:ind w:firstLine="420" w:firstLineChars="200"/>
    </w:pPr>
    <w:rPr>
      <w:rFonts w:ascii="Times New Roman" w:hAnsi="Times New Roman"/>
    </w:rPr>
  </w:style>
  <w:style w:type="table" w:styleId="89">
    <w:name w:val="Table Grid"/>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rFonts w:eastAsia="黑体"/>
      <w:b/>
      <w:bCs/>
      <w:sz w:val="44"/>
    </w:rPr>
  </w:style>
  <w:style w:type="character" w:styleId="92">
    <w:name w:val="page number"/>
    <w:basedOn w:val="90"/>
    <w:qFormat/>
    <w:uiPriority w:val="0"/>
  </w:style>
  <w:style w:type="character" w:styleId="93">
    <w:name w:val="FollowedHyperlink"/>
    <w:basedOn w:val="90"/>
    <w:unhideWhenUsed/>
    <w:qFormat/>
    <w:uiPriority w:val="99"/>
    <w:rPr>
      <w:color w:val="000000"/>
      <w:u w:val="none"/>
    </w:rPr>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_Style 3"/>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_Style 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样式 宋体 小四 行距: 1.5 倍行距"/>
    <w:basedOn w:val="1"/>
    <w:qFormat/>
    <w:uiPriority w:val="0"/>
    <w:rPr>
      <w:rFonts w:ascii="宋体" w:hAnsi="宋体" w:cs="宋体"/>
      <w:sz w:val="28"/>
    </w:rPr>
  </w:style>
  <w:style w:type="character" w:customStyle="1" w:styleId="100">
    <w:name w:val="标题 1 字符"/>
    <w:basedOn w:val="90"/>
    <w:link w:val="4"/>
    <w:qFormat/>
    <w:uiPriority w:val="0"/>
    <w:rPr>
      <w:rFonts w:ascii="宋体" w:hAnsi="宋体" w:eastAsia="宋体" w:cs="Times New Roman"/>
      <w:b/>
      <w:bCs/>
      <w:sz w:val="48"/>
      <w:szCs w:val="24"/>
    </w:rPr>
  </w:style>
  <w:style w:type="character" w:customStyle="1" w:styleId="101">
    <w:name w:val="标题 2 字符"/>
    <w:basedOn w:val="90"/>
    <w:link w:val="5"/>
    <w:qFormat/>
    <w:uiPriority w:val="0"/>
    <w:rPr>
      <w:rFonts w:ascii="宋体" w:hAnsi="宋体" w:eastAsia="宋体" w:cs="Times New Roman"/>
      <w:b/>
      <w:kern w:val="0"/>
      <w:sz w:val="30"/>
      <w:szCs w:val="20"/>
    </w:rPr>
  </w:style>
  <w:style w:type="character" w:customStyle="1" w:styleId="102">
    <w:name w:val="标题 3 字符"/>
    <w:basedOn w:val="90"/>
    <w:link w:val="6"/>
    <w:qFormat/>
    <w:uiPriority w:val="0"/>
    <w:rPr>
      <w:rFonts w:ascii="宋体" w:hAnsi="宋体" w:eastAsia="宋体" w:cs="Times New Roman"/>
      <w:b/>
      <w:kern w:val="0"/>
      <w:sz w:val="28"/>
      <w:szCs w:val="20"/>
    </w:rPr>
  </w:style>
  <w:style w:type="character" w:customStyle="1" w:styleId="103">
    <w:name w:val="标题 4 字符"/>
    <w:basedOn w:val="90"/>
    <w:link w:val="7"/>
    <w:qFormat/>
    <w:uiPriority w:val="0"/>
    <w:rPr>
      <w:rFonts w:ascii="Arial" w:hAnsi="Arial" w:eastAsia="黑体" w:cs="Times New Roman"/>
      <w:b/>
      <w:bCs/>
      <w:sz w:val="28"/>
      <w:szCs w:val="28"/>
    </w:rPr>
  </w:style>
  <w:style w:type="character" w:customStyle="1" w:styleId="104">
    <w:name w:val="标题 5 字符"/>
    <w:basedOn w:val="90"/>
    <w:link w:val="8"/>
    <w:qFormat/>
    <w:uiPriority w:val="0"/>
    <w:rPr>
      <w:rFonts w:ascii="Arial" w:hAnsi="Arial" w:eastAsia="宋体" w:cs="Times New Roman"/>
      <w:kern w:val="0"/>
      <w:sz w:val="22"/>
      <w:szCs w:val="20"/>
    </w:rPr>
  </w:style>
  <w:style w:type="character" w:customStyle="1" w:styleId="105">
    <w:name w:val="标题 6 字符"/>
    <w:basedOn w:val="90"/>
    <w:link w:val="9"/>
    <w:qFormat/>
    <w:uiPriority w:val="0"/>
    <w:rPr>
      <w:rFonts w:ascii="Calibri" w:hAnsi="Arial" w:eastAsia="宋体" w:cs="Times New Roman"/>
      <w:i/>
      <w:kern w:val="0"/>
      <w:sz w:val="22"/>
      <w:szCs w:val="20"/>
    </w:rPr>
  </w:style>
  <w:style w:type="character" w:customStyle="1" w:styleId="106">
    <w:name w:val="标题 7 字符"/>
    <w:basedOn w:val="90"/>
    <w:link w:val="10"/>
    <w:qFormat/>
    <w:uiPriority w:val="0"/>
    <w:rPr>
      <w:rFonts w:ascii="Arial" w:hAnsi="Arial" w:eastAsia="宋体" w:cs="Times New Roman"/>
      <w:kern w:val="0"/>
      <w:sz w:val="20"/>
      <w:szCs w:val="20"/>
    </w:rPr>
  </w:style>
  <w:style w:type="character" w:customStyle="1" w:styleId="107">
    <w:name w:val="标题 8 字符"/>
    <w:basedOn w:val="90"/>
    <w:link w:val="11"/>
    <w:qFormat/>
    <w:uiPriority w:val="0"/>
    <w:rPr>
      <w:rFonts w:ascii="Arial" w:hAnsi="Arial" w:eastAsia="宋体" w:cs="Times New Roman"/>
      <w:i/>
      <w:kern w:val="0"/>
      <w:sz w:val="20"/>
      <w:szCs w:val="20"/>
    </w:rPr>
  </w:style>
  <w:style w:type="character" w:customStyle="1" w:styleId="108">
    <w:name w:val="标题 9 字符"/>
    <w:basedOn w:val="90"/>
    <w:link w:val="12"/>
    <w:qFormat/>
    <w:uiPriority w:val="0"/>
    <w:rPr>
      <w:rFonts w:ascii="Arial" w:hAnsi="Arial" w:eastAsia="宋体" w:cs="Times New Roman"/>
      <w:b/>
      <w:i/>
      <w:kern w:val="0"/>
      <w:sz w:val="18"/>
      <w:szCs w:val="20"/>
    </w:rPr>
  </w:style>
  <w:style w:type="character" w:customStyle="1" w:styleId="109">
    <w:name w:val="页脚2 Char"/>
    <w:link w:val="110"/>
    <w:qFormat/>
    <w:uiPriority w:val="0"/>
    <w:rPr>
      <w:rFonts w:ascii="宋体" w:hAnsi="宋体" w:eastAsia="宋体"/>
      <w:sz w:val="18"/>
      <w:szCs w:val="18"/>
    </w:rPr>
  </w:style>
  <w:style w:type="paragraph" w:customStyle="1" w:styleId="110">
    <w:name w:val="页脚2"/>
    <w:basedOn w:val="1"/>
    <w:link w:val="109"/>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11">
    <w:name w:val="纯文本 字符"/>
    <w:link w:val="2"/>
    <w:qFormat/>
    <w:locked/>
    <w:uiPriority w:val="0"/>
    <w:rPr>
      <w:rFonts w:ascii="宋体" w:hAnsi="Courier New" w:eastAsia="宋体"/>
    </w:rPr>
  </w:style>
  <w:style w:type="character" w:customStyle="1" w:styleId="112">
    <w:name w:val="正文文本 字符"/>
    <w:link w:val="35"/>
    <w:qFormat/>
    <w:uiPriority w:val="0"/>
    <w:rPr>
      <w:rFonts w:eastAsia="宋体"/>
      <w:szCs w:val="24"/>
    </w:rPr>
  </w:style>
  <w:style w:type="character" w:customStyle="1" w:styleId="113">
    <w:name w:val="正文文本缩进 Char"/>
    <w:qFormat/>
    <w:uiPriority w:val="0"/>
    <w:rPr>
      <w:rFonts w:ascii="Arial" w:hAnsi="Arial" w:eastAsia="宋体"/>
      <w:kern w:val="2"/>
      <w:sz w:val="21"/>
      <w:szCs w:val="24"/>
      <w:lang w:val="en-US" w:eastAsia="zh-CN" w:bidi="ar-SA"/>
    </w:rPr>
  </w:style>
  <w:style w:type="character" w:customStyle="1" w:styleId="114">
    <w:name w:val="页脚 字符"/>
    <w:link w:val="55"/>
    <w:qFormat/>
    <w:uiPriority w:val="99"/>
    <w:rPr>
      <w:sz w:val="18"/>
    </w:rPr>
  </w:style>
  <w:style w:type="character" w:customStyle="1" w:styleId="115">
    <w:name w:val="页眉 字符"/>
    <w:link w:val="57"/>
    <w:qFormat/>
    <w:uiPriority w:val="0"/>
    <w:rPr>
      <w:sz w:val="18"/>
      <w:szCs w:val="18"/>
    </w:rPr>
  </w:style>
  <w:style w:type="character" w:customStyle="1" w:styleId="116">
    <w:name w:val="批注文字 字符"/>
    <w:link w:val="29"/>
    <w:semiHidden/>
    <w:qFormat/>
    <w:uiPriority w:val="0"/>
    <w:rPr>
      <w:rFonts w:eastAsia="宋体"/>
      <w:szCs w:val="24"/>
    </w:rPr>
  </w:style>
  <w:style w:type="character" w:customStyle="1" w:styleId="117">
    <w:name w:val="批注框文本 字符"/>
    <w:link w:val="54"/>
    <w:qFormat/>
    <w:uiPriority w:val="0"/>
    <w:rPr>
      <w:sz w:val="18"/>
      <w:szCs w:val="18"/>
    </w:rPr>
  </w:style>
  <w:style w:type="character" w:customStyle="1" w:styleId="118">
    <w:name w:val="文档结构图 字符"/>
    <w:link w:val="27"/>
    <w:qFormat/>
    <w:uiPriority w:val="0"/>
    <w:rPr>
      <w:szCs w:val="24"/>
      <w:shd w:val="clear" w:color="auto" w:fill="000080"/>
    </w:rPr>
  </w:style>
  <w:style w:type="character" w:customStyle="1" w:styleId="119">
    <w:name w:val="批注主题 字符"/>
    <w:link w:val="85"/>
    <w:qFormat/>
    <w:uiPriority w:val="0"/>
    <w:rPr>
      <w:b/>
      <w:bCs/>
      <w:szCs w:val="24"/>
    </w:rPr>
  </w:style>
  <w:style w:type="character" w:customStyle="1" w:styleId="120">
    <w:name w:val="正文文本首行缩进 字符"/>
    <w:link w:val="86"/>
    <w:qFormat/>
    <w:uiPriority w:val="0"/>
    <w:rPr>
      <w:rFonts w:ascii="楷体_GB2312" w:eastAsia="楷体_GB2312"/>
      <w:b/>
      <w:sz w:val="30"/>
      <w:szCs w:val="24"/>
    </w:rPr>
  </w:style>
  <w:style w:type="character" w:customStyle="1" w:styleId="121">
    <w:name w:val="正文文本 3 字符"/>
    <w:link w:val="32"/>
    <w:qFormat/>
    <w:uiPriority w:val="0"/>
    <w:rPr>
      <w:sz w:val="24"/>
    </w:rPr>
  </w:style>
  <w:style w:type="character" w:customStyle="1" w:styleId="122">
    <w:name w:val="正文文本 2 字符"/>
    <w:link w:val="76"/>
    <w:qFormat/>
    <w:uiPriority w:val="0"/>
    <w:rPr>
      <w:sz w:val="18"/>
      <w:szCs w:val="24"/>
    </w:rPr>
  </w:style>
  <w:style w:type="character" w:customStyle="1" w:styleId="123">
    <w:name w:val="正文缩进 字符"/>
    <w:link w:val="22"/>
    <w:qFormat/>
    <w:uiPriority w:val="0"/>
  </w:style>
  <w:style w:type="character" w:customStyle="1" w:styleId="124">
    <w:name w:val="列出段落 Char"/>
    <w:link w:val="125"/>
    <w:qFormat/>
    <w:uiPriority w:val="0"/>
    <w:rPr>
      <w:rFonts w:ascii="Calibri" w:hAnsi="Calibri"/>
    </w:rPr>
  </w:style>
  <w:style w:type="paragraph" w:customStyle="1" w:styleId="125">
    <w:name w:val="列表段落1"/>
    <w:basedOn w:val="1"/>
    <w:link w:val="124"/>
    <w:qFormat/>
    <w:uiPriority w:val="0"/>
    <w:pPr>
      <w:ind w:firstLine="420" w:firstLineChars="200"/>
    </w:pPr>
    <w:rPr>
      <w:rFonts w:eastAsiaTheme="minorEastAsia" w:cstheme="minorBidi"/>
      <w:szCs w:val="22"/>
    </w:rPr>
  </w:style>
  <w:style w:type="character" w:customStyle="1" w:styleId="126">
    <w:name w:val="标题 字符"/>
    <w:link w:val="84"/>
    <w:qFormat/>
    <w:uiPriority w:val="0"/>
    <w:rPr>
      <w:rFonts w:ascii="Arial" w:hAnsi="Arial"/>
      <w:b/>
      <w:bCs/>
      <w:sz w:val="32"/>
      <w:szCs w:val="32"/>
    </w:rPr>
  </w:style>
  <w:style w:type="character" w:customStyle="1" w:styleId="127">
    <w:name w:val="页眉 Char1"/>
    <w:basedOn w:val="90"/>
    <w:semiHidden/>
    <w:qFormat/>
    <w:uiPriority w:val="99"/>
    <w:rPr>
      <w:rFonts w:ascii="Calibri" w:hAnsi="Calibri" w:eastAsia="宋体" w:cs="Times New Roman"/>
      <w:sz w:val="18"/>
      <w:szCs w:val="18"/>
    </w:rPr>
  </w:style>
  <w:style w:type="character" w:customStyle="1" w:styleId="128">
    <w:name w:val="HTML 预设格式 字符"/>
    <w:basedOn w:val="90"/>
    <w:link w:val="80"/>
    <w:qFormat/>
    <w:uiPriority w:val="0"/>
    <w:rPr>
      <w:rFonts w:ascii="黑体" w:hAnsi="Courier New" w:eastAsia="黑体" w:cs="Courier New"/>
      <w:kern w:val="0"/>
      <w:sz w:val="20"/>
      <w:szCs w:val="20"/>
    </w:rPr>
  </w:style>
  <w:style w:type="character" w:customStyle="1" w:styleId="129">
    <w:name w:val="正文文本缩进 字符"/>
    <w:basedOn w:val="90"/>
    <w:link w:val="36"/>
    <w:semiHidden/>
    <w:qFormat/>
    <w:uiPriority w:val="99"/>
    <w:rPr>
      <w:rFonts w:ascii="Calibri" w:hAnsi="Calibri" w:eastAsia="宋体" w:cs="Times New Roman"/>
      <w:szCs w:val="24"/>
    </w:rPr>
  </w:style>
  <w:style w:type="character" w:customStyle="1" w:styleId="130">
    <w:name w:val="正文文本首行缩进 2 字符"/>
    <w:basedOn w:val="129"/>
    <w:link w:val="87"/>
    <w:qFormat/>
    <w:uiPriority w:val="0"/>
    <w:rPr>
      <w:rFonts w:ascii="Times New Roman" w:hAnsi="Times New Roman" w:eastAsia="宋体" w:cs="Times New Roman"/>
      <w:szCs w:val="24"/>
    </w:rPr>
  </w:style>
  <w:style w:type="character" w:customStyle="1" w:styleId="131">
    <w:name w:val="正文文本 3 Char1"/>
    <w:basedOn w:val="90"/>
    <w:semiHidden/>
    <w:qFormat/>
    <w:uiPriority w:val="99"/>
    <w:rPr>
      <w:rFonts w:ascii="Calibri" w:hAnsi="Calibri" w:eastAsia="宋体" w:cs="Times New Roman"/>
      <w:sz w:val="16"/>
      <w:szCs w:val="16"/>
    </w:rPr>
  </w:style>
  <w:style w:type="paragraph" w:customStyle="1" w:styleId="132">
    <w:name w:val="Char Char2 Char1"/>
    <w:basedOn w:val="1"/>
    <w:qFormat/>
    <w:uiPriority w:val="0"/>
  </w:style>
  <w:style w:type="character" w:customStyle="1" w:styleId="133">
    <w:name w:val="正文文本 Char1"/>
    <w:basedOn w:val="90"/>
    <w:semiHidden/>
    <w:qFormat/>
    <w:uiPriority w:val="99"/>
    <w:rPr>
      <w:rFonts w:ascii="Calibri" w:hAnsi="Calibri" w:eastAsia="宋体" w:cs="Times New Roman"/>
      <w:szCs w:val="24"/>
    </w:rPr>
  </w:style>
  <w:style w:type="character" w:customStyle="1" w:styleId="134">
    <w:name w:val="称呼 字符"/>
    <w:basedOn w:val="90"/>
    <w:link w:val="31"/>
    <w:qFormat/>
    <w:uiPriority w:val="0"/>
    <w:rPr>
      <w:rFonts w:ascii="Calibri" w:hAnsi="Calibri" w:eastAsia="宋体" w:cs="Times New Roman"/>
      <w:szCs w:val="24"/>
    </w:rPr>
  </w:style>
  <w:style w:type="character" w:customStyle="1" w:styleId="135">
    <w:name w:val="正文文本 2 Char1"/>
    <w:basedOn w:val="90"/>
    <w:semiHidden/>
    <w:qFormat/>
    <w:uiPriority w:val="99"/>
    <w:rPr>
      <w:rFonts w:ascii="Calibri" w:hAnsi="Calibri" w:eastAsia="宋体" w:cs="Times New Roman"/>
      <w:szCs w:val="24"/>
    </w:rPr>
  </w:style>
  <w:style w:type="character" w:customStyle="1" w:styleId="136">
    <w:name w:val="副标题 字符"/>
    <w:basedOn w:val="90"/>
    <w:link w:val="64"/>
    <w:qFormat/>
    <w:uiPriority w:val="0"/>
    <w:rPr>
      <w:rFonts w:ascii="Arial" w:hAnsi="Arial" w:eastAsia="宋体" w:cs="Arial"/>
      <w:b/>
      <w:bCs/>
      <w:kern w:val="28"/>
      <w:sz w:val="32"/>
      <w:szCs w:val="32"/>
    </w:rPr>
  </w:style>
  <w:style w:type="character" w:customStyle="1" w:styleId="137">
    <w:name w:val="正文文本缩进 2 字符"/>
    <w:basedOn w:val="90"/>
    <w:link w:val="51"/>
    <w:qFormat/>
    <w:uiPriority w:val="0"/>
    <w:rPr>
      <w:rFonts w:ascii="宋体" w:hAnsi="宋体" w:eastAsia="宋体" w:cs="Times New Roman"/>
      <w:sz w:val="24"/>
      <w:szCs w:val="24"/>
    </w:rPr>
  </w:style>
  <w:style w:type="character" w:customStyle="1" w:styleId="138">
    <w:name w:val="HTML 地址 字符"/>
    <w:basedOn w:val="90"/>
    <w:link w:val="42"/>
    <w:qFormat/>
    <w:uiPriority w:val="0"/>
    <w:rPr>
      <w:rFonts w:ascii="Calibri" w:hAnsi="Calibri" w:eastAsia="宋体" w:cs="Times New Roman"/>
      <w:i/>
      <w:iCs/>
      <w:szCs w:val="24"/>
    </w:rPr>
  </w:style>
  <w:style w:type="character" w:customStyle="1" w:styleId="139">
    <w:name w:val="批注文字 Char1"/>
    <w:basedOn w:val="90"/>
    <w:semiHidden/>
    <w:qFormat/>
    <w:uiPriority w:val="99"/>
    <w:rPr>
      <w:rFonts w:ascii="Calibri" w:hAnsi="Calibri" w:eastAsia="宋体" w:cs="Times New Roman"/>
      <w:szCs w:val="24"/>
    </w:rPr>
  </w:style>
  <w:style w:type="character" w:customStyle="1" w:styleId="140">
    <w:name w:val="日期 字符"/>
    <w:basedOn w:val="90"/>
    <w:link w:val="50"/>
    <w:qFormat/>
    <w:uiPriority w:val="0"/>
    <w:rPr>
      <w:rFonts w:ascii="Calibri" w:hAnsi="Calibri" w:eastAsia="宋体" w:cs="Times New Roman"/>
      <w:kern w:val="0"/>
      <w:sz w:val="32"/>
      <w:szCs w:val="20"/>
    </w:rPr>
  </w:style>
  <w:style w:type="paragraph" w:customStyle="1" w:styleId="141">
    <w:name w:val="Char Char Char Char"/>
    <w:basedOn w:val="1"/>
    <w:qFormat/>
    <w:uiPriority w:val="0"/>
    <w:pPr>
      <w:widowControl/>
      <w:spacing w:after="160" w:line="240" w:lineRule="exact"/>
      <w:jc w:val="left"/>
    </w:pPr>
    <w:rPr>
      <w:szCs w:val="20"/>
    </w:rPr>
  </w:style>
  <w:style w:type="character" w:customStyle="1" w:styleId="142">
    <w:name w:val="文档结构图 Char1"/>
    <w:basedOn w:val="90"/>
    <w:semiHidden/>
    <w:qFormat/>
    <w:uiPriority w:val="99"/>
    <w:rPr>
      <w:rFonts w:ascii="宋体" w:hAnsi="Calibri" w:eastAsia="宋体" w:cs="Times New Roman"/>
      <w:sz w:val="18"/>
      <w:szCs w:val="18"/>
    </w:rPr>
  </w:style>
  <w:style w:type="paragraph" w:customStyle="1" w:styleId="143">
    <w:name w:val="Char Char Char Char Char Char Char Char Char Char Char Char Char"/>
    <w:basedOn w:val="27"/>
    <w:qFormat/>
    <w:uiPriority w:val="0"/>
    <w:rPr>
      <w:szCs w:val="20"/>
    </w:rPr>
  </w:style>
  <w:style w:type="character" w:customStyle="1" w:styleId="144">
    <w:name w:val="尾注文本 字符"/>
    <w:basedOn w:val="90"/>
    <w:link w:val="52"/>
    <w:semiHidden/>
    <w:qFormat/>
    <w:uiPriority w:val="0"/>
    <w:rPr>
      <w:rFonts w:ascii="Calibri" w:hAnsi="Calibri" w:eastAsia="宋体" w:cs="Times New Roman"/>
      <w:szCs w:val="24"/>
    </w:rPr>
  </w:style>
  <w:style w:type="character" w:customStyle="1" w:styleId="145">
    <w:name w:val="结束语 字符"/>
    <w:basedOn w:val="90"/>
    <w:link w:val="33"/>
    <w:qFormat/>
    <w:uiPriority w:val="0"/>
    <w:rPr>
      <w:rFonts w:ascii="Calibri" w:hAnsi="Calibri" w:eastAsia="宋体" w:cs="Times New Roman"/>
      <w:szCs w:val="24"/>
    </w:rPr>
  </w:style>
  <w:style w:type="character" w:customStyle="1" w:styleId="146">
    <w:name w:val="注释标题 字符"/>
    <w:basedOn w:val="90"/>
    <w:link w:val="17"/>
    <w:qFormat/>
    <w:uiPriority w:val="0"/>
    <w:rPr>
      <w:rFonts w:ascii="Calibri" w:hAnsi="Calibri" w:eastAsia="宋体" w:cs="Times New Roman"/>
      <w:szCs w:val="24"/>
    </w:rPr>
  </w:style>
  <w:style w:type="paragraph" w:customStyle="1" w:styleId="147">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8">
    <w:name w:val="标题 Char1"/>
    <w:basedOn w:val="90"/>
    <w:qFormat/>
    <w:uiPriority w:val="10"/>
    <w:rPr>
      <w:rFonts w:eastAsia="宋体" w:asciiTheme="majorHAnsi" w:hAnsiTheme="majorHAnsi" w:cstheme="majorBidi"/>
      <w:b/>
      <w:bCs/>
      <w:sz w:val="32"/>
      <w:szCs w:val="32"/>
    </w:rPr>
  </w:style>
  <w:style w:type="character" w:customStyle="1" w:styleId="149">
    <w:name w:val="签名 字符"/>
    <w:basedOn w:val="90"/>
    <w:link w:val="58"/>
    <w:qFormat/>
    <w:uiPriority w:val="0"/>
    <w:rPr>
      <w:rFonts w:ascii="Calibri" w:hAnsi="Calibri" w:eastAsia="宋体" w:cs="Times New Roman"/>
      <w:szCs w:val="24"/>
    </w:rPr>
  </w:style>
  <w:style w:type="character" w:customStyle="1" w:styleId="150">
    <w:name w:val="信息标题 字符"/>
    <w:basedOn w:val="90"/>
    <w:link w:val="79"/>
    <w:qFormat/>
    <w:uiPriority w:val="0"/>
    <w:rPr>
      <w:rFonts w:ascii="Arial" w:hAnsi="Arial" w:eastAsia="宋体" w:cs="Arial"/>
      <w:sz w:val="24"/>
      <w:szCs w:val="24"/>
      <w:shd w:val="pct20" w:color="auto" w:fill="auto"/>
    </w:rPr>
  </w:style>
  <w:style w:type="character" w:customStyle="1" w:styleId="151">
    <w:name w:val="批注框文本 Char1"/>
    <w:basedOn w:val="90"/>
    <w:semiHidden/>
    <w:qFormat/>
    <w:uiPriority w:val="99"/>
    <w:rPr>
      <w:rFonts w:ascii="Calibri" w:hAnsi="Calibri" w:eastAsia="宋体" w:cs="Times New Roman"/>
      <w:sz w:val="18"/>
      <w:szCs w:val="18"/>
    </w:rPr>
  </w:style>
  <w:style w:type="character" w:customStyle="1" w:styleId="152">
    <w:name w:val="正文首行缩进 Char1"/>
    <w:basedOn w:val="133"/>
    <w:semiHidden/>
    <w:qFormat/>
    <w:uiPriority w:val="99"/>
    <w:rPr>
      <w:rFonts w:ascii="Calibri" w:hAnsi="Calibri" w:eastAsia="宋体" w:cs="Times New Roman"/>
      <w:szCs w:val="24"/>
    </w:rPr>
  </w:style>
  <w:style w:type="character" w:customStyle="1" w:styleId="153">
    <w:name w:val="宏文本 字符"/>
    <w:basedOn w:val="90"/>
    <w:link w:val="3"/>
    <w:semiHidden/>
    <w:qFormat/>
    <w:uiPriority w:val="0"/>
    <w:rPr>
      <w:rFonts w:ascii="Courier New" w:hAnsi="Courier New" w:eastAsia="宋体" w:cs="Courier New"/>
      <w:sz w:val="24"/>
      <w:szCs w:val="24"/>
    </w:rPr>
  </w:style>
  <w:style w:type="character" w:customStyle="1" w:styleId="154">
    <w:name w:val="页脚 Char1"/>
    <w:basedOn w:val="90"/>
    <w:semiHidden/>
    <w:qFormat/>
    <w:uiPriority w:val="99"/>
    <w:rPr>
      <w:rFonts w:ascii="Calibri" w:hAnsi="Calibri" w:eastAsia="宋体" w:cs="Times New Roman"/>
      <w:sz w:val="18"/>
      <w:szCs w:val="18"/>
    </w:rPr>
  </w:style>
  <w:style w:type="character" w:customStyle="1" w:styleId="155">
    <w:name w:val="批注主题 Char1"/>
    <w:basedOn w:val="139"/>
    <w:semiHidden/>
    <w:qFormat/>
    <w:uiPriority w:val="99"/>
    <w:rPr>
      <w:rFonts w:ascii="Calibri" w:hAnsi="Calibri" w:eastAsia="宋体" w:cs="Times New Roman"/>
      <w:b/>
      <w:bCs/>
      <w:szCs w:val="24"/>
    </w:rPr>
  </w:style>
  <w:style w:type="character" w:customStyle="1" w:styleId="156">
    <w:name w:val="纯文本 Char1"/>
    <w:basedOn w:val="90"/>
    <w:semiHidden/>
    <w:qFormat/>
    <w:uiPriority w:val="99"/>
    <w:rPr>
      <w:rFonts w:ascii="宋体" w:hAnsi="Courier New" w:eastAsia="宋体" w:cs="Courier New"/>
      <w:szCs w:val="21"/>
    </w:rPr>
  </w:style>
  <w:style w:type="character" w:customStyle="1" w:styleId="157">
    <w:name w:val="电子邮件签名 字符"/>
    <w:basedOn w:val="90"/>
    <w:link w:val="20"/>
    <w:qFormat/>
    <w:uiPriority w:val="0"/>
    <w:rPr>
      <w:rFonts w:ascii="Calibri" w:hAnsi="Calibri" w:eastAsia="宋体" w:cs="Times New Roman"/>
      <w:szCs w:val="24"/>
    </w:rPr>
  </w:style>
  <w:style w:type="paragraph" w:customStyle="1" w:styleId="158">
    <w:name w:val="样式4"/>
    <w:basedOn w:val="1"/>
    <w:qFormat/>
    <w:uiPriority w:val="0"/>
    <w:pPr>
      <w:tabs>
        <w:tab w:val="left" w:pos="2328"/>
      </w:tabs>
      <w:ind w:left="2328" w:hanging="708"/>
    </w:pPr>
  </w:style>
  <w:style w:type="character" w:customStyle="1" w:styleId="159">
    <w:name w:val="脚注文本 字符"/>
    <w:basedOn w:val="90"/>
    <w:link w:val="67"/>
    <w:semiHidden/>
    <w:qFormat/>
    <w:uiPriority w:val="0"/>
    <w:rPr>
      <w:rFonts w:ascii="Calibri" w:hAnsi="Calibri" w:eastAsia="宋体" w:cs="Times New Roman"/>
      <w:sz w:val="18"/>
      <w:szCs w:val="18"/>
    </w:rPr>
  </w:style>
  <w:style w:type="character" w:customStyle="1" w:styleId="160">
    <w:name w:val="正文文本缩进 3 字符"/>
    <w:basedOn w:val="90"/>
    <w:link w:val="70"/>
    <w:qFormat/>
    <w:uiPriority w:val="0"/>
    <w:rPr>
      <w:rFonts w:ascii="宋体" w:hAnsi="宋体" w:eastAsia="宋体" w:cs="Times New Roman"/>
      <w:sz w:val="24"/>
      <w:szCs w:val="24"/>
    </w:rPr>
  </w:style>
  <w:style w:type="paragraph" w:customStyle="1" w:styleId="16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2">
    <w:name w:val="Char2"/>
    <w:basedOn w:val="1"/>
    <w:qFormat/>
    <w:uiPriority w:val="0"/>
    <w:rPr>
      <w:rFonts w:ascii="Tahoma" w:hAnsi="Tahoma"/>
      <w:sz w:val="24"/>
      <w:szCs w:val="20"/>
    </w:rPr>
  </w:style>
  <w:style w:type="paragraph" w:customStyle="1" w:styleId="163">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4">
    <w:name w:val="列出段落1"/>
    <w:basedOn w:val="1"/>
    <w:qFormat/>
    <w:uiPriority w:val="0"/>
    <w:pPr>
      <w:ind w:firstLine="420" w:firstLineChars="200"/>
    </w:pPr>
  </w:style>
  <w:style w:type="paragraph" w:customStyle="1" w:styleId="165">
    <w:name w:val="内正文"/>
    <w:basedOn w:val="1"/>
    <w:qFormat/>
    <w:uiPriority w:val="0"/>
    <w:pPr>
      <w:ind w:firstLine="420"/>
    </w:pPr>
    <w:rPr>
      <w:rFonts w:eastAsia="文鼎CS书宋二"/>
      <w:szCs w:val="20"/>
    </w:rPr>
  </w:style>
  <w:style w:type="paragraph" w:customStyle="1" w:styleId="166">
    <w:name w:val="Char Char Char Char Char Char Char Char Char Char"/>
    <w:basedOn w:val="1"/>
    <w:qFormat/>
    <w:uiPriority w:val="0"/>
    <w:rPr>
      <w:rFonts w:ascii="Tahoma" w:hAnsi="Tahoma"/>
      <w:sz w:val="24"/>
      <w:szCs w:val="20"/>
    </w:rPr>
  </w:style>
  <w:style w:type="paragraph" w:customStyle="1" w:styleId="167">
    <w:name w:val="5"/>
    <w:basedOn w:val="1"/>
    <w:qFormat/>
    <w:uiPriority w:val="0"/>
    <w:rPr>
      <w:rFonts w:ascii="Tahoma" w:hAnsi="Tahoma"/>
      <w:sz w:val="24"/>
      <w:szCs w:val="20"/>
    </w:rPr>
  </w:style>
  <w:style w:type="paragraph" w:customStyle="1" w:styleId="168">
    <w:name w:val="Char"/>
    <w:basedOn w:val="1"/>
    <w:qFormat/>
    <w:uiPriority w:val="0"/>
    <w:pPr>
      <w:adjustRightInd w:val="0"/>
      <w:spacing w:line="360" w:lineRule="auto"/>
    </w:pPr>
    <w:rPr>
      <w:kern w:val="0"/>
      <w:sz w:val="24"/>
      <w:szCs w:val="20"/>
    </w:rPr>
  </w:style>
  <w:style w:type="paragraph" w:customStyle="1" w:styleId="169">
    <w:name w:val="Char Char Char1"/>
    <w:basedOn w:val="1"/>
    <w:qFormat/>
    <w:uiPriority w:val="0"/>
    <w:rPr>
      <w:rFonts w:ascii="宋体" w:hAnsi="宋体"/>
      <w:b/>
      <w:sz w:val="28"/>
      <w:szCs w:val="28"/>
    </w:rPr>
  </w:style>
  <w:style w:type="paragraph" w:customStyle="1" w:styleId="170">
    <w:name w:val="表"/>
    <w:basedOn w:val="1"/>
    <w:qFormat/>
    <w:uiPriority w:val="0"/>
    <w:pPr>
      <w:spacing w:line="460" w:lineRule="exact"/>
    </w:pPr>
    <w:rPr>
      <w:rFonts w:ascii="宋体" w:hAnsi="宋体"/>
      <w:b/>
      <w:bCs/>
      <w:szCs w:val="20"/>
    </w:rPr>
  </w:style>
  <w:style w:type="paragraph" w:customStyle="1" w:styleId="171">
    <w:name w:val="样式"/>
    <w:basedOn w:val="1"/>
    <w:next w:val="36"/>
    <w:qFormat/>
    <w:uiPriority w:val="0"/>
    <w:pPr>
      <w:jc w:val="center"/>
    </w:pPr>
    <w:rPr>
      <w:rFonts w:ascii="宋体" w:hAnsi="宋体"/>
      <w:color w:val="FF0000"/>
      <w:sz w:val="24"/>
    </w:rPr>
  </w:style>
  <w:style w:type="paragraph" w:customStyle="1" w:styleId="172">
    <w:name w:val="Char1 Char Char Char"/>
    <w:basedOn w:val="1"/>
    <w:qFormat/>
    <w:uiPriority w:val="0"/>
    <w:rPr>
      <w:szCs w:val="20"/>
    </w:rPr>
  </w:style>
  <w:style w:type="paragraph" w:customStyle="1" w:styleId="173">
    <w:name w:val="列出段落111"/>
    <w:basedOn w:val="1"/>
    <w:qFormat/>
    <w:uiPriority w:val="0"/>
    <w:pPr>
      <w:ind w:firstLine="420" w:firstLineChars="200"/>
    </w:pPr>
  </w:style>
  <w:style w:type="paragraph" w:customStyle="1" w:styleId="174">
    <w:name w:val="默认段落字体 Para Char Char Char Char Char Char Char"/>
    <w:basedOn w:val="1"/>
    <w:qFormat/>
    <w:uiPriority w:val="0"/>
    <w:rPr>
      <w:rFonts w:ascii="Tahoma" w:hAnsi="Tahoma"/>
      <w:sz w:val="24"/>
      <w:szCs w:val="20"/>
    </w:rPr>
  </w:style>
  <w:style w:type="paragraph" w:customStyle="1" w:styleId="175">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6">
    <w:name w:val="Table Paragraph"/>
    <w:basedOn w:val="1"/>
    <w:qFormat/>
    <w:uiPriority w:val="0"/>
    <w:pPr>
      <w:jc w:val="left"/>
    </w:pPr>
    <w:rPr>
      <w:kern w:val="0"/>
      <w:sz w:val="22"/>
      <w:szCs w:val="22"/>
      <w:lang w:eastAsia="en-US"/>
    </w:rPr>
  </w:style>
  <w:style w:type="paragraph" w:customStyle="1" w:styleId="177">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9">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样式1"/>
    <w:basedOn w:val="1"/>
    <w:qFormat/>
    <w:uiPriority w:val="0"/>
    <w:pPr>
      <w:spacing w:line="440" w:lineRule="atLeast"/>
      <w:outlineLvl w:val="0"/>
    </w:pPr>
    <w:rPr>
      <w:rFonts w:ascii="宋体" w:hAnsi="宋体"/>
      <w:sz w:val="24"/>
    </w:rPr>
  </w:style>
  <w:style w:type="paragraph" w:customStyle="1" w:styleId="181">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3">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4">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5">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6">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7">
    <w:name w:val="列出段落11"/>
    <w:basedOn w:val="1"/>
    <w:qFormat/>
    <w:uiPriority w:val="0"/>
    <w:pPr>
      <w:ind w:firstLine="420" w:firstLineChars="200"/>
    </w:pPr>
    <w:rPr>
      <w:szCs w:val="22"/>
    </w:rPr>
  </w:style>
  <w:style w:type="paragraph" w:customStyle="1" w:styleId="188">
    <w:name w:val="表格和图形名称"/>
    <w:basedOn w:val="1"/>
    <w:next w:val="1"/>
    <w:qFormat/>
    <w:uiPriority w:val="0"/>
    <w:pPr>
      <w:widowControl/>
      <w:spacing w:afterLines="50" w:line="360" w:lineRule="auto"/>
      <w:jc w:val="center"/>
    </w:pPr>
    <w:rPr>
      <w:kern w:val="0"/>
      <w:szCs w:val="20"/>
    </w:rPr>
  </w:style>
  <w:style w:type="paragraph" w:customStyle="1" w:styleId="18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0">
    <w:name w:val="正文1"/>
    <w:basedOn w:val="1"/>
    <w:qFormat/>
    <w:uiPriority w:val="0"/>
    <w:pPr>
      <w:adjustRightInd w:val="0"/>
      <w:spacing w:line="312" w:lineRule="atLeast"/>
    </w:pPr>
    <w:rPr>
      <w:kern w:val="0"/>
      <w:sz w:val="28"/>
      <w:szCs w:val="20"/>
    </w:rPr>
  </w:style>
  <w:style w:type="paragraph" w:customStyle="1" w:styleId="191">
    <w:name w:val="排列"/>
    <w:basedOn w:val="66"/>
    <w:next w:val="66"/>
    <w:qFormat/>
    <w:uiPriority w:val="0"/>
    <w:pPr>
      <w:tabs>
        <w:tab w:val="left" w:pos="1261"/>
        <w:tab w:val="clear" w:pos="360"/>
      </w:tabs>
      <w:ind w:left="1261" w:hanging="420"/>
    </w:pPr>
  </w:style>
  <w:style w:type="paragraph" w:customStyle="1" w:styleId="192">
    <w:name w:val="Char1 Char Char Char1"/>
    <w:basedOn w:val="1"/>
    <w:qFormat/>
    <w:uiPriority w:val="0"/>
    <w:pPr>
      <w:ind w:left="420" w:hanging="420"/>
    </w:pPr>
    <w:rPr>
      <w:sz w:val="24"/>
    </w:rPr>
  </w:style>
  <w:style w:type="paragraph" w:customStyle="1" w:styleId="193">
    <w:name w:val="修订1"/>
    <w:semiHidden/>
    <w:qFormat/>
    <w:uiPriority w:val="0"/>
    <w:rPr>
      <w:rFonts w:ascii="Calibri" w:hAnsi="Calibri" w:eastAsia="宋体" w:cs="Times New Roman"/>
      <w:kern w:val="2"/>
      <w:sz w:val="21"/>
      <w:szCs w:val="24"/>
      <w:lang w:val="en-US" w:eastAsia="zh-CN" w:bidi="ar-SA"/>
    </w:rPr>
  </w:style>
  <w:style w:type="paragraph" w:customStyle="1" w:styleId="194">
    <w:name w:val="Char Char Char Char Char Char Char Char Char Char Char Char Char1"/>
    <w:basedOn w:val="27"/>
    <w:qFormat/>
    <w:uiPriority w:val="0"/>
    <w:rPr>
      <w:szCs w:val="20"/>
    </w:rPr>
  </w:style>
  <w:style w:type="paragraph" w:customStyle="1" w:styleId="195">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封面2"/>
    <w:basedOn w:val="1"/>
    <w:qFormat/>
    <w:uiPriority w:val="0"/>
    <w:pPr>
      <w:spacing w:line="360" w:lineRule="auto"/>
      <w:jc w:val="center"/>
    </w:pPr>
    <w:rPr>
      <w:rFonts w:ascii="黑体" w:hAnsi="宋体" w:eastAsia="黑体"/>
      <w:b/>
      <w:spacing w:val="-30"/>
      <w:sz w:val="96"/>
    </w:rPr>
  </w:style>
  <w:style w:type="paragraph" w:customStyle="1" w:styleId="19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9">
    <w:name w:val="Char Char2 Char"/>
    <w:basedOn w:val="1"/>
    <w:qFormat/>
    <w:uiPriority w:val="0"/>
  </w:style>
  <w:style w:type="paragraph" w:customStyle="1" w:styleId="200">
    <w:name w:val="Char Char Char Char Char Char Char Char Char Char1"/>
    <w:basedOn w:val="1"/>
    <w:qFormat/>
    <w:uiPriority w:val="0"/>
    <w:rPr>
      <w:rFonts w:ascii="Tahoma" w:hAnsi="Tahoma"/>
      <w:sz w:val="24"/>
      <w:szCs w:val="20"/>
    </w:rPr>
  </w:style>
  <w:style w:type="paragraph" w:customStyle="1" w:styleId="201">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3">
    <w:name w:val="Char Char Char"/>
    <w:basedOn w:val="1"/>
    <w:qFormat/>
    <w:uiPriority w:val="0"/>
    <w:rPr>
      <w:rFonts w:ascii="宋体" w:hAnsi="宋体"/>
      <w:b/>
      <w:sz w:val="28"/>
      <w:szCs w:val="28"/>
    </w:rPr>
  </w:style>
  <w:style w:type="paragraph" w:customStyle="1" w:styleId="204">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Char Char Char1 Char"/>
    <w:basedOn w:val="1"/>
    <w:qFormat/>
    <w:uiPriority w:val="0"/>
    <w:pPr>
      <w:tabs>
        <w:tab w:val="left" w:pos="425"/>
      </w:tabs>
      <w:ind w:left="425" w:hanging="425"/>
    </w:pPr>
    <w:rPr>
      <w:rFonts w:eastAsia="仿宋_GB2312"/>
      <w:kern w:val="24"/>
      <w:sz w:val="24"/>
    </w:rPr>
  </w:style>
  <w:style w:type="paragraph" w:customStyle="1" w:styleId="206">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7">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10">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2"/>
    <w:basedOn w:val="88"/>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
    <w:name w:val="修订2"/>
    <w:hidden/>
    <w:semiHidden/>
    <w:qFormat/>
    <w:uiPriority w:val="99"/>
    <w:rPr>
      <w:rFonts w:ascii="Calibri" w:hAnsi="Calibri" w:eastAsia="宋体" w:cs="Times New Roman"/>
      <w:kern w:val="2"/>
      <w:sz w:val="21"/>
      <w:szCs w:val="24"/>
      <w:lang w:val="en-US" w:eastAsia="zh-CN" w:bidi="ar-SA"/>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4">
    <w:name w:val="font31"/>
    <w:basedOn w:val="90"/>
    <w:qFormat/>
    <w:uiPriority w:val="0"/>
    <w:rPr>
      <w:rFonts w:hint="eastAsia" w:ascii="宋体" w:hAnsi="宋体" w:eastAsia="宋体" w:cs="宋体"/>
      <w:color w:val="000000"/>
      <w:sz w:val="22"/>
      <w:szCs w:val="22"/>
      <w:u w:val="none"/>
    </w:rPr>
  </w:style>
  <w:style w:type="character" w:customStyle="1" w:styleId="215">
    <w:name w:val="font01"/>
    <w:basedOn w:val="90"/>
    <w:qFormat/>
    <w:uiPriority w:val="0"/>
    <w:rPr>
      <w:rFonts w:hint="eastAsia" w:ascii="宋体" w:hAnsi="宋体" w:eastAsia="宋体" w:cs="宋体"/>
      <w:color w:val="333333"/>
      <w:sz w:val="22"/>
      <w:szCs w:val="22"/>
      <w:u w:val="none"/>
    </w:rPr>
  </w:style>
  <w:style w:type="character" w:customStyle="1" w:styleId="216">
    <w:name w:val="font51"/>
    <w:basedOn w:val="90"/>
    <w:qFormat/>
    <w:uiPriority w:val="0"/>
    <w:rPr>
      <w:rFonts w:hint="eastAsia" w:ascii="宋体" w:hAnsi="宋体" w:eastAsia="宋体" w:cs="宋体"/>
      <w:color w:val="000000"/>
      <w:sz w:val="22"/>
      <w:szCs w:val="22"/>
      <w:u w:val="none"/>
    </w:rPr>
  </w:style>
  <w:style w:type="paragraph" w:customStyle="1" w:styleId="217">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8">
    <w:name w:val="font41"/>
    <w:basedOn w:val="90"/>
    <w:qFormat/>
    <w:uiPriority w:val="0"/>
    <w:rPr>
      <w:rFonts w:hint="eastAsia" w:ascii="宋体" w:hAnsi="宋体" w:eastAsia="宋体" w:cs="宋体"/>
      <w:color w:val="000000"/>
      <w:sz w:val="22"/>
      <w:szCs w:val="22"/>
      <w:u w:val="none"/>
    </w:rPr>
  </w:style>
  <w:style w:type="character" w:customStyle="1" w:styleId="219">
    <w:name w:val="font61"/>
    <w:basedOn w:val="90"/>
    <w:qFormat/>
    <w:uiPriority w:val="0"/>
    <w:rPr>
      <w:rFonts w:hint="eastAsia" w:ascii="宋体" w:hAnsi="宋体" w:eastAsia="宋体" w:cs="宋体"/>
      <w:color w:val="000000"/>
      <w:sz w:val="22"/>
      <w:szCs w:val="22"/>
      <w:u w:val="none"/>
    </w:rPr>
  </w:style>
  <w:style w:type="character" w:customStyle="1" w:styleId="220">
    <w:name w:val="font21"/>
    <w:basedOn w:val="90"/>
    <w:qFormat/>
    <w:uiPriority w:val="0"/>
    <w:rPr>
      <w:rFonts w:hint="eastAsia" w:ascii="宋体" w:hAnsi="宋体" w:eastAsia="宋体" w:cs="宋体"/>
      <w:color w:val="000000"/>
      <w:sz w:val="22"/>
      <w:szCs w:val="22"/>
      <w:u w:val="none"/>
    </w:rPr>
  </w:style>
  <w:style w:type="character" w:customStyle="1" w:styleId="221">
    <w:name w:val="font151"/>
    <w:basedOn w:val="90"/>
    <w:qFormat/>
    <w:uiPriority w:val="0"/>
    <w:rPr>
      <w:rFonts w:hint="default" w:ascii="Times New Roman" w:hAnsi="Times New Roman" w:cs="Times New Roman"/>
      <w:color w:val="000000"/>
      <w:sz w:val="20"/>
      <w:szCs w:val="20"/>
      <w:u w:val="none"/>
    </w:rPr>
  </w:style>
  <w:style w:type="paragraph" w:customStyle="1" w:styleId="222">
    <w:name w:val="列表段落2"/>
    <w:basedOn w:val="1"/>
    <w:qFormat/>
    <w:uiPriority w:val="0"/>
    <w:pPr>
      <w:ind w:firstLine="420" w:firstLineChars="200"/>
    </w:pPr>
    <w:rPr>
      <w:rFonts w:ascii="Times New Roman" w:hAnsi="Times New Roman"/>
    </w:rPr>
  </w:style>
  <w:style w:type="character" w:customStyle="1" w:styleId="223">
    <w:name w:val="其他_"/>
    <w:link w:val="224"/>
    <w:qFormat/>
    <w:uiPriority w:val="0"/>
    <w:rPr>
      <w:rFonts w:ascii="宋体" w:hAnsi="宋体" w:cs="宋体"/>
      <w:shd w:val="clear" w:color="auto" w:fill="FFFFFF"/>
      <w:lang w:val="zh-CN" w:bidi="zh-CN"/>
    </w:rPr>
  </w:style>
  <w:style w:type="paragraph" w:customStyle="1" w:styleId="224">
    <w:name w:val="其他"/>
    <w:basedOn w:val="1"/>
    <w:link w:val="223"/>
    <w:qFormat/>
    <w:uiPriority w:val="0"/>
    <w:pPr>
      <w:shd w:val="clear" w:color="auto" w:fill="FFFFFF"/>
      <w:spacing w:line="410" w:lineRule="auto"/>
      <w:jc w:val="left"/>
    </w:pPr>
    <w:rPr>
      <w:rFonts w:ascii="宋体" w:hAnsi="宋体" w:cs="宋体"/>
      <w:kern w:val="0"/>
      <w:sz w:val="20"/>
      <w:szCs w:val="20"/>
      <w:lang w:val="zh-CN" w:bidi="zh-CN"/>
    </w:rPr>
  </w:style>
  <w:style w:type="paragraph" w:customStyle="1" w:styleId="225">
    <w:name w:val="Heading1"/>
    <w:basedOn w:val="1"/>
    <w:next w:val="1"/>
    <w:qFormat/>
    <w:uiPriority w:val="0"/>
    <w:pPr>
      <w:keepNext/>
      <w:keepLines/>
      <w:spacing w:before="340" w:after="330" w:line="578" w:lineRule="auto"/>
      <w:textAlignment w:val="baseline"/>
    </w:pPr>
    <w:rPr>
      <w:rFonts w:cs="Times New Roman"/>
      <w:bCs/>
      <w:kern w:val="44"/>
      <w:sz w:val="44"/>
      <w:szCs w:val="44"/>
    </w:rPr>
  </w:style>
  <w:style w:type="character" w:customStyle="1" w:styleId="226">
    <w:name w:val="NormalCharacter"/>
    <w:qFormat/>
    <w:uiPriority w:val="0"/>
    <w:rPr>
      <w:rFonts w:ascii="Calibri" w:hAnsi="Calibri"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36386</Words>
  <Characters>37794</Characters>
  <Lines>1303</Lines>
  <Paragraphs>366</Paragraphs>
  <TotalTime>9</TotalTime>
  <ScaleCrop>false</ScaleCrop>
  <LinksUpToDate>false</LinksUpToDate>
  <CharactersWithSpaces>40344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2021-10-18T17:18:00Z</dcterms:created>
  <dc:creator>LBDZ</dc:creator>
  <cp:lastModifiedBy>。</cp:lastModifiedBy>
  <cp:lastPrinted>2021-03-30T15:59:00Z</cp:lastPrinted>
  <dcterms:modified xsi:type="dcterms:W3CDTF">2022-02-17T08:50:40Z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260DF0F4E7904FA9AB594789876023DC</vt:lpwstr>
  </property>
</Properties>
</file>