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宋体" w:hAnsi="宋体" w:eastAsia="宋体" w:cs="宋体"/>
          <w:color w:val="000000"/>
          <w:sz w:val="32"/>
          <w:szCs w:val="32"/>
          <w:highlight w:val="none"/>
          <w:u w:val="single"/>
        </w:rPr>
      </w:pPr>
    </w:p>
    <w:p>
      <w:pPr>
        <w:jc w:val="center"/>
        <w:rPr>
          <w:rFonts w:hint="eastAsia" w:ascii="宋体" w:hAnsi="宋体" w:eastAsia="宋体" w:cs="宋体"/>
          <w:b/>
          <w:bCs/>
          <w:color w:val="000000"/>
          <w:sz w:val="44"/>
          <w:szCs w:val="44"/>
          <w:highlight w:val="none"/>
          <w:u w:val="single"/>
        </w:rPr>
      </w:pPr>
    </w:p>
    <w:p>
      <w:pPr>
        <w:jc w:val="center"/>
        <w:rPr>
          <w:rFonts w:hint="eastAsia" w:ascii="宋体" w:hAnsi="宋体" w:eastAsia="宋体" w:cs="宋体"/>
          <w:b/>
          <w:bCs/>
          <w:color w:val="FF0000"/>
          <w:sz w:val="32"/>
          <w:szCs w:val="32"/>
          <w:highlight w:val="none"/>
          <w:u w:val="single"/>
        </w:rPr>
      </w:pPr>
      <w:r>
        <w:rPr>
          <w:rFonts w:hint="eastAsia" w:ascii="宋体" w:hAnsi="宋体" w:eastAsia="宋体" w:cs="宋体"/>
          <w:b/>
          <w:bCs/>
          <w:color w:val="000000"/>
          <w:sz w:val="44"/>
          <w:szCs w:val="44"/>
          <w:highlight w:val="none"/>
          <w:u w:val="single"/>
          <w:lang w:eastAsia="zh-CN"/>
        </w:rPr>
        <w:t>多宝路、宝源路历史文化街区保护活化利用项目</w:t>
      </w:r>
      <w:r>
        <w:rPr>
          <w:rFonts w:hint="eastAsia" w:ascii="宋体" w:hAnsi="宋体" w:eastAsia="宋体" w:cs="宋体"/>
          <w:b/>
          <w:bCs/>
          <w:color w:val="000000"/>
          <w:sz w:val="44"/>
          <w:szCs w:val="44"/>
          <w:highlight w:val="none"/>
          <w:u w:val="single"/>
        </w:rPr>
        <w:t>可行性研究报告编制</w:t>
      </w:r>
    </w:p>
    <w:p>
      <w:pPr>
        <w:rPr>
          <w:rFonts w:hint="eastAsia" w:ascii="宋体" w:hAnsi="宋体" w:eastAsia="宋体" w:cs="宋体"/>
          <w:b/>
          <w:bCs/>
          <w:sz w:val="44"/>
          <w:highlight w:val="none"/>
        </w:rPr>
      </w:pPr>
    </w:p>
    <w:p>
      <w:pPr>
        <w:rPr>
          <w:rFonts w:hint="eastAsia" w:ascii="宋体" w:hAnsi="宋体" w:eastAsia="宋体" w:cs="宋体"/>
          <w:b/>
          <w:bCs/>
          <w:sz w:val="44"/>
          <w:highlight w:val="none"/>
        </w:rPr>
      </w:pPr>
    </w:p>
    <w:p>
      <w:pPr>
        <w:jc w:val="center"/>
        <w:rPr>
          <w:rFonts w:hint="eastAsia" w:ascii="宋体" w:hAnsi="宋体" w:eastAsia="宋体" w:cs="宋体"/>
          <w:b/>
          <w:bCs/>
          <w:sz w:val="52"/>
          <w:szCs w:val="52"/>
          <w:highlight w:val="none"/>
        </w:rPr>
      </w:pPr>
      <w:r>
        <w:rPr>
          <w:rFonts w:hint="eastAsia" w:ascii="宋体" w:hAnsi="宋体" w:eastAsia="宋体" w:cs="宋体"/>
          <w:b/>
          <w:bCs/>
          <w:sz w:val="52"/>
          <w:szCs w:val="52"/>
          <w:highlight w:val="none"/>
        </w:rPr>
        <w:t>询比文件</w:t>
      </w:r>
    </w:p>
    <w:p>
      <w:pPr>
        <w:rPr>
          <w:rFonts w:hint="eastAsia" w:ascii="宋体" w:hAnsi="宋体" w:eastAsia="宋体" w:cs="宋体"/>
          <w:b/>
          <w:bCs/>
          <w:sz w:val="44"/>
          <w:highlight w:val="none"/>
        </w:rPr>
      </w:pPr>
    </w:p>
    <w:p>
      <w:pPr>
        <w:rPr>
          <w:rFonts w:hint="eastAsia" w:ascii="宋体" w:hAnsi="宋体" w:eastAsia="宋体" w:cs="宋体"/>
          <w:b/>
          <w:bCs/>
          <w:sz w:val="44"/>
          <w:highlight w:val="none"/>
        </w:rPr>
      </w:pPr>
    </w:p>
    <w:p>
      <w:pPr>
        <w:rPr>
          <w:rFonts w:hint="eastAsia" w:ascii="宋体" w:hAnsi="宋体" w:eastAsia="宋体" w:cs="宋体"/>
          <w:b/>
          <w:bCs/>
          <w:sz w:val="44"/>
          <w:highlight w:val="none"/>
        </w:rPr>
      </w:pPr>
    </w:p>
    <w:p>
      <w:pPr>
        <w:rPr>
          <w:rFonts w:hint="eastAsia" w:ascii="宋体" w:hAnsi="宋体" w:eastAsia="宋体" w:cs="宋体"/>
          <w:b/>
          <w:bCs/>
          <w:sz w:val="44"/>
          <w:highlight w:val="none"/>
        </w:rPr>
      </w:pPr>
    </w:p>
    <w:p>
      <w:pPr>
        <w:rPr>
          <w:rFonts w:hint="eastAsia" w:ascii="宋体" w:hAnsi="宋体" w:eastAsia="宋体" w:cs="宋体"/>
          <w:b/>
          <w:bCs/>
          <w:sz w:val="44"/>
          <w:highlight w:val="none"/>
        </w:rPr>
      </w:pPr>
    </w:p>
    <w:p>
      <w:pPr>
        <w:rPr>
          <w:rFonts w:hint="eastAsia" w:ascii="宋体" w:hAnsi="宋体" w:eastAsia="宋体" w:cs="宋体"/>
          <w:b/>
          <w:bCs/>
          <w:sz w:val="44"/>
          <w:highlight w:val="none"/>
        </w:rPr>
      </w:pPr>
    </w:p>
    <w:p>
      <w:pPr>
        <w:rPr>
          <w:rFonts w:hint="eastAsia" w:ascii="宋体" w:hAnsi="宋体" w:eastAsia="宋体" w:cs="宋体"/>
          <w:b/>
          <w:bCs/>
          <w:sz w:val="44"/>
          <w:highlight w:val="none"/>
        </w:rPr>
      </w:pPr>
    </w:p>
    <w:p>
      <w:pPr>
        <w:rPr>
          <w:rFonts w:hint="eastAsia" w:ascii="宋体" w:hAnsi="宋体" w:eastAsia="宋体" w:cs="宋体"/>
          <w:b/>
          <w:bCs/>
          <w:sz w:val="44"/>
          <w:highlight w:val="none"/>
        </w:rPr>
      </w:pPr>
    </w:p>
    <w:p>
      <w:pPr>
        <w:jc w:val="center"/>
        <w:rPr>
          <w:rFonts w:hint="eastAsia" w:ascii="宋体" w:hAnsi="宋体" w:eastAsia="宋体" w:cs="宋体"/>
          <w:b/>
          <w:bCs/>
          <w:sz w:val="32"/>
          <w:highlight w:val="none"/>
        </w:rPr>
      </w:pPr>
    </w:p>
    <w:p>
      <w:pPr>
        <w:jc w:val="center"/>
        <w:rPr>
          <w:rFonts w:hint="eastAsia" w:ascii="宋体" w:hAnsi="宋体" w:eastAsia="宋体" w:cs="宋体"/>
          <w:b/>
          <w:bCs/>
          <w:sz w:val="32"/>
          <w:szCs w:val="32"/>
          <w:highlight w:val="none"/>
        </w:rPr>
      </w:pPr>
      <w:r>
        <w:rPr>
          <w:rFonts w:hint="eastAsia" w:ascii="宋体" w:hAnsi="宋体" w:eastAsia="宋体" w:cs="宋体"/>
          <w:b/>
          <w:bCs/>
          <w:sz w:val="32"/>
          <w:highlight w:val="none"/>
        </w:rPr>
        <w:t>询比单位：广州市荔湾区城市更新建设项目管理中心</w:t>
      </w:r>
    </w:p>
    <w:p>
      <w:pPr>
        <w:jc w:val="center"/>
        <w:rPr>
          <w:rFonts w:hint="eastAsia" w:ascii="宋体" w:hAnsi="宋体" w:eastAsia="宋体" w:cs="宋体"/>
          <w:b/>
          <w:bCs/>
          <w:sz w:val="32"/>
          <w:highlight w:val="none"/>
        </w:rPr>
      </w:pPr>
      <w:r>
        <w:rPr>
          <w:rFonts w:hint="eastAsia" w:ascii="宋体" w:hAnsi="宋体" w:eastAsia="宋体" w:cs="宋体"/>
          <w:b/>
          <w:bCs/>
          <w:sz w:val="32"/>
          <w:highlight w:val="none"/>
        </w:rPr>
        <w:t>询比代理单位：成致项目管理有限公司</w:t>
      </w:r>
    </w:p>
    <w:p>
      <w:pPr>
        <w:jc w:val="center"/>
        <w:rPr>
          <w:rFonts w:hint="eastAsia" w:ascii="宋体" w:hAnsi="宋体" w:eastAsia="宋体" w:cs="宋体"/>
          <w:b/>
          <w:bCs/>
          <w:sz w:val="44"/>
          <w:highlight w:val="none"/>
        </w:rPr>
      </w:pPr>
      <w:r>
        <w:rPr>
          <w:rFonts w:hint="eastAsia" w:ascii="宋体" w:hAnsi="宋体" w:eastAsia="宋体" w:cs="宋体"/>
          <w:b/>
          <w:sz w:val="32"/>
          <w:szCs w:val="32"/>
          <w:highlight w:val="none"/>
        </w:rPr>
        <w:t>二O二二年</w:t>
      </w:r>
      <w:r>
        <w:rPr>
          <w:rFonts w:hint="eastAsia" w:ascii="宋体" w:hAnsi="宋体" w:eastAsia="宋体" w:cs="宋体"/>
          <w:b/>
          <w:sz w:val="32"/>
          <w:szCs w:val="32"/>
          <w:highlight w:val="none"/>
          <w:lang w:eastAsia="zh-CN"/>
        </w:rPr>
        <w:t>二</w:t>
      </w:r>
      <w:r>
        <w:rPr>
          <w:rFonts w:hint="eastAsia" w:ascii="宋体" w:hAnsi="宋体" w:eastAsia="宋体" w:cs="宋体"/>
          <w:b/>
          <w:sz w:val="32"/>
          <w:szCs w:val="32"/>
          <w:highlight w:val="none"/>
        </w:rPr>
        <w:t>月</w:t>
      </w:r>
    </w:p>
    <w:p>
      <w:pPr>
        <w:spacing w:line="360" w:lineRule="auto"/>
        <w:ind w:firstLine="643" w:firstLineChars="200"/>
        <w:jc w:val="center"/>
        <w:textAlignment w:val="top"/>
        <w:rPr>
          <w:rFonts w:hint="eastAsia" w:ascii="宋体" w:hAnsi="宋体" w:eastAsia="宋体" w:cs="宋体"/>
          <w:b/>
          <w:bCs/>
          <w:sz w:val="32"/>
          <w:szCs w:val="32"/>
          <w:highlight w:val="none"/>
          <w:shd w:val="clear" w:color="auto" w:fill="FFFFFF"/>
        </w:rPr>
      </w:pPr>
    </w:p>
    <w:p>
      <w:pPr>
        <w:spacing w:line="360" w:lineRule="auto"/>
        <w:ind w:firstLine="643" w:firstLineChars="200"/>
        <w:jc w:val="center"/>
        <w:textAlignment w:val="top"/>
        <w:rPr>
          <w:rFonts w:hint="eastAsia" w:ascii="宋体" w:hAnsi="宋体" w:eastAsia="宋体" w:cs="宋体"/>
          <w:b/>
          <w:bCs/>
          <w:sz w:val="32"/>
          <w:szCs w:val="32"/>
          <w:highlight w:val="none"/>
          <w:shd w:val="clear" w:color="auto" w:fill="FFFFFF"/>
        </w:rPr>
      </w:pPr>
    </w:p>
    <w:p>
      <w:pPr>
        <w:spacing w:line="360" w:lineRule="auto"/>
        <w:ind w:firstLine="643" w:firstLineChars="200"/>
        <w:jc w:val="center"/>
        <w:textAlignment w:val="top"/>
        <w:rPr>
          <w:rFonts w:hint="eastAsia" w:ascii="宋体" w:hAnsi="宋体" w:eastAsia="宋体" w:cs="宋体"/>
          <w:b/>
          <w:bCs/>
          <w:sz w:val="32"/>
          <w:szCs w:val="32"/>
          <w:highlight w:val="none"/>
          <w:shd w:val="clear" w:color="auto" w:fill="FFFFFF"/>
        </w:rPr>
        <w:sectPr>
          <w:footerReference r:id="rId3" w:type="default"/>
          <w:pgSz w:w="11906" w:h="16838"/>
          <w:pgMar w:top="1440" w:right="1417" w:bottom="1440" w:left="1417" w:header="851" w:footer="992" w:gutter="0"/>
          <w:pgNumType w:start="1"/>
          <w:cols w:space="425" w:num="1"/>
          <w:docGrid w:type="lines" w:linePitch="312" w:charSpace="0"/>
        </w:sectPr>
      </w:pPr>
    </w:p>
    <w:p>
      <w:pPr>
        <w:spacing w:line="360" w:lineRule="auto"/>
        <w:ind w:firstLine="643" w:firstLineChars="200"/>
        <w:jc w:val="center"/>
        <w:textAlignment w:val="top"/>
        <w:rPr>
          <w:rFonts w:hint="eastAsia" w:ascii="宋体" w:hAnsi="宋体" w:eastAsia="宋体" w:cs="宋体"/>
          <w:b/>
          <w:bCs/>
          <w:sz w:val="32"/>
          <w:szCs w:val="32"/>
          <w:highlight w:val="none"/>
          <w:shd w:val="clear" w:color="auto" w:fill="FFFFFF"/>
        </w:rPr>
      </w:pPr>
      <w:r>
        <w:rPr>
          <w:rFonts w:hint="eastAsia" w:ascii="宋体" w:hAnsi="宋体" w:eastAsia="宋体" w:cs="宋体"/>
          <w:b/>
          <w:bCs/>
          <w:sz w:val="32"/>
          <w:szCs w:val="32"/>
          <w:highlight w:val="none"/>
          <w:shd w:val="clear" w:color="auto" w:fill="FFFFFF"/>
        </w:rPr>
        <w:t>第一章  询比公告</w:t>
      </w:r>
    </w:p>
    <w:p>
      <w:pPr>
        <w:spacing w:line="360" w:lineRule="auto"/>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 xml:space="preserve">    为更好地择优选取</w:t>
      </w:r>
      <w:r>
        <w:rPr>
          <w:rFonts w:hint="eastAsia" w:ascii="宋体" w:hAnsi="宋体" w:eastAsia="宋体" w:cs="宋体"/>
          <w:sz w:val="24"/>
          <w:szCs w:val="24"/>
          <w:highlight w:val="none"/>
          <w:u w:val="single"/>
          <w:lang w:eastAsia="zh-CN"/>
        </w:rPr>
        <w:t>多宝路、宝源路历史文化街区保护活化利用项目</w:t>
      </w:r>
      <w:r>
        <w:rPr>
          <w:rFonts w:hint="eastAsia" w:ascii="宋体" w:hAnsi="宋体" w:eastAsia="宋体" w:cs="宋体"/>
          <w:sz w:val="24"/>
          <w:szCs w:val="24"/>
          <w:highlight w:val="none"/>
          <w:u w:val="single"/>
        </w:rPr>
        <w:t>可行性研究报告编制</w:t>
      </w:r>
      <w:r>
        <w:rPr>
          <w:rFonts w:hint="eastAsia" w:ascii="宋体" w:hAnsi="宋体" w:eastAsia="宋体" w:cs="宋体"/>
          <w:sz w:val="24"/>
          <w:szCs w:val="24"/>
          <w:highlight w:val="none"/>
        </w:rPr>
        <w:t>服务</w:t>
      </w:r>
      <w:r>
        <w:rPr>
          <w:rFonts w:hint="eastAsia" w:ascii="宋体" w:hAnsi="宋体" w:eastAsia="宋体" w:cs="宋体"/>
          <w:sz w:val="24"/>
          <w:szCs w:val="24"/>
          <w:highlight w:val="none"/>
          <w:shd w:val="clear" w:color="auto" w:fill="FFFFFF"/>
        </w:rPr>
        <w:t>单位，现</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广州市荔湾区城市更新建设项目管理中心</w:t>
      </w:r>
      <w:r>
        <w:rPr>
          <w:rFonts w:hint="eastAsia" w:ascii="宋体" w:hAnsi="宋体" w:eastAsia="宋体" w:cs="宋体"/>
          <w:sz w:val="24"/>
          <w:szCs w:val="24"/>
          <w:highlight w:val="none"/>
          <w:shd w:val="clear" w:color="auto" w:fill="FFFFFF"/>
        </w:rPr>
        <w:t>进行公开询比，在报名并符合要求的企业内选取一家承办单位，</w:t>
      </w:r>
      <w:bookmarkStart w:id="0" w:name="EBf5670e6d291445918fbaeeb8f3e1df8e"/>
      <w:r>
        <w:rPr>
          <w:rFonts w:hint="eastAsia" w:ascii="宋体" w:hAnsi="宋体" w:eastAsia="宋体" w:cs="宋体"/>
          <w:sz w:val="24"/>
          <w:szCs w:val="24"/>
          <w:highlight w:val="none"/>
          <w:shd w:val="clear" w:color="auto" w:fill="FFFFFF"/>
        </w:rPr>
        <w:t>欢迎符合资格条件的意向人报名参加。</w:t>
      </w:r>
      <w:bookmarkEnd w:id="0"/>
    </w:p>
    <w:p>
      <w:pPr>
        <w:spacing w:line="360" w:lineRule="auto"/>
        <w:jc w:val="left"/>
        <w:textAlignment w:val="top"/>
        <w:rPr>
          <w:rFonts w:hint="eastAsia" w:ascii="宋体" w:hAnsi="宋体" w:eastAsia="宋体" w:cs="宋体"/>
          <w:b/>
          <w:bCs/>
          <w:sz w:val="24"/>
          <w:szCs w:val="24"/>
          <w:highlight w:val="none"/>
          <w:shd w:val="clear" w:color="auto" w:fill="FFFFFF"/>
        </w:rPr>
      </w:pPr>
      <w:r>
        <w:rPr>
          <w:rFonts w:hint="eastAsia" w:ascii="宋体" w:hAnsi="宋体" w:eastAsia="宋体" w:cs="宋体"/>
          <w:b/>
          <w:bCs/>
          <w:sz w:val="24"/>
          <w:szCs w:val="24"/>
          <w:highlight w:val="none"/>
          <w:shd w:val="clear" w:color="auto" w:fill="FFFFFF"/>
        </w:rPr>
        <w:t>一、项目概况</w:t>
      </w:r>
    </w:p>
    <w:p>
      <w:pPr>
        <w:spacing w:line="360" w:lineRule="auto"/>
        <w:ind w:firstLine="480" w:firstLineChars="200"/>
        <w:jc w:val="left"/>
        <w:textAlignment w:val="top"/>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1.询比单位：广州市荔湾区城市更新建设项目管理中心。</w:t>
      </w:r>
    </w:p>
    <w:p>
      <w:pPr>
        <w:spacing w:line="360" w:lineRule="auto"/>
        <w:ind w:firstLine="480" w:firstLineChars="200"/>
        <w:jc w:val="left"/>
        <w:textAlignment w:val="top"/>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2.建设地点：</w:t>
      </w:r>
      <w:r>
        <w:rPr>
          <w:rFonts w:hint="eastAsia" w:ascii="宋体" w:hAnsi="宋体" w:eastAsia="宋体" w:cs="宋体"/>
          <w:sz w:val="24"/>
          <w:szCs w:val="24"/>
          <w:highlight w:val="none"/>
        </w:rPr>
        <w:t>广州市</w:t>
      </w:r>
      <w:r>
        <w:rPr>
          <w:rFonts w:hint="eastAsia" w:ascii="宋体" w:hAnsi="宋体" w:eastAsia="宋体" w:cs="宋体"/>
          <w:sz w:val="24"/>
          <w:highlight w:val="none"/>
        </w:rPr>
        <w:t>荔湾区</w:t>
      </w:r>
      <w:r>
        <w:rPr>
          <w:rFonts w:hint="eastAsia" w:ascii="宋体" w:hAnsi="宋体" w:eastAsia="宋体" w:cs="宋体"/>
          <w:kern w:val="0"/>
          <w:sz w:val="24"/>
          <w:highlight w:val="none"/>
        </w:rPr>
        <w:t>。</w:t>
      </w:r>
    </w:p>
    <w:p>
      <w:pPr>
        <w:spacing w:line="360" w:lineRule="auto"/>
        <w:ind w:firstLine="480" w:firstLineChars="200"/>
        <w:jc w:val="left"/>
        <w:textAlignment w:val="top"/>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shd w:val="clear" w:color="auto" w:fill="FFFFFF"/>
        </w:rPr>
        <w:t>3.项目概况：项目位于广州市荔湾区，</w:t>
      </w:r>
      <w:r>
        <w:rPr>
          <w:rFonts w:hint="eastAsia" w:ascii="宋体" w:hAnsi="宋体" w:eastAsia="宋体" w:cs="宋体"/>
          <w:sz w:val="24"/>
          <w:szCs w:val="24"/>
          <w:highlight w:val="none"/>
          <w:shd w:val="clear" w:color="auto" w:fill="FFFFFF"/>
          <w:lang w:eastAsia="zh-CN"/>
        </w:rPr>
        <w:t>为</w:t>
      </w:r>
      <w:r>
        <w:rPr>
          <w:rFonts w:hint="eastAsia" w:ascii="宋体" w:hAnsi="宋体" w:eastAsia="宋体" w:cs="宋体"/>
          <w:sz w:val="24"/>
          <w:szCs w:val="24"/>
          <w:highlight w:val="none"/>
          <w:shd w:val="clear" w:color="auto" w:fill="FFFFFF"/>
        </w:rPr>
        <w:t>多宝路、宝源路街区。涉及至宝、泰华、宝源、莲塘、马基涌及逢源北六个社区，范围面积17.39公顷。主要建设内容：拟对上述片区进行历史文化街区保护活化利用，具体工作内容包含但不限于</w:t>
      </w:r>
      <w:r>
        <w:rPr>
          <w:rFonts w:hint="eastAsia" w:ascii="宋体" w:hAnsi="宋体" w:eastAsia="宋体" w:cs="宋体"/>
          <w:sz w:val="24"/>
          <w:szCs w:val="24"/>
          <w:highlight w:val="none"/>
          <w:shd w:val="clear" w:color="auto" w:fill="FFFFFF"/>
          <w:lang w:eastAsia="zh-CN"/>
        </w:rPr>
        <w:t>《广州市荔湾区历史文化街区改造工作内容》</w:t>
      </w:r>
      <w:r>
        <w:rPr>
          <w:rFonts w:hint="eastAsia" w:ascii="宋体" w:hAnsi="宋体" w:eastAsia="宋体" w:cs="宋体"/>
          <w:sz w:val="24"/>
          <w:szCs w:val="24"/>
          <w:highlight w:val="none"/>
          <w:shd w:val="clear" w:color="auto" w:fill="FFFFFF"/>
        </w:rPr>
        <w:t>（详附件）</w:t>
      </w:r>
      <w:r>
        <w:rPr>
          <w:rFonts w:hint="eastAsia" w:ascii="宋体" w:hAnsi="宋体" w:eastAsia="宋体" w:cs="宋体"/>
          <w:sz w:val="24"/>
          <w:szCs w:val="24"/>
          <w:highlight w:val="none"/>
          <w:shd w:val="clear" w:color="auto" w:fill="FFFFFF"/>
          <w:lang w:eastAsia="zh-CN"/>
        </w:rPr>
        <w:t>。</w:t>
      </w:r>
    </w:p>
    <w:p>
      <w:pPr>
        <w:spacing w:line="360" w:lineRule="auto"/>
        <w:ind w:firstLine="480" w:firstLineChars="200"/>
        <w:jc w:val="left"/>
        <w:textAlignment w:val="top"/>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4.</w:t>
      </w:r>
      <w:r>
        <w:rPr>
          <w:rFonts w:hint="eastAsia" w:ascii="宋体" w:hAnsi="宋体" w:eastAsia="宋体" w:cs="宋体"/>
          <w:sz w:val="24"/>
          <w:szCs w:val="24"/>
          <w:highlight w:val="none"/>
          <w:shd w:val="clear" w:color="auto" w:fill="FFFFFF"/>
          <w:lang w:val="zh-CN"/>
        </w:rPr>
        <w:t>项目估算</w:t>
      </w:r>
      <w:r>
        <w:rPr>
          <w:rFonts w:hint="eastAsia" w:ascii="宋体" w:hAnsi="宋体" w:eastAsia="宋体" w:cs="宋体"/>
          <w:sz w:val="24"/>
          <w:szCs w:val="24"/>
          <w:highlight w:val="none"/>
          <w:shd w:val="clear" w:color="auto" w:fill="FFFFFF"/>
        </w:rPr>
        <w:t>总投资</w:t>
      </w:r>
      <w:r>
        <w:rPr>
          <w:rFonts w:hint="eastAsia" w:ascii="宋体" w:hAnsi="宋体" w:eastAsia="宋体" w:cs="宋体"/>
          <w:sz w:val="24"/>
          <w:szCs w:val="24"/>
          <w:highlight w:val="none"/>
          <w:shd w:val="clear" w:color="auto" w:fill="FFFFFF"/>
          <w:lang w:eastAsia="zh-CN"/>
        </w:rPr>
        <w:t>：</w:t>
      </w:r>
      <w:r>
        <w:rPr>
          <w:rFonts w:hint="eastAsia" w:ascii="宋体" w:hAnsi="宋体" w:eastAsia="宋体" w:cs="宋体"/>
          <w:sz w:val="24"/>
          <w:szCs w:val="24"/>
          <w:highlight w:val="none"/>
          <w:shd w:val="clear" w:color="auto" w:fill="FFFFFF"/>
        </w:rPr>
        <w:t>956</w:t>
      </w:r>
      <w:r>
        <w:rPr>
          <w:rFonts w:hint="eastAsia" w:ascii="宋体" w:hAnsi="宋体" w:eastAsia="宋体" w:cs="宋体"/>
          <w:sz w:val="24"/>
          <w:szCs w:val="24"/>
          <w:highlight w:val="none"/>
          <w:shd w:val="clear" w:color="auto" w:fill="FFFFFF"/>
          <w:lang w:val="en-US" w:eastAsia="zh-CN"/>
        </w:rPr>
        <w:t>45</w:t>
      </w:r>
      <w:r>
        <w:rPr>
          <w:rFonts w:hint="eastAsia" w:ascii="宋体" w:hAnsi="宋体" w:eastAsia="宋体" w:cs="宋体"/>
          <w:sz w:val="24"/>
          <w:szCs w:val="24"/>
          <w:highlight w:val="none"/>
          <w:shd w:val="clear" w:color="auto" w:fill="FFFFFF"/>
        </w:rPr>
        <w:t>万元。</w:t>
      </w:r>
    </w:p>
    <w:p>
      <w:pPr>
        <w:spacing w:line="360" w:lineRule="auto"/>
        <w:ind w:firstLine="480" w:firstLineChars="200"/>
        <w:jc w:val="left"/>
        <w:textAlignment w:val="top"/>
        <w:rPr>
          <w:rFonts w:hint="eastAsia" w:ascii="宋体" w:hAnsi="宋体" w:eastAsia="宋体" w:cs="宋体"/>
          <w:sz w:val="24"/>
          <w:highlight w:val="none"/>
        </w:rPr>
      </w:pPr>
      <w:r>
        <w:rPr>
          <w:rFonts w:hint="eastAsia" w:ascii="宋体" w:hAnsi="宋体" w:eastAsia="宋体" w:cs="宋体"/>
          <w:sz w:val="24"/>
          <w:szCs w:val="24"/>
          <w:highlight w:val="none"/>
          <w:shd w:val="clear" w:color="auto" w:fill="FFFFFF"/>
        </w:rPr>
        <w:t>5.资金来源：财政资金。</w:t>
      </w:r>
    </w:p>
    <w:p>
      <w:pPr>
        <w:spacing w:line="360" w:lineRule="auto"/>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rPr>
        <w:t>二、服务内容</w:t>
      </w:r>
      <w:r>
        <w:rPr>
          <w:rFonts w:hint="eastAsia" w:ascii="宋体" w:hAnsi="宋体" w:eastAsia="宋体" w:cs="宋体"/>
          <w:b/>
          <w:bCs/>
          <w:sz w:val="24"/>
          <w:highlight w:val="none"/>
          <w:lang w:val="en-US" w:eastAsia="zh-CN"/>
        </w:rPr>
        <w:t>及成果要求</w:t>
      </w:r>
    </w:p>
    <w:p>
      <w:pPr>
        <w:pStyle w:val="2"/>
        <w:spacing w:line="360" w:lineRule="auto"/>
        <w:ind w:firstLine="481"/>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1.服务范围：对</w:t>
      </w:r>
      <w:r>
        <w:rPr>
          <w:rFonts w:hint="eastAsia" w:ascii="宋体" w:hAnsi="宋体" w:cs="宋体"/>
          <w:sz w:val="24"/>
          <w:szCs w:val="24"/>
          <w:highlight w:val="none"/>
          <w:u w:val="single"/>
          <w:lang w:eastAsia="zh-CN"/>
        </w:rPr>
        <w:t>多宝路、宝源路历史文化街区保护活化利用项目</w:t>
      </w:r>
      <w:r>
        <w:rPr>
          <w:rFonts w:hint="eastAsia" w:ascii="宋体" w:hAnsi="宋体" w:eastAsia="宋体" w:cs="宋体"/>
          <w:sz w:val="24"/>
          <w:szCs w:val="24"/>
          <w:highlight w:val="none"/>
        </w:rPr>
        <w:t>进行</w:t>
      </w:r>
      <w:r>
        <w:rPr>
          <w:rFonts w:hint="eastAsia" w:ascii="宋体" w:hAnsi="宋体" w:eastAsia="宋体" w:cs="宋体"/>
          <w:sz w:val="24"/>
          <w:szCs w:val="24"/>
          <w:highlight w:val="none"/>
          <w:u w:val="single"/>
        </w:rPr>
        <w:t>可行性研究报告</w:t>
      </w:r>
      <w:r>
        <w:rPr>
          <w:rFonts w:hint="eastAsia" w:ascii="宋体" w:hAnsi="宋体" w:eastAsia="宋体" w:cs="宋体"/>
          <w:sz w:val="24"/>
          <w:szCs w:val="24"/>
          <w:highlight w:val="none"/>
        </w:rPr>
        <w:t>的编制工作</w:t>
      </w:r>
      <w:r>
        <w:rPr>
          <w:rFonts w:hint="eastAsia" w:ascii="宋体" w:hAnsi="宋体" w:eastAsia="宋体" w:cs="宋体"/>
          <w:kern w:val="0"/>
          <w:sz w:val="24"/>
          <w:highlight w:val="none"/>
          <w:shd w:val="clear" w:color="auto" w:fill="FFFFFF"/>
          <w:lang w:bidi="ar"/>
        </w:rPr>
        <w:t>。</w:t>
      </w:r>
    </w:p>
    <w:p>
      <w:pPr>
        <w:pStyle w:val="2"/>
        <w:spacing w:line="360" w:lineRule="auto"/>
        <w:ind w:firstLine="481"/>
        <w:rPr>
          <w:rFonts w:hint="eastAsia" w:ascii="宋体" w:hAnsi="宋体" w:eastAsia="宋体" w:cs="宋体"/>
          <w:color w:val="000000"/>
          <w:kern w:val="0"/>
          <w:sz w:val="24"/>
          <w:szCs w:val="24"/>
          <w:highlight w:val="none"/>
          <w:shd w:val="clear" w:color="auto" w:fill="FFFFFF"/>
        </w:rPr>
      </w:pPr>
      <w:r>
        <w:rPr>
          <w:rFonts w:hint="eastAsia" w:ascii="宋体" w:hAnsi="宋体" w:eastAsia="宋体" w:cs="宋体"/>
          <w:sz w:val="24"/>
          <w:szCs w:val="24"/>
          <w:highlight w:val="none"/>
          <w:shd w:val="clear" w:color="auto" w:fill="FFFFFF"/>
        </w:rPr>
        <w:t>2.服务期：</w:t>
      </w:r>
      <w:r>
        <w:rPr>
          <w:rFonts w:hint="eastAsia" w:ascii="宋体" w:hAnsi="宋体" w:eastAsia="宋体" w:cs="宋体"/>
          <w:color w:val="000000"/>
          <w:kern w:val="0"/>
          <w:sz w:val="24"/>
          <w:szCs w:val="24"/>
          <w:highlight w:val="none"/>
          <w:shd w:val="clear" w:color="auto" w:fill="FFFFFF"/>
        </w:rPr>
        <w:t>咨询服务期限至本项目可行性研究报告获得审查部门批复后并由甲方确认。</w:t>
      </w:r>
    </w:p>
    <w:p>
      <w:pPr>
        <w:widowControl/>
        <w:topLinePunct/>
        <w:spacing w:line="360" w:lineRule="auto"/>
        <w:ind w:firstLine="489" w:firstLineChars="204"/>
        <w:jc w:val="left"/>
        <w:rPr>
          <w:rFonts w:hint="eastAsia" w:ascii="宋体" w:hAnsi="宋体" w:eastAsia="宋体" w:cs="宋体"/>
          <w:sz w:val="24"/>
          <w:szCs w:val="24"/>
          <w:highlight w:val="none"/>
          <w:shd w:val="clear" w:color="auto" w:fill="FFFFFF"/>
        </w:rPr>
      </w:pPr>
      <w:r>
        <w:rPr>
          <w:rFonts w:hint="eastAsia" w:ascii="宋体" w:hAnsi="宋体" w:eastAsia="宋体" w:cs="宋体"/>
          <w:kern w:val="0"/>
          <w:sz w:val="24"/>
          <w:szCs w:val="24"/>
          <w:highlight w:val="none"/>
          <w:shd w:val="clear" w:color="auto" w:fill="FFFFFF"/>
        </w:rPr>
        <w:t>⑴报告编制：中选人应在合同签订之日起</w:t>
      </w:r>
      <w:r>
        <w:rPr>
          <w:rFonts w:hint="eastAsia" w:ascii="宋体" w:hAnsi="宋体" w:eastAsia="宋体" w:cs="宋体"/>
          <w:kern w:val="0"/>
          <w:sz w:val="24"/>
          <w:szCs w:val="24"/>
          <w:highlight w:val="none"/>
          <w:u w:val="single"/>
          <w:shd w:val="clear" w:color="auto" w:fill="FFFFFF"/>
        </w:rPr>
        <w:t xml:space="preserve"> 10</w:t>
      </w:r>
      <w:r>
        <w:rPr>
          <w:rFonts w:hint="eastAsia" w:ascii="宋体" w:hAnsi="宋体" w:eastAsia="宋体" w:cs="宋体"/>
          <w:kern w:val="0"/>
          <w:sz w:val="24"/>
          <w:szCs w:val="24"/>
          <w:highlight w:val="none"/>
          <w:u w:val="single"/>
          <w:shd w:val="clear" w:color="auto" w:fill="FFFFFF"/>
          <w:lang w:val="en-US" w:eastAsia="zh-CN"/>
        </w:rPr>
        <w:t xml:space="preserve"> </w:t>
      </w:r>
      <w:r>
        <w:rPr>
          <w:rFonts w:hint="eastAsia" w:ascii="宋体" w:hAnsi="宋体" w:eastAsia="宋体" w:cs="宋体"/>
          <w:kern w:val="0"/>
          <w:sz w:val="24"/>
          <w:szCs w:val="24"/>
          <w:highlight w:val="none"/>
          <w:shd w:val="clear" w:color="auto" w:fill="FFFFFF"/>
        </w:rPr>
        <w:t xml:space="preserve"> 个日历天内完成工程项目可行性研究报告编制。</w:t>
      </w:r>
    </w:p>
    <w:p>
      <w:pPr>
        <w:pStyle w:val="2"/>
        <w:spacing w:line="360" w:lineRule="auto"/>
        <w:ind w:firstLine="480" w:firstLineChars="200"/>
        <w:rPr>
          <w:rFonts w:hint="eastAsia" w:ascii="宋体" w:hAnsi="宋体" w:eastAsia="宋体" w:cs="宋体"/>
          <w:sz w:val="24"/>
          <w:szCs w:val="24"/>
          <w:highlight w:val="none"/>
          <w:shd w:val="clear" w:color="auto" w:fill="FFFFFF"/>
        </w:rPr>
      </w:pPr>
      <w:r>
        <w:rPr>
          <w:rFonts w:hint="eastAsia" w:ascii="宋体" w:hAnsi="宋体" w:eastAsia="宋体" w:cs="宋体"/>
          <w:kern w:val="0"/>
          <w:sz w:val="24"/>
          <w:szCs w:val="24"/>
          <w:highlight w:val="none"/>
          <w:shd w:val="clear" w:color="auto" w:fill="FFFFFF"/>
        </w:rPr>
        <w:t>⑵报告修改：有关部门进行评审后</w:t>
      </w:r>
      <w:r>
        <w:rPr>
          <w:rFonts w:hint="eastAsia" w:ascii="宋体" w:hAnsi="宋体" w:eastAsia="宋体" w:cs="宋体"/>
          <w:kern w:val="0"/>
          <w:sz w:val="24"/>
          <w:szCs w:val="24"/>
          <w:highlight w:val="none"/>
          <w:u w:val="single"/>
          <w:shd w:val="clear" w:color="auto" w:fill="FFFFFF"/>
        </w:rPr>
        <w:t>5</w:t>
      </w:r>
      <w:r>
        <w:rPr>
          <w:rFonts w:hint="eastAsia" w:ascii="宋体" w:hAnsi="宋体" w:eastAsia="宋体" w:cs="宋体"/>
          <w:kern w:val="0"/>
          <w:sz w:val="24"/>
          <w:szCs w:val="24"/>
          <w:highlight w:val="none"/>
          <w:shd w:val="clear" w:color="auto" w:fill="FFFFFF"/>
        </w:rPr>
        <w:t>个日历天内完成工程项目可行性研究报告的修改。期限结束后，若发现可行性研究报告仍需修改、调整，中选单位应继续提供有关服务。</w:t>
      </w:r>
    </w:p>
    <w:p>
      <w:pPr>
        <w:pStyle w:val="2"/>
        <w:spacing w:line="360" w:lineRule="auto"/>
        <w:ind w:firstLine="480" w:firstLineChars="200"/>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3.工作内容</w:t>
      </w:r>
      <w:r>
        <w:rPr>
          <w:rFonts w:hint="eastAsia" w:ascii="宋体" w:hAnsi="宋体" w:eastAsia="宋体" w:cs="宋体"/>
          <w:sz w:val="24"/>
          <w:szCs w:val="24"/>
          <w:highlight w:val="none"/>
          <w:shd w:val="clear" w:color="auto" w:fill="FFFFFF"/>
          <w:lang w:val="en-US" w:eastAsia="zh-CN"/>
        </w:rPr>
        <w:t>、方式及要求</w:t>
      </w:r>
      <w:r>
        <w:rPr>
          <w:rFonts w:hint="eastAsia" w:ascii="宋体" w:hAnsi="宋体" w:eastAsia="宋体" w:cs="宋体"/>
          <w:sz w:val="24"/>
          <w:szCs w:val="24"/>
          <w:highlight w:val="none"/>
          <w:shd w:val="clear" w:color="auto" w:fill="FFFFFF"/>
        </w:rPr>
        <w:t>：</w:t>
      </w:r>
    </w:p>
    <w:p>
      <w:pPr>
        <w:pStyle w:val="2"/>
        <w:spacing w:line="360" w:lineRule="auto"/>
        <w:ind w:firstLine="481"/>
        <w:rPr>
          <w:rFonts w:hint="eastAsia" w:ascii="宋体" w:hAnsi="宋体" w:eastAsia="宋体" w:cs="宋体"/>
          <w:kern w:val="0"/>
          <w:sz w:val="24"/>
          <w:szCs w:val="24"/>
          <w:highlight w:val="none"/>
          <w:shd w:val="clear" w:color="auto" w:fill="FFFFFF"/>
        </w:rPr>
      </w:pPr>
      <w:r>
        <w:rPr>
          <w:rFonts w:hint="eastAsia" w:ascii="宋体" w:hAnsi="宋体" w:eastAsia="宋体" w:cs="宋体"/>
          <w:kern w:val="0"/>
          <w:sz w:val="24"/>
          <w:szCs w:val="24"/>
          <w:highlight w:val="none"/>
          <w:shd w:val="clear" w:color="auto" w:fill="FFFFFF"/>
          <w:lang w:eastAsia="zh-CN"/>
        </w:rPr>
        <w:t>（</w:t>
      </w:r>
      <w:r>
        <w:rPr>
          <w:rFonts w:hint="eastAsia" w:ascii="宋体" w:hAnsi="宋体" w:eastAsia="宋体" w:cs="宋体"/>
          <w:kern w:val="0"/>
          <w:sz w:val="24"/>
          <w:szCs w:val="24"/>
          <w:highlight w:val="none"/>
          <w:shd w:val="clear" w:color="auto" w:fill="FFFFFF"/>
          <w:lang w:val="en-US" w:eastAsia="zh-CN"/>
        </w:rPr>
        <w:t>1）</w:t>
      </w:r>
      <w:r>
        <w:rPr>
          <w:rFonts w:hint="eastAsia" w:ascii="宋体" w:hAnsi="宋体" w:eastAsia="宋体" w:cs="宋体"/>
          <w:kern w:val="0"/>
          <w:sz w:val="24"/>
          <w:szCs w:val="24"/>
          <w:highlight w:val="none"/>
          <w:shd w:val="clear" w:color="auto" w:fill="FFFFFF"/>
        </w:rPr>
        <w:t>对</w:t>
      </w:r>
      <w:r>
        <w:rPr>
          <w:rFonts w:hint="eastAsia" w:ascii="宋体" w:hAnsi="宋体" w:cs="宋体"/>
          <w:kern w:val="0"/>
          <w:sz w:val="24"/>
          <w:szCs w:val="24"/>
          <w:highlight w:val="none"/>
          <w:shd w:val="clear" w:color="auto" w:fill="FFFFFF"/>
          <w:lang w:eastAsia="zh-CN"/>
        </w:rPr>
        <w:t>多宝路、宝源路历史文化街区保护活化利用项目</w:t>
      </w:r>
      <w:r>
        <w:rPr>
          <w:rFonts w:hint="eastAsia" w:ascii="宋体" w:hAnsi="宋体" w:eastAsia="宋体" w:cs="宋体"/>
          <w:kern w:val="0"/>
          <w:sz w:val="24"/>
          <w:szCs w:val="24"/>
          <w:highlight w:val="none"/>
          <w:shd w:val="clear" w:color="auto" w:fill="FFFFFF"/>
        </w:rPr>
        <w:t>进行前期研究，并按照国家发改委有关项目可行性研究报告编制内容和深度等要求，编制符合报批要求的《</w:t>
      </w:r>
      <w:r>
        <w:rPr>
          <w:rFonts w:hint="eastAsia" w:ascii="宋体" w:hAnsi="宋体" w:cs="宋体"/>
          <w:kern w:val="0"/>
          <w:sz w:val="24"/>
          <w:szCs w:val="24"/>
          <w:highlight w:val="none"/>
          <w:shd w:val="clear" w:color="auto" w:fill="FFFFFF"/>
          <w:lang w:eastAsia="zh-CN"/>
        </w:rPr>
        <w:t>多宝路、宝源路历史文化街区保护活化利用项目</w:t>
      </w:r>
      <w:r>
        <w:rPr>
          <w:rFonts w:hint="eastAsia" w:ascii="宋体" w:hAnsi="宋体" w:eastAsia="宋体" w:cs="宋体"/>
          <w:kern w:val="0"/>
          <w:sz w:val="24"/>
          <w:szCs w:val="24"/>
          <w:highlight w:val="none"/>
          <w:shd w:val="clear" w:color="auto" w:fill="FFFFFF"/>
        </w:rPr>
        <w:t>可行性研究报告》，进行全面技术经济分析的科学论证，对项目有关的自然、社会、经济、技术等进行调研、分析比较以及预测建成后的社会经济效益。在此基础上，针对方案综合论证项目建设的必要性，经济上的合理性，技术上的先进性和适应性以及建设条件的可能性和可行性，从而为投资决策提供科学依据。</w:t>
      </w:r>
    </w:p>
    <w:p>
      <w:pPr>
        <w:pStyle w:val="2"/>
        <w:spacing w:line="360" w:lineRule="auto"/>
        <w:ind w:firstLine="481"/>
        <w:rPr>
          <w:rFonts w:hint="eastAsia" w:ascii="宋体" w:hAnsi="宋体" w:eastAsia="宋体" w:cs="宋体"/>
          <w:sz w:val="24"/>
          <w:szCs w:val="24"/>
          <w:highlight w:val="none"/>
          <w:shd w:val="clear" w:color="auto" w:fill="FFFFFF"/>
        </w:rPr>
      </w:pPr>
      <w:r>
        <w:rPr>
          <w:rFonts w:hint="eastAsia" w:ascii="宋体" w:hAnsi="宋体" w:eastAsia="宋体" w:cs="宋体"/>
          <w:kern w:val="0"/>
          <w:sz w:val="24"/>
          <w:szCs w:val="24"/>
          <w:highlight w:val="none"/>
          <w:shd w:val="clear" w:color="auto" w:fill="FFFFFF"/>
        </w:rPr>
        <w:t>包括为编制可行性研究报告而进行的所有调查、踏勘、资料收集、现场勘察、</w:t>
      </w:r>
      <w:r>
        <w:rPr>
          <w:rFonts w:hint="eastAsia" w:ascii="宋体" w:hAnsi="宋体" w:cs="宋体"/>
          <w:kern w:val="0"/>
          <w:sz w:val="24"/>
          <w:szCs w:val="24"/>
          <w:highlight w:val="none"/>
          <w:shd w:val="clear" w:color="auto" w:fill="FFFFFF"/>
          <w:lang w:val="en-US" w:eastAsia="zh-CN"/>
        </w:rPr>
        <w:t>建设</w:t>
      </w:r>
      <w:r>
        <w:rPr>
          <w:rFonts w:hint="eastAsia" w:ascii="宋体" w:hAnsi="宋体" w:eastAsia="宋体" w:cs="宋体"/>
          <w:kern w:val="0"/>
          <w:sz w:val="24"/>
          <w:szCs w:val="24"/>
          <w:highlight w:val="none"/>
          <w:shd w:val="clear" w:color="auto" w:fill="FFFFFF"/>
        </w:rPr>
        <w:t>方案等工作；以及协助业主进行项目报告工作等。</w:t>
      </w:r>
    </w:p>
    <w:p>
      <w:pPr>
        <w:spacing w:line="360" w:lineRule="auto"/>
        <w:ind w:firstLine="480" w:firstLineChars="200"/>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eastAsia="zh-CN"/>
        </w:rPr>
        <w:t>（</w:t>
      </w:r>
      <w:r>
        <w:rPr>
          <w:rFonts w:hint="eastAsia" w:ascii="宋体" w:hAnsi="宋体" w:eastAsia="宋体" w:cs="宋体"/>
          <w:sz w:val="24"/>
          <w:szCs w:val="24"/>
          <w:highlight w:val="none"/>
          <w:shd w:val="clear" w:color="auto" w:fill="FFFFFF"/>
          <w:lang w:val="en-US" w:eastAsia="zh-CN"/>
        </w:rPr>
        <w:t>2）</w:t>
      </w:r>
      <w:r>
        <w:rPr>
          <w:rFonts w:hint="eastAsia" w:ascii="宋体" w:hAnsi="宋体" w:eastAsia="宋体" w:cs="宋体"/>
          <w:sz w:val="24"/>
          <w:szCs w:val="24"/>
          <w:highlight w:val="none"/>
          <w:shd w:val="clear" w:color="auto" w:fill="FFFFFF"/>
        </w:rPr>
        <w:t>可行性报告中的建设方案论述需包含但不限于：①总体改造策略和思路；针对历史文化街区特色，提出具体定位和活化思路。②建设方案应包括区域位置图、用地范围图、片区改造后总平面图、主要节点（包括历史建筑、风貌建筑等）改造前后对比效果图。③结合改造方案，完成项目规划、建筑、结构、给排水与消防、电气、弱电智能化、市政</w:t>
      </w:r>
      <w:r>
        <w:rPr>
          <w:rFonts w:hint="eastAsia" w:ascii="宋体" w:hAnsi="宋体" w:eastAsia="宋体" w:cs="宋体"/>
          <w:sz w:val="24"/>
          <w:szCs w:val="24"/>
          <w:highlight w:val="none"/>
          <w:shd w:val="clear" w:color="auto" w:fill="FFFFFF"/>
          <w:lang w:eastAsia="zh-CN"/>
        </w:rPr>
        <w:t>、</w:t>
      </w:r>
      <w:r>
        <w:rPr>
          <w:rFonts w:hint="eastAsia" w:ascii="宋体" w:hAnsi="宋体" w:eastAsia="宋体" w:cs="宋体"/>
          <w:sz w:val="24"/>
          <w:szCs w:val="24"/>
          <w:highlight w:val="none"/>
          <w:shd w:val="clear" w:color="auto" w:fill="FFFFFF"/>
        </w:rPr>
        <w:t>管网等方案及说明。④建设方案其他内容。</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lang w:val="en-US" w:eastAsia="zh-CN"/>
        </w:rPr>
        <w:t>4.</w:t>
      </w:r>
      <w:r>
        <w:rPr>
          <w:rFonts w:hint="eastAsia" w:ascii="宋体" w:hAnsi="宋体" w:eastAsia="宋体" w:cs="宋体"/>
          <w:sz w:val="24"/>
          <w:szCs w:val="24"/>
          <w:highlight w:val="none"/>
          <w:shd w:val="clear" w:color="auto" w:fill="FFFFFF"/>
        </w:rPr>
        <w:t>工作成果</w:t>
      </w:r>
    </w:p>
    <w:p>
      <w:pPr>
        <w:widowControl/>
        <w:topLinePunct/>
        <w:spacing w:line="360" w:lineRule="auto"/>
        <w:ind w:firstLine="489" w:firstLineChars="204"/>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lang w:eastAsia="zh-CN"/>
        </w:rPr>
        <w:t>多宝路、宝源路历史文化街区保护活化利用项目</w:t>
      </w:r>
      <w:r>
        <w:rPr>
          <w:rFonts w:hint="eastAsia" w:ascii="宋体" w:hAnsi="宋体" w:eastAsia="宋体" w:cs="宋体"/>
          <w:sz w:val="24"/>
          <w:szCs w:val="24"/>
          <w:highlight w:val="none"/>
          <w:shd w:val="clear" w:color="auto" w:fill="FFFFFF"/>
        </w:rPr>
        <w:t>可行性研究报告的</w:t>
      </w:r>
      <w:r>
        <w:rPr>
          <w:rFonts w:hint="eastAsia" w:ascii="宋体" w:hAnsi="宋体" w:eastAsia="宋体" w:cs="宋体"/>
          <w:sz w:val="24"/>
          <w:szCs w:val="24"/>
          <w:highlight w:val="none"/>
          <w:shd w:val="clear" w:color="auto" w:fill="FFFFFF"/>
          <w:lang w:eastAsia="zh-CN"/>
        </w:rPr>
        <w:t>成果</w:t>
      </w:r>
      <w:r>
        <w:rPr>
          <w:rFonts w:hint="eastAsia" w:ascii="宋体" w:hAnsi="宋体" w:eastAsia="宋体" w:cs="宋体"/>
          <w:sz w:val="24"/>
          <w:szCs w:val="24"/>
          <w:highlight w:val="none"/>
          <w:shd w:val="clear" w:color="auto" w:fill="FFFFFF"/>
        </w:rPr>
        <w:t>文件。</w:t>
      </w:r>
    </w:p>
    <w:p>
      <w:pPr>
        <w:pStyle w:val="2"/>
        <w:spacing w:line="360" w:lineRule="auto"/>
        <w:rPr>
          <w:rFonts w:hint="eastAsia" w:ascii="宋体" w:hAnsi="宋体" w:eastAsia="宋体" w:cs="宋体"/>
          <w:highlight w:val="none"/>
        </w:rPr>
      </w:pPr>
      <w:r>
        <w:rPr>
          <w:rFonts w:hint="eastAsia" w:ascii="宋体" w:hAnsi="宋体" w:eastAsia="宋体" w:cs="宋体"/>
          <w:b/>
          <w:sz w:val="24"/>
          <w:szCs w:val="24"/>
          <w:highlight w:val="none"/>
        </w:rPr>
        <w:t>具体内容及要求以合同相关约定为准。</w:t>
      </w:r>
    </w:p>
    <w:p>
      <w:pPr>
        <w:widowControl/>
        <w:spacing w:line="360" w:lineRule="auto"/>
        <w:jc w:val="left"/>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三、报价人资格要求</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1.报价人具有独立法人资格，持有市场监督（工商行政）管理部门核发的法人营业执照或各级登记管理机关颁发的事业单位法人证书，按国家法律经营。</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2.项目负责人具有工程类高级工程师职称（或以上）资</w:t>
      </w:r>
      <w:r>
        <w:rPr>
          <w:rFonts w:hint="eastAsia" w:ascii="宋体" w:hAnsi="宋体" w:eastAsia="宋体" w:cs="宋体"/>
          <w:color w:val="000000"/>
          <w:sz w:val="24"/>
          <w:szCs w:val="24"/>
          <w:highlight w:val="none"/>
          <w:lang w:eastAsia="zh-CN"/>
        </w:rPr>
        <w:t>格</w:t>
      </w:r>
      <w:r>
        <w:rPr>
          <w:rFonts w:hint="eastAsia" w:ascii="宋体" w:hAnsi="宋体" w:eastAsia="宋体" w:cs="宋体"/>
          <w:color w:val="000000"/>
          <w:sz w:val="24"/>
          <w:szCs w:val="24"/>
          <w:highlight w:val="none"/>
        </w:rPr>
        <w:t>及本单位近1个月的社保证明。</w:t>
      </w:r>
    </w:p>
    <w:p>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r>
        <w:rPr>
          <w:rFonts w:hint="eastAsia" w:ascii="宋体" w:hAnsi="宋体" w:eastAsia="宋体" w:cs="宋体"/>
          <w:sz w:val="24"/>
          <w:szCs w:val="24"/>
          <w:highlight w:val="none"/>
        </w:rPr>
        <w:t>本项目不接受联合体报价</w:t>
      </w:r>
      <w:r>
        <w:rPr>
          <w:rFonts w:hint="eastAsia" w:ascii="宋体" w:hAnsi="宋体" w:eastAsia="宋体" w:cs="宋体"/>
          <w:color w:val="000000"/>
          <w:sz w:val="24"/>
          <w:szCs w:val="24"/>
          <w:highlight w:val="none"/>
        </w:rPr>
        <w:t>。</w:t>
      </w:r>
    </w:p>
    <w:p>
      <w:pPr>
        <w:pStyle w:val="2"/>
        <w:spacing w:line="360" w:lineRule="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四、报价及结算方式</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1.</w:t>
      </w:r>
      <w:r>
        <w:rPr>
          <w:rFonts w:hint="eastAsia" w:ascii="宋体" w:hAnsi="宋体" w:eastAsia="宋体" w:cs="宋体"/>
          <w:color w:val="000000"/>
          <w:sz w:val="24"/>
          <w:szCs w:val="24"/>
          <w:highlight w:val="none"/>
        </w:rPr>
        <w:t>最高报价限价：人民币</w:t>
      </w:r>
      <w:r>
        <w:rPr>
          <w:rFonts w:hint="eastAsia" w:ascii="宋体" w:hAnsi="宋体" w:eastAsia="宋体" w:cs="宋体"/>
          <w:color w:val="000000"/>
          <w:sz w:val="24"/>
          <w:szCs w:val="24"/>
          <w:highlight w:val="none"/>
          <w:u w:val="single"/>
          <w:lang w:val="en-US" w:eastAsia="zh-CN"/>
        </w:rPr>
        <w:t>855612.00</w:t>
      </w:r>
      <w:r>
        <w:rPr>
          <w:rFonts w:hint="eastAsia" w:ascii="宋体" w:hAnsi="宋体" w:eastAsia="宋体" w:cs="宋体"/>
          <w:color w:val="000000"/>
          <w:sz w:val="24"/>
          <w:szCs w:val="24"/>
          <w:highlight w:val="none"/>
        </w:rPr>
        <w:t>元（大写：</w:t>
      </w:r>
      <w:r>
        <w:rPr>
          <w:rFonts w:hint="eastAsia" w:ascii="宋体" w:hAnsi="宋体" w:eastAsia="宋体" w:cs="宋体"/>
          <w:color w:val="000000"/>
          <w:sz w:val="24"/>
          <w:szCs w:val="24"/>
          <w:highlight w:val="none"/>
          <w:lang w:val="en-US" w:eastAsia="zh-CN"/>
        </w:rPr>
        <w:t>捌拾伍万伍仟陆佰壹拾贰元整</w:t>
      </w:r>
      <w:r>
        <w:rPr>
          <w:rFonts w:hint="eastAsia" w:ascii="宋体" w:hAnsi="宋体" w:eastAsia="宋体" w:cs="宋体"/>
          <w:color w:val="000000"/>
          <w:sz w:val="24"/>
          <w:szCs w:val="24"/>
          <w:highlight w:val="none"/>
        </w:rPr>
        <w:t>）。报价金额是固定价且是唯一的，未超过本项目最高报价限价。有效报价下浮率为</w:t>
      </w:r>
      <w:r>
        <w:rPr>
          <w:rFonts w:hint="eastAsia" w:ascii="宋体" w:hAnsi="宋体" w:eastAsia="宋体" w:cs="宋体"/>
          <w:color w:val="000000"/>
          <w:sz w:val="24"/>
          <w:szCs w:val="24"/>
          <w:highlight w:val="none"/>
          <w:u w:val="single"/>
        </w:rPr>
        <w:t>0-20</w:t>
      </w:r>
      <w:r>
        <w:rPr>
          <w:rFonts w:hint="eastAsia" w:ascii="宋体" w:hAnsi="宋体" w:eastAsia="宋体" w:cs="宋体"/>
          <w:color w:val="000000"/>
          <w:sz w:val="24"/>
          <w:szCs w:val="24"/>
          <w:highlight w:val="none"/>
        </w:rPr>
        <w:t>%。</w:t>
      </w:r>
    </w:p>
    <w:p>
      <w:pPr>
        <w:numPr>
          <w:ilvl w:val="255"/>
          <w:numId w:val="0"/>
        </w:num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sz w:val="24"/>
          <w:szCs w:val="24"/>
          <w:highlight w:val="none"/>
          <w:shd w:val="clear" w:color="auto" w:fill="FFFFFF"/>
        </w:rPr>
        <w:t>收费</w:t>
      </w:r>
      <w:r>
        <w:rPr>
          <w:rFonts w:hint="eastAsia" w:ascii="宋体" w:hAnsi="宋体" w:eastAsia="宋体" w:cs="宋体"/>
          <w:sz w:val="24"/>
          <w:szCs w:val="24"/>
          <w:highlight w:val="none"/>
        </w:rPr>
        <w:t>根据《国家发展改革委关于进一步放开建设项目专业服务价格的通知》（发改价格[2015] 299号），结合企业自身及项目情况自行报价，服务费报价超过最高报价限价将按无效报价处理。</w:t>
      </w:r>
    </w:p>
    <w:p>
      <w:pPr>
        <w:pStyle w:val="2"/>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color w:val="000000"/>
          <w:kern w:val="0"/>
          <w:sz w:val="24"/>
          <w:szCs w:val="24"/>
          <w:highlight w:val="none"/>
        </w:rPr>
        <w:t>本项目中选价为暂定价，结算价按照</w:t>
      </w:r>
      <w:r>
        <w:rPr>
          <w:rFonts w:hint="eastAsia" w:ascii="宋体" w:hAnsi="宋体" w:eastAsia="宋体" w:cs="宋体"/>
          <w:sz w:val="24"/>
          <w:szCs w:val="24"/>
          <w:highlight w:val="none"/>
        </w:rPr>
        <w:t>《国家计委关于印发建设项目前期工作咨询收费暂行规定的通知》（计价格［1999］1283号）和《广东省物价局、广东省计划委员会转发国家计委关于印发建设项目前期工作咨询收费暂行规定的通知》</w:t>
      </w:r>
      <w:r>
        <w:rPr>
          <w:rFonts w:hint="eastAsia" w:ascii="宋体" w:hAnsi="宋体" w:eastAsia="宋体" w:cs="宋体"/>
          <w:color w:val="000000"/>
          <w:kern w:val="0"/>
          <w:sz w:val="24"/>
          <w:szCs w:val="24"/>
          <w:highlight w:val="none"/>
        </w:rPr>
        <w:t>（粤价［2000］8号）</w:t>
      </w:r>
      <w:r>
        <w:rPr>
          <w:rFonts w:hint="eastAsia" w:ascii="宋体" w:hAnsi="宋体" w:eastAsia="宋体" w:cs="宋体"/>
          <w:sz w:val="24"/>
          <w:szCs w:val="24"/>
          <w:highlight w:val="none"/>
        </w:rPr>
        <w:t>的相关规定。各报价单位在报价文件中明确下浮率（0%至20%内），服务收费按以上条款计算出来的可行性研究报告总编制费乘以（1-报价下浮率）进行计取（行业调整系数为0.</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，复杂系数暂定为1，具体以合同约定为准），最终结算金额以询比人或相关部门审定结果为准，且不得超过中选价。</w:t>
      </w:r>
    </w:p>
    <w:p>
      <w:pPr>
        <w:pStyle w:val="2"/>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具体结算方式以合同约定为准。</w:t>
      </w:r>
    </w:p>
    <w:p>
      <w:pPr>
        <w:spacing w:line="360" w:lineRule="auto"/>
        <w:textAlignment w:val="top"/>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五、询比代理服务费及成交通知书的交付</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本次的询比代理服务费人民币1500元（大写：壹仟伍佰元整）由中选单位在收取成交通知书时一次性支付给询比代理服务机构。</w:t>
      </w:r>
    </w:p>
    <w:p>
      <w:pPr>
        <w:widowControl/>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六、询比文件的获取 </w:t>
      </w:r>
    </w:p>
    <w:p>
      <w:pPr>
        <w:widowControl/>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1.</w:t>
      </w:r>
      <w:r>
        <w:rPr>
          <w:rFonts w:hint="eastAsia" w:ascii="宋体" w:hAnsi="宋体" w:eastAsia="宋体" w:cs="宋体"/>
          <w:color w:val="000000" w:themeColor="text1"/>
          <w:sz w:val="24"/>
          <w:szCs w:val="24"/>
          <w:highlight w:val="none"/>
          <w14:textFill>
            <w14:solidFill>
              <w14:schemeClr w14:val="tx1"/>
            </w14:solidFill>
          </w14:textFill>
        </w:rPr>
        <w:t>凡有意参加的报价意向人，请于2022年</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lang w:val="en-US" w:eastAsia="zh-CN"/>
          <w14:textFill>
            <w14:solidFill>
              <w14:schemeClr w14:val="tx1"/>
            </w14:solidFill>
          </w14:textFill>
        </w:rPr>
        <w:t>23</w:t>
      </w:r>
      <w:r>
        <w:rPr>
          <w:rFonts w:hint="eastAsia" w:ascii="宋体" w:hAnsi="宋体" w:eastAsia="宋体" w:cs="宋体"/>
          <w:color w:val="000000" w:themeColor="text1"/>
          <w:sz w:val="24"/>
          <w:szCs w:val="24"/>
          <w:highlight w:val="none"/>
          <w14:textFill>
            <w14:solidFill>
              <w14:schemeClr w14:val="tx1"/>
            </w14:solidFill>
          </w14:textFill>
        </w:rPr>
        <w:t>日至2022年</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lang w:val="en-US" w:eastAsia="zh-CN"/>
          <w14:textFill>
            <w14:solidFill>
              <w14:schemeClr w14:val="tx1"/>
            </w14:solidFill>
          </w14:textFill>
        </w:rPr>
        <w:t>27</w:t>
      </w:r>
      <w:r>
        <w:rPr>
          <w:rFonts w:hint="eastAsia" w:ascii="宋体" w:hAnsi="宋体" w:eastAsia="宋体" w:cs="宋体"/>
          <w:color w:val="000000" w:themeColor="text1"/>
          <w:sz w:val="24"/>
          <w:szCs w:val="24"/>
          <w:highlight w:val="none"/>
          <w14:textFill>
            <w14:solidFill>
              <w14:schemeClr w14:val="tx1"/>
            </w14:solidFill>
          </w14:textFill>
        </w:rPr>
        <w:t>日，登录广州市荔湾区人民政府网站下载询比文件。</w:t>
      </w:r>
    </w:p>
    <w:p>
      <w:pPr>
        <w:widowControl/>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2.询比公告发布时间：</w:t>
      </w:r>
    </w:p>
    <w:p>
      <w:pPr>
        <w:widowControl/>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发布询比公告开始日期（含本日）为：2022年</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lang w:val="en-US" w:eastAsia="zh-CN"/>
          <w14:textFill>
            <w14:solidFill>
              <w14:schemeClr w14:val="tx1"/>
            </w14:solidFill>
          </w14:textFill>
        </w:rPr>
        <w:t>23</w:t>
      </w:r>
      <w:r>
        <w:rPr>
          <w:rFonts w:hint="eastAsia" w:ascii="宋体" w:hAnsi="宋体" w:eastAsia="宋体" w:cs="宋体"/>
          <w:color w:val="000000" w:themeColor="text1"/>
          <w:sz w:val="24"/>
          <w:szCs w:val="24"/>
          <w:highlight w:val="none"/>
          <w14:textFill>
            <w14:solidFill>
              <w14:schemeClr w14:val="tx1"/>
            </w14:solidFill>
          </w14:textFill>
        </w:rPr>
        <w:t>日；</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发布询比公告截止日期（含本日）为：2022年</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lang w:val="en-US" w:eastAsia="zh-CN"/>
          <w14:textFill>
            <w14:solidFill>
              <w14:schemeClr w14:val="tx1"/>
            </w14:solidFill>
          </w14:textFill>
        </w:rPr>
        <w:t>27</w:t>
      </w:r>
      <w:r>
        <w:rPr>
          <w:rFonts w:hint="eastAsia" w:ascii="宋体" w:hAnsi="宋体" w:eastAsia="宋体" w:cs="宋体"/>
          <w:color w:val="000000" w:themeColor="text1"/>
          <w:sz w:val="24"/>
          <w:szCs w:val="24"/>
          <w:highlight w:val="none"/>
          <w14:textFill>
            <w14:solidFill>
              <w14:schemeClr w14:val="tx1"/>
            </w14:solidFill>
          </w14:textFill>
        </w:rPr>
        <w:t>日。</w:t>
      </w:r>
    </w:p>
    <w:p>
      <w:pPr>
        <w:spacing w:line="360" w:lineRule="auto"/>
        <w:rPr>
          <w:rFonts w:hint="eastAsia" w:ascii="宋体" w:hAnsi="宋体" w:eastAsia="宋体" w:cs="宋体"/>
          <w:b/>
          <w:bCs/>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b/>
          <w:bCs/>
          <w:color w:val="000000" w:themeColor="text1"/>
          <w:sz w:val="24"/>
          <w:szCs w:val="24"/>
          <w:highlight w:val="none"/>
          <w:shd w:val="clear" w:color="auto" w:fill="FFFFFF"/>
          <w14:textFill>
            <w14:solidFill>
              <w14:schemeClr w14:val="tx1"/>
            </w14:solidFill>
          </w14:textFill>
        </w:rPr>
        <w:t>七、报价文件的递交时间和递交地点：</w:t>
      </w:r>
    </w:p>
    <w:p>
      <w:pPr>
        <w:spacing w:line="360" w:lineRule="auto"/>
        <w:rPr>
          <w:rFonts w:hint="eastAsia" w:ascii="宋体" w:hAnsi="宋体" w:eastAsia="宋体" w:cs="宋体"/>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t xml:space="preserve">    由报价意向人的法定代表人或授权代表</w:t>
      </w:r>
      <w:r>
        <w:rPr>
          <w:rFonts w:hint="eastAsia" w:ascii="宋体" w:hAnsi="宋体" w:eastAsia="宋体" w:cs="宋体"/>
          <w:b/>
          <w:bCs/>
          <w:color w:val="000000" w:themeColor="text1"/>
          <w:sz w:val="24"/>
          <w:szCs w:val="24"/>
          <w:highlight w:val="none"/>
          <w14:textFill>
            <w14:solidFill>
              <w14:schemeClr w14:val="tx1"/>
            </w14:solidFill>
          </w14:textFill>
        </w:rPr>
        <w:t>手持法定代表人证明书、授权委托书及身份证原件</w:t>
      </w:r>
      <w:r>
        <w:rPr>
          <w:rFonts w:hint="eastAsia" w:ascii="宋体" w:hAnsi="宋体" w:eastAsia="宋体" w:cs="宋体"/>
          <w:color w:val="000000" w:themeColor="text1"/>
          <w:sz w:val="24"/>
          <w:szCs w:val="24"/>
          <w:highlight w:val="none"/>
          <w14:textFill>
            <w14:solidFill>
              <w14:schemeClr w14:val="tx1"/>
            </w14:solidFill>
          </w14:textFill>
        </w:rPr>
        <w:t>在</w:t>
      </w:r>
      <w:r>
        <w:rPr>
          <w:rFonts w:hint="eastAsia" w:ascii="宋体" w:hAnsi="宋体" w:eastAsia="宋体" w:cs="宋体"/>
          <w:color w:val="000000" w:themeColor="text1"/>
          <w:sz w:val="24"/>
          <w:szCs w:val="24"/>
          <w:highlight w:val="none"/>
          <w:u w:val="single"/>
          <w14:textFill>
            <w14:solidFill>
              <w14:schemeClr w14:val="tx1"/>
            </w14:solidFill>
          </w14:textFill>
        </w:rPr>
        <w:t>2022</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28</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color w:val="000000" w:themeColor="text1"/>
          <w:kern w:val="0"/>
          <w:sz w:val="24"/>
          <w:highlight w:val="none"/>
          <w14:textFill>
            <w14:solidFill>
              <w14:schemeClr w14:val="tx1"/>
            </w14:solidFill>
          </w14:textFill>
        </w:rPr>
        <w:t>上午</w:t>
      </w:r>
      <w:r>
        <w:rPr>
          <w:rFonts w:hint="eastAsia" w:ascii="宋体" w:hAnsi="宋体" w:eastAsia="宋体" w:cs="宋体"/>
          <w:color w:val="000000" w:themeColor="text1"/>
          <w:kern w:val="0"/>
          <w:sz w:val="24"/>
          <w:highlight w:val="none"/>
          <w:u w:val="single"/>
          <w14:textFill>
            <w14:solidFill>
              <w14:schemeClr w14:val="tx1"/>
            </w14:solidFill>
          </w14:textFill>
        </w:rPr>
        <w:t xml:space="preserve"> 9:30—11:30 </w:t>
      </w:r>
      <w:r>
        <w:rPr>
          <w:rFonts w:hint="eastAsia" w:ascii="宋体" w:hAnsi="宋体" w:eastAsia="宋体" w:cs="宋体"/>
          <w:color w:val="000000" w:themeColor="text1"/>
          <w:sz w:val="24"/>
          <w:szCs w:val="24"/>
          <w:highlight w:val="none"/>
          <w14:textFill>
            <w14:solidFill>
              <w14:schemeClr w14:val="tx1"/>
            </w14:solidFill>
          </w14:textFill>
        </w:rPr>
        <w:t>递交至</w:t>
      </w:r>
      <w:r>
        <w:rPr>
          <w:rFonts w:hint="eastAsia" w:ascii="宋体" w:hAnsi="宋体" w:eastAsia="宋体" w:cs="宋体"/>
          <w:sz w:val="24"/>
          <w:highlight w:val="none"/>
          <w:u w:val="single"/>
        </w:rPr>
        <w:t>广州市天河区黄埔大道中122号412房</w:t>
      </w:r>
      <w:r>
        <w:rPr>
          <w:rFonts w:hint="eastAsia" w:ascii="宋体" w:hAnsi="宋体" w:eastAsia="宋体" w:cs="宋体"/>
          <w:color w:val="000000"/>
          <w:sz w:val="24"/>
          <w:szCs w:val="24"/>
          <w:highlight w:val="none"/>
        </w:rPr>
        <w:t>，</w:t>
      </w:r>
      <w:r>
        <w:rPr>
          <w:rFonts w:hint="eastAsia" w:ascii="宋体" w:hAnsi="宋体" w:eastAsia="宋体" w:cs="宋体"/>
          <w:color w:val="000000" w:themeColor="text1"/>
          <w:sz w:val="24"/>
          <w:szCs w:val="24"/>
          <w:highlight w:val="none"/>
          <w14:textFill>
            <w14:solidFill>
              <w14:schemeClr w14:val="tx1"/>
            </w14:solidFill>
          </w14:textFill>
        </w:rPr>
        <w:t>逾期恕不受理。</w:t>
      </w:r>
      <w:r>
        <w:rPr>
          <w:rFonts w:hint="eastAsia" w:ascii="宋体" w:hAnsi="宋体" w:eastAsia="宋体" w:cs="宋体"/>
          <w:sz w:val="24"/>
          <w:szCs w:val="24"/>
          <w:highlight w:val="none"/>
        </w:rPr>
        <w:t xml:space="preserve">  </w:t>
      </w:r>
    </w:p>
    <w:p>
      <w:pPr>
        <w:spacing w:line="360" w:lineRule="auto"/>
        <w:rPr>
          <w:rFonts w:hint="eastAsia" w:ascii="宋体" w:hAnsi="宋体" w:eastAsia="宋体" w:cs="宋体"/>
          <w:b/>
          <w:bCs/>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b/>
          <w:bCs/>
          <w:color w:val="000000" w:themeColor="text1"/>
          <w:sz w:val="24"/>
          <w:szCs w:val="24"/>
          <w:highlight w:val="none"/>
          <w:shd w:val="clear" w:color="auto" w:fill="FFFFFF"/>
          <w14:textFill>
            <w14:solidFill>
              <w14:schemeClr w14:val="tx1"/>
            </w14:solidFill>
          </w14:textFill>
        </w:rPr>
        <w:t>八、询比人不承担报价人参加本次报价活动所发生的任何费用。询比人因故取消或中止询比活动，报价人无条件服从，因报价活动产生的费用报价人自行负责。</w:t>
      </w:r>
    </w:p>
    <w:p>
      <w:pPr>
        <w:spacing w:line="360" w:lineRule="auto"/>
        <w:rPr>
          <w:rFonts w:hint="eastAsia" w:ascii="宋体" w:hAnsi="宋体" w:eastAsia="宋体" w:cs="宋体"/>
          <w:b/>
          <w:bCs/>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b/>
          <w:bCs/>
          <w:color w:val="000000" w:themeColor="text1"/>
          <w:sz w:val="24"/>
          <w:szCs w:val="24"/>
          <w:highlight w:val="none"/>
          <w:shd w:val="clear" w:color="auto" w:fill="FFFFFF"/>
          <w14:textFill>
            <w14:solidFill>
              <w14:schemeClr w14:val="tx1"/>
            </w14:solidFill>
          </w14:textFill>
        </w:rPr>
        <w:t>九、询比人将在广州市荔湾区人民政府网上发布中选结果，中选公示期为1天。</w:t>
      </w:r>
    </w:p>
    <w:p>
      <w:pPr>
        <w:spacing w:line="360" w:lineRule="auto"/>
        <w:rPr>
          <w:rFonts w:hint="eastAsia" w:ascii="宋体" w:hAnsi="宋体" w:eastAsia="宋体" w:cs="宋体"/>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b/>
          <w:bCs/>
          <w:color w:val="000000" w:themeColor="text1"/>
          <w:sz w:val="24"/>
          <w:szCs w:val="24"/>
          <w:highlight w:val="none"/>
          <w:shd w:val="clear" w:color="auto" w:fill="FFFFFF"/>
          <w14:textFill>
            <w14:solidFill>
              <w14:schemeClr w14:val="tx1"/>
            </w14:solidFill>
          </w14:textFill>
        </w:rPr>
        <w:t>十、广州市荔湾区城市更新建设项目管理中心对公告及询比文件有最终解释权。</w:t>
      </w:r>
    </w:p>
    <w:p>
      <w:pPr>
        <w:spacing w:line="360" w:lineRule="auto"/>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十一、联系方式：</w:t>
      </w:r>
    </w:p>
    <w:p>
      <w:pPr>
        <w:spacing w:line="360" w:lineRule="auto"/>
        <w:jc w:val="left"/>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询比单位：</w:t>
      </w:r>
      <w:r>
        <w:rPr>
          <w:rFonts w:hint="eastAsia" w:ascii="宋体" w:hAnsi="宋体" w:eastAsia="宋体" w:cs="宋体"/>
          <w:color w:val="000000"/>
          <w:sz w:val="24"/>
          <w:szCs w:val="24"/>
          <w:highlight w:val="none"/>
          <w:u w:val="single"/>
        </w:rPr>
        <w:t>广州市荔湾区城市更新建设项目管理中心</w:t>
      </w:r>
    </w:p>
    <w:p>
      <w:pPr>
        <w:spacing w:line="360" w:lineRule="auto"/>
        <w:jc w:val="left"/>
        <w:textAlignment w:val="top"/>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u w:val="single"/>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szCs w:val="24"/>
          <w:highlight w:val="none"/>
          <w:u w:val="single"/>
        </w:rPr>
        <w:t xml:space="preserve"> 苏工             </w:t>
      </w:r>
    </w:p>
    <w:p>
      <w:pPr>
        <w:spacing w:line="360" w:lineRule="auto"/>
        <w:jc w:val="left"/>
        <w:textAlignment w:val="top"/>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single"/>
        </w:rPr>
        <w:t xml:space="preserve">  020-81812810 </w:t>
      </w:r>
      <w:r>
        <w:rPr>
          <w:rFonts w:hint="eastAsia" w:ascii="宋体" w:hAnsi="宋体" w:eastAsia="宋体" w:cs="宋体"/>
          <w:sz w:val="24"/>
          <w:highlight w:val="none"/>
          <w:u w:val="single"/>
        </w:rPr>
        <w:t xml:space="preserve">     </w:t>
      </w:r>
    </w:p>
    <w:p>
      <w:pPr>
        <w:spacing w:line="360" w:lineRule="auto"/>
        <w:jc w:val="left"/>
        <w:textAlignment w:val="top"/>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358" w:lineRule="auto"/>
        <w:jc w:val="left"/>
        <w:textAlignment w:val="top"/>
        <w:rPr>
          <w:rFonts w:hint="eastAsia" w:ascii="宋体" w:hAnsi="宋体" w:eastAsia="宋体" w:cs="宋体"/>
          <w:sz w:val="24"/>
          <w:highlight w:val="none"/>
        </w:rPr>
      </w:pPr>
      <w:bookmarkStart w:id="5" w:name="_GoBack"/>
      <w:r>
        <w:rPr>
          <w:rFonts w:hint="eastAsia" w:ascii="宋体" w:hAnsi="宋体" w:eastAsia="宋体" w:cs="宋体"/>
          <w:sz w:val="24"/>
          <w:szCs w:val="24"/>
          <w:highlight w:val="none"/>
        </w:rPr>
        <w:t>询比代理单位：</w:t>
      </w:r>
      <w:r>
        <w:rPr>
          <w:rFonts w:hint="eastAsia" w:ascii="宋体" w:hAnsi="宋体" w:eastAsia="宋体" w:cs="宋体"/>
          <w:sz w:val="24"/>
          <w:szCs w:val="24"/>
          <w:highlight w:val="none"/>
          <w:u w:val="single"/>
        </w:rPr>
        <w:t>成致项目管理有限公司</w:t>
      </w:r>
      <w:r>
        <w:rPr>
          <w:rFonts w:hint="eastAsia" w:ascii="宋体" w:hAnsi="宋体" w:eastAsia="宋体" w:cs="宋体"/>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58" w:lineRule="auto"/>
        <w:jc w:val="left"/>
        <w:textAlignment w:val="top"/>
        <w:rPr>
          <w:rFonts w:hint="eastAsia" w:ascii="宋体" w:hAnsi="宋体" w:eastAsia="宋体" w:cs="宋体"/>
          <w:sz w:val="24"/>
          <w:highlight w:val="none"/>
        </w:rPr>
      </w:pPr>
      <w:r>
        <w:rPr>
          <w:rFonts w:hint="eastAsia" w:ascii="宋体" w:hAnsi="宋体" w:eastAsia="宋体" w:cs="宋体"/>
          <w:sz w:val="24"/>
          <w:highlight w:val="none"/>
        </w:rPr>
        <w:t>联系人：</w:t>
      </w:r>
      <w:r>
        <w:rPr>
          <w:rFonts w:hint="eastAsia" w:ascii="宋体" w:hAnsi="宋体" w:eastAsia="宋体" w:cs="宋体"/>
          <w:sz w:val="24"/>
          <w:highlight w:val="none"/>
          <w:u w:val="single"/>
        </w:rPr>
        <w:t xml:space="preserve">      李先生           </w:t>
      </w:r>
      <w:r>
        <w:rPr>
          <w:rFonts w:hint="eastAsia" w:ascii="宋体" w:hAnsi="宋体" w:eastAsia="宋体" w:cs="宋体"/>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58" w:lineRule="auto"/>
        <w:jc w:val="left"/>
        <w:textAlignment w:val="top"/>
        <w:rPr>
          <w:rFonts w:hint="eastAsia" w:ascii="宋体" w:hAnsi="宋体" w:eastAsia="宋体" w:cs="宋体"/>
          <w:sz w:val="24"/>
          <w:szCs w:val="24"/>
          <w:highlight w:val="none"/>
        </w:rPr>
      </w:pPr>
      <w:r>
        <w:rPr>
          <w:rFonts w:hint="eastAsia" w:ascii="宋体" w:hAnsi="宋体" w:eastAsia="宋体" w:cs="宋体"/>
          <w:sz w:val="24"/>
          <w:highlight w:val="none"/>
        </w:rPr>
        <w:t>联系电话：</w:t>
      </w:r>
      <w:r>
        <w:rPr>
          <w:rFonts w:hint="eastAsia" w:ascii="宋体" w:hAnsi="宋体" w:eastAsia="宋体" w:cs="宋体"/>
          <w:sz w:val="24"/>
          <w:highlight w:val="none"/>
          <w:u w:val="single"/>
        </w:rPr>
        <w:t xml:space="preserve">    18928782297      </w:t>
      </w:r>
    </w:p>
    <w:p>
      <w:pPr>
        <w:keepNext w:val="0"/>
        <w:keepLines w:val="0"/>
        <w:pageBreakBefore w:val="0"/>
        <w:widowControl w:val="0"/>
        <w:kinsoku/>
        <w:wordWrap/>
        <w:overflowPunct/>
        <w:topLinePunct w:val="0"/>
        <w:autoSpaceDE/>
        <w:autoSpaceDN/>
        <w:bidi w:val="0"/>
        <w:adjustRightInd/>
        <w:snapToGrid/>
        <w:spacing w:line="358" w:lineRule="auto"/>
        <w:ind w:firstLine="480" w:firstLineChars="200"/>
        <w:jc w:val="center"/>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color w:val="000000"/>
          <w:sz w:val="24"/>
          <w:szCs w:val="24"/>
          <w:highlight w:val="none"/>
        </w:rPr>
        <w:t>广州市荔湾区城市更新建设项目管理中心</w:t>
      </w:r>
    </w:p>
    <w:p>
      <w:pPr>
        <w:pStyle w:val="11"/>
        <w:keepNext w:val="0"/>
        <w:keepLines w:val="0"/>
        <w:pageBreakBefore w:val="0"/>
        <w:widowControl w:val="0"/>
        <w:kinsoku/>
        <w:wordWrap/>
        <w:overflowPunct/>
        <w:topLinePunct w:val="0"/>
        <w:autoSpaceDE/>
        <w:autoSpaceDN/>
        <w:bidi w:val="0"/>
        <w:adjustRightInd/>
        <w:snapToGrid/>
        <w:spacing w:line="358"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2022年</w:t>
      </w:r>
      <w:r>
        <w:rPr>
          <w:rFonts w:hint="eastAsia" w:hAnsi="宋体" w:eastAsia="宋体" w:cs="宋体"/>
          <w:sz w:val="24"/>
          <w:szCs w:val="24"/>
          <w:highlight w:val="none"/>
          <w:lang w:val="en-US" w:eastAsia="zh-CN"/>
        </w:rPr>
        <w:t>2</w:t>
      </w:r>
      <w:r>
        <w:rPr>
          <w:rFonts w:hint="eastAsia" w:ascii="宋体" w:hAnsi="宋体" w:eastAsia="宋体" w:cs="宋体"/>
          <w:sz w:val="24"/>
          <w:szCs w:val="24"/>
          <w:highlight w:val="none"/>
        </w:rPr>
        <w:t>月</w:t>
      </w:r>
      <w:r>
        <w:rPr>
          <w:rFonts w:hint="eastAsia" w:hAnsi="宋体" w:eastAsia="宋体" w:cs="宋体"/>
          <w:sz w:val="24"/>
          <w:szCs w:val="24"/>
          <w:highlight w:val="none"/>
          <w:lang w:val="en-US" w:eastAsia="zh-CN"/>
        </w:rPr>
        <w:t>23</w:t>
      </w:r>
      <w:r>
        <w:rPr>
          <w:rFonts w:hint="eastAsia" w:ascii="宋体" w:hAnsi="宋体" w:eastAsia="宋体" w:cs="宋体"/>
          <w:sz w:val="24"/>
          <w:szCs w:val="24"/>
          <w:highlight w:val="none"/>
        </w:rPr>
        <w:t>日</w:t>
      </w:r>
      <w:bookmarkEnd w:id="5"/>
    </w:p>
    <w:p>
      <w:pPr>
        <w:pStyle w:val="11"/>
        <w:spacing w:line="360" w:lineRule="auto"/>
        <w:jc w:val="center"/>
        <w:rPr>
          <w:rFonts w:hint="eastAsia" w:ascii="宋体" w:hAnsi="宋体" w:eastAsia="宋体" w:cs="宋体"/>
          <w:sz w:val="24"/>
          <w:szCs w:val="24"/>
          <w:highlight w:val="none"/>
        </w:rPr>
        <w:sectPr>
          <w:footerReference r:id="rId4" w:type="default"/>
          <w:pgSz w:w="11906" w:h="16838"/>
          <w:pgMar w:top="1440" w:right="1417" w:bottom="1440" w:left="1417" w:header="851" w:footer="992" w:gutter="0"/>
          <w:pgNumType w:start="1"/>
          <w:cols w:space="425" w:num="1"/>
          <w:docGrid w:type="lines" w:linePitch="312" w:charSpace="0"/>
        </w:sectPr>
      </w:pPr>
    </w:p>
    <w:p>
      <w:pPr>
        <w:pStyle w:val="11"/>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第二章 评审办法</w:t>
      </w:r>
    </w:p>
    <w:p>
      <w:pPr>
        <w:pStyle w:val="11"/>
        <w:spacing w:line="360" w:lineRule="auto"/>
        <w:jc w:val="left"/>
        <w:rPr>
          <w:rFonts w:hint="eastAsia" w:ascii="宋体" w:hAnsi="宋体" w:eastAsia="宋体" w:cs="宋体"/>
          <w:sz w:val="24"/>
          <w:szCs w:val="24"/>
          <w:highlight w:val="none"/>
        </w:rPr>
      </w:pPr>
    </w:p>
    <w:p>
      <w:pPr>
        <w:pStyle w:val="11"/>
        <w:spacing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一、评审办法</w:t>
      </w:r>
    </w:p>
    <w:p>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1.本次评审采用综合评分法。询比人首先审查报价单位的资格性和符合性条件，通过资格性和符合性审查的报价单位的报价文件将进入下一环节的评分</w:t>
      </w:r>
      <w:r>
        <w:rPr>
          <w:rFonts w:hint="eastAsia" w:ascii="宋体" w:hAnsi="宋体" w:eastAsia="宋体" w:cs="宋体"/>
          <w:kern w:val="0"/>
          <w:sz w:val="24"/>
          <w:szCs w:val="24"/>
          <w:highlight w:val="none"/>
        </w:rPr>
        <w:t>（详见附件一：</w:t>
      </w:r>
      <w:r>
        <w:rPr>
          <w:rFonts w:hint="eastAsia" w:ascii="宋体" w:hAnsi="宋体" w:eastAsia="宋体" w:cs="宋体"/>
          <w:sz w:val="24"/>
          <w:szCs w:val="24"/>
          <w:highlight w:val="none"/>
        </w:rPr>
        <w:t>资格性和符合性审查表</w:t>
      </w:r>
      <w:r>
        <w:rPr>
          <w:rFonts w:hint="eastAsia" w:ascii="宋体" w:hAnsi="宋体" w:eastAsia="宋体" w:cs="宋体"/>
          <w:kern w:val="0"/>
          <w:sz w:val="24"/>
          <w:szCs w:val="24"/>
          <w:highlight w:val="none"/>
        </w:rPr>
        <w:t>）</w:t>
      </w:r>
      <w:r>
        <w:rPr>
          <w:rFonts w:hint="eastAsia" w:ascii="宋体" w:hAnsi="宋体" w:eastAsia="宋体" w:cs="宋体"/>
          <w:sz w:val="24"/>
          <w:szCs w:val="24"/>
          <w:highlight w:val="none"/>
        </w:rPr>
        <w:t>。</w:t>
      </w:r>
    </w:p>
    <w:p>
      <w:pPr>
        <w:pStyle w:val="11"/>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2.询比人对满足询比文件实质性要求的报价文件，按照询比文件规定的评分标准进行打分，评审过程中如发现存在不满足询比文件实质性要求的报价文件不予评分。</w:t>
      </w:r>
    </w:p>
    <w:p>
      <w:pPr>
        <w:pStyle w:val="11"/>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3.评分按照各报价人总得分从高到低排列先后次序。若两家或以上的报价人总得分相同时，则报价部分得分高的排前；若报价部分得分相同，则由报价文件提交顺序较早的排前（详见附件二：综合评分表）。</w:t>
      </w:r>
    </w:p>
    <w:p>
      <w:pPr>
        <w:tabs>
          <w:tab w:val="left" w:pos="5220"/>
        </w:tabs>
        <w:adjustRightInd w:val="0"/>
        <w:snapToGrid w:val="0"/>
        <w:spacing w:line="360" w:lineRule="auto"/>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sectPr>
          <w:footerReference r:id="rId5" w:type="default"/>
          <w:pgSz w:w="11906" w:h="16838"/>
          <w:pgMar w:top="1440" w:right="1417" w:bottom="1440" w:left="1417" w:header="851" w:footer="992" w:gutter="0"/>
          <w:cols w:space="425" w:num="1"/>
          <w:docGrid w:type="lines" w:linePitch="312" w:charSpace="0"/>
        </w:sectPr>
      </w:pPr>
      <w:r>
        <w:rPr>
          <w:rFonts w:hint="eastAsia" w:ascii="宋体" w:hAnsi="宋体" w:eastAsia="宋体" w:cs="宋体"/>
          <w:sz w:val="24"/>
          <w:szCs w:val="24"/>
          <w:highlight w:val="none"/>
        </w:rPr>
        <w:t>4.若本项目满足资格性和符合性审查合格条件的报价人不足1家或经评审有效的报价人不足1家，则本次询比失败，询比人将视情况重新组织询比。</w:t>
      </w:r>
    </w:p>
    <w:p>
      <w:pPr>
        <w:tabs>
          <w:tab w:val="left" w:pos="5220"/>
        </w:tabs>
        <w:adjustRightInd w:val="0"/>
        <w:snapToGrid w:val="0"/>
        <w:spacing w:line="360" w:lineRule="auto"/>
        <w:jc w:val="center"/>
        <w:rPr>
          <w:rFonts w:hint="eastAsia" w:ascii="宋体" w:hAnsi="宋体" w:eastAsia="宋体" w:cs="宋体"/>
          <w:b/>
          <w:bCs/>
          <w:kern w:val="28"/>
          <w:sz w:val="24"/>
          <w:highlight w:val="none"/>
        </w:rPr>
      </w:pPr>
      <w:r>
        <w:rPr>
          <w:rFonts w:hint="eastAsia" w:ascii="宋体" w:hAnsi="宋体" w:eastAsia="宋体" w:cs="宋体"/>
          <w:b/>
          <w:bCs/>
          <w:kern w:val="28"/>
          <w:sz w:val="24"/>
          <w:highlight w:val="none"/>
        </w:rPr>
        <w:t>第三章 报价文件</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一.报价文件编制要求</w:t>
      </w:r>
    </w:p>
    <w:p>
      <w:pPr>
        <w:spacing w:line="360" w:lineRule="auto"/>
        <w:ind w:firstLine="480" w:firstLineChars="200"/>
        <w:textAlignment w:val="top"/>
        <w:rPr>
          <w:rFonts w:hint="eastAsia" w:ascii="宋体" w:hAnsi="宋体" w:eastAsia="宋体" w:cs="宋体"/>
          <w:sz w:val="24"/>
          <w:highlight w:val="none"/>
        </w:rPr>
      </w:pPr>
      <w:r>
        <w:rPr>
          <w:rFonts w:hint="eastAsia" w:ascii="宋体" w:hAnsi="宋体" w:eastAsia="宋体" w:cs="宋体"/>
          <w:sz w:val="24"/>
          <w:highlight w:val="none"/>
        </w:rPr>
        <w:t>1.报价文件编制规范、签署合格、报价唯一固定、报价无重大漏项及重大不合理。</w:t>
      </w:r>
    </w:p>
    <w:p>
      <w:pPr>
        <w:spacing w:line="360" w:lineRule="auto"/>
        <w:ind w:firstLine="480" w:firstLineChars="200"/>
        <w:textAlignment w:val="top"/>
        <w:rPr>
          <w:rFonts w:hint="eastAsia" w:ascii="宋体" w:hAnsi="宋体" w:eastAsia="宋体" w:cs="宋体"/>
          <w:color w:val="FF0000"/>
          <w:sz w:val="24"/>
          <w:highlight w:val="none"/>
        </w:rPr>
      </w:pPr>
      <w:r>
        <w:rPr>
          <w:rFonts w:hint="eastAsia" w:ascii="宋体" w:hAnsi="宋体" w:eastAsia="宋体" w:cs="宋体"/>
          <w:sz w:val="24"/>
          <w:highlight w:val="none"/>
        </w:rPr>
        <w:t>2.报价文件份数为一式二份，一份为正本，一份为副本，正本和副本不一致的以正本为准。报价文件须用不褪色的黑色墨水书写或打印，报价文件应装订成册，封面右上角注明正本或副本，</w:t>
      </w:r>
      <w:r>
        <w:rPr>
          <w:rFonts w:hint="eastAsia" w:ascii="宋体" w:hAnsi="宋体" w:eastAsia="宋体" w:cs="宋体"/>
          <w:kern w:val="0"/>
          <w:sz w:val="24"/>
          <w:highlight w:val="none"/>
        </w:rPr>
        <w:t>并每页加盖单位公章装入同一个密封袋。</w:t>
      </w:r>
      <w:r>
        <w:rPr>
          <w:rFonts w:hint="eastAsia" w:ascii="宋体" w:hAnsi="宋体" w:eastAsia="宋体" w:cs="宋体"/>
          <w:b/>
          <w:bCs/>
          <w:kern w:val="0"/>
          <w:sz w:val="24"/>
          <w:highlight w:val="none"/>
        </w:rPr>
        <w:t>封口须以封条并加盖公章密封，否则报价文件当无效处理。</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3.报价文件密封在一个包封内，外包装材料不应留有可在包封后添加或抽取报价文件的空隙。外面应标注“项目名称”、“报价文件”、“联系人”、“联系方式”和“报价单位”等字样。</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highlight w:val="none"/>
        </w:rPr>
        <w:t>4.报价文件中的所有材料内容（复印件、截图证明等）</w:t>
      </w:r>
      <w:r>
        <w:rPr>
          <w:rFonts w:hint="eastAsia" w:ascii="宋体" w:hAnsi="宋体" w:eastAsia="宋体" w:cs="宋体"/>
          <w:b/>
          <w:bCs/>
          <w:sz w:val="24"/>
          <w:highlight w:val="none"/>
        </w:rPr>
        <w:t>须清晰可见，模糊不清晰的则当无效材料处理</w:t>
      </w:r>
      <w:r>
        <w:rPr>
          <w:rFonts w:hint="eastAsia" w:ascii="宋体" w:hAnsi="宋体" w:eastAsia="宋体" w:cs="宋体"/>
          <w:sz w:val="24"/>
          <w:highlight w:val="none"/>
        </w:rPr>
        <w:t>。报价文件须附上材料目录（附页码）。</w:t>
      </w:r>
    </w:p>
    <w:p>
      <w:pPr>
        <w:spacing w:line="360" w:lineRule="auto"/>
        <w:textAlignment w:val="top"/>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二、完整的报价文件至少包括以下内容：</w:t>
      </w:r>
    </w:p>
    <w:p>
      <w:pPr>
        <w:adjustRightInd w:val="0"/>
        <w:snapToGrid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1.报价表（原件，格式详见附件三）；</w:t>
      </w:r>
    </w:p>
    <w:p>
      <w:pPr>
        <w:adjustRightInd w:val="0"/>
        <w:snapToGrid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2.企业营业执照或事业单位法人证书（复印件）；</w:t>
      </w:r>
    </w:p>
    <w:p>
      <w:pPr>
        <w:adjustRightInd w:val="0"/>
        <w:snapToGrid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3.法定代表人身份证明书（原件）、授权代表委托书（原件）；</w:t>
      </w:r>
    </w:p>
    <w:p>
      <w:pPr>
        <w:adjustRightInd w:val="0"/>
        <w:snapToGrid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4.业绩情况汇总表（原件，格式详见附件四）；</w:t>
      </w:r>
    </w:p>
    <w:p>
      <w:pPr>
        <w:adjustRightInd w:val="0"/>
        <w:snapToGrid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5.项目负责人相关证书及社保证明（复印件）；</w:t>
      </w:r>
    </w:p>
    <w:p>
      <w:pPr>
        <w:adjustRightInd w:val="0"/>
        <w:snapToGrid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6.综合评分表上要求提供的其他材料（复印件）；</w:t>
      </w:r>
    </w:p>
    <w:p>
      <w:pPr>
        <w:adjustRightInd w:val="0"/>
        <w:snapToGrid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7.承诺书（原件，详见附件六）；</w:t>
      </w:r>
    </w:p>
    <w:p>
      <w:pPr>
        <w:adjustRightInd w:val="0"/>
        <w:snapToGrid w:val="0"/>
        <w:spacing w:line="360" w:lineRule="auto"/>
        <w:ind w:firstLine="480" w:firstLineChars="200"/>
        <w:jc w:val="left"/>
        <w:rPr>
          <w:rFonts w:hint="eastAsia" w:ascii="宋体" w:hAnsi="宋体" w:eastAsia="宋体" w:cs="宋体"/>
          <w:color w:val="FF0000"/>
          <w:sz w:val="24"/>
          <w:szCs w:val="24"/>
          <w:highlight w:val="none"/>
        </w:rPr>
      </w:pPr>
      <w:r>
        <w:rPr>
          <w:rFonts w:hint="eastAsia" w:ascii="宋体" w:hAnsi="宋体" w:eastAsia="宋体" w:cs="宋体"/>
          <w:sz w:val="24"/>
          <w:szCs w:val="24"/>
          <w:highlight w:val="none"/>
        </w:rPr>
        <w:t>8.其他报价人认为需要提供的资料。</w:t>
      </w:r>
    </w:p>
    <w:p>
      <w:pPr>
        <w:pStyle w:val="11"/>
        <w:adjustRightInd w:val="0"/>
        <w:snapToGrid w:val="0"/>
        <w:spacing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附件：</w:t>
      </w:r>
    </w:p>
    <w:p>
      <w:pPr>
        <w:pStyle w:val="11"/>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1.资格性和符合性审查表</w:t>
      </w:r>
    </w:p>
    <w:p>
      <w:pPr>
        <w:pStyle w:val="11"/>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2.综合评分表</w:t>
      </w:r>
    </w:p>
    <w:p>
      <w:pPr>
        <w:pStyle w:val="11"/>
        <w:adjustRightInd w:val="0"/>
        <w:snapToGrid w:val="0"/>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3.报价表</w:t>
      </w:r>
    </w:p>
    <w:p>
      <w:pPr>
        <w:pStyle w:val="11"/>
        <w:adjustRightInd w:val="0"/>
        <w:snapToGrid w:val="0"/>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4.业绩情况汇总表</w:t>
      </w:r>
    </w:p>
    <w:p>
      <w:pPr>
        <w:pStyle w:val="11"/>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5.项目负责人及其他人员配备情况表</w:t>
      </w:r>
    </w:p>
    <w:p>
      <w:pPr>
        <w:pStyle w:val="11"/>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6.承诺书</w:t>
      </w:r>
    </w:p>
    <w:p>
      <w:pPr>
        <w:pStyle w:val="11"/>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sectPr>
          <w:headerReference r:id="rId6" w:type="default"/>
          <w:pgSz w:w="11906" w:h="16838"/>
          <w:pgMar w:top="1418" w:right="1457" w:bottom="1418" w:left="1457" w:header="851" w:footer="992" w:gutter="0"/>
          <w:cols w:space="720" w:num="1"/>
          <w:docGrid w:type="lines" w:linePitch="312" w:charSpace="0"/>
        </w:sectPr>
      </w:pPr>
    </w:p>
    <w:p>
      <w:pPr>
        <w:pStyle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附件一</w:t>
      </w:r>
    </w:p>
    <w:p>
      <w:pPr>
        <w:pStyle w:val="11"/>
        <w:spacing w:line="360" w:lineRule="auto"/>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资格性和符合性审查表</w:t>
      </w:r>
    </w:p>
    <w:p>
      <w:pPr>
        <w:spacing w:line="360" w:lineRule="auto"/>
        <w:rPr>
          <w:rFonts w:hint="eastAsia" w:ascii="宋体" w:hAnsi="宋体" w:eastAsia="宋体" w:cs="宋体"/>
          <w:szCs w:val="21"/>
          <w:highlight w:val="none"/>
          <w:u w:val="single"/>
        </w:rPr>
      </w:pPr>
      <w:r>
        <w:rPr>
          <w:rFonts w:hint="eastAsia" w:ascii="宋体" w:hAnsi="宋体" w:eastAsia="宋体" w:cs="宋体"/>
          <w:color w:val="000000"/>
          <w:szCs w:val="21"/>
          <w:highlight w:val="none"/>
        </w:rPr>
        <w:t>项目名称：</w:t>
      </w:r>
      <w:r>
        <w:rPr>
          <w:rFonts w:hint="eastAsia" w:ascii="宋体" w:hAnsi="宋体" w:eastAsia="宋体" w:cs="宋体"/>
          <w:szCs w:val="21"/>
          <w:highlight w:val="none"/>
          <w:u w:val="single"/>
          <w:lang w:eastAsia="zh-CN"/>
        </w:rPr>
        <w:t>多宝路、宝源路历史文化街区保护活化利用项目</w:t>
      </w:r>
      <w:r>
        <w:rPr>
          <w:rFonts w:hint="eastAsia" w:ascii="宋体" w:hAnsi="宋体" w:eastAsia="宋体" w:cs="宋体"/>
          <w:szCs w:val="21"/>
          <w:highlight w:val="none"/>
          <w:u w:val="single"/>
        </w:rPr>
        <w:t>可行性研究报告编制</w:t>
      </w:r>
    </w:p>
    <w:tbl>
      <w:tblPr>
        <w:tblStyle w:val="19"/>
        <w:tblW w:w="9199" w:type="dxa"/>
        <w:tblInd w:w="2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983"/>
        <w:gridCol w:w="1133"/>
        <w:gridCol w:w="1133"/>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817" w:type="dxa"/>
            <w:vAlign w:val="center"/>
          </w:tcPr>
          <w:p>
            <w:pPr>
              <w:pStyle w:val="11"/>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4983" w:type="dxa"/>
            <w:vAlign w:val="center"/>
          </w:tcPr>
          <w:p>
            <w:pPr>
              <w:pStyle w:val="11"/>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审查内容</w:t>
            </w:r>
          </w:p>
        </w:tc>
        <w:tc>
          <w:tcPr>
            <w:tcW w:w="1133" w:type="dxa"/>
            <w:vAlign w:val="center"/>
          </w:tcPr>
          <w:p>
            <w:pPr>
              <w:pStyle w:val="11"/>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报价人1</w:t>
            </w:r>
          </w:p>
        </w:tc>
        <w:tc>
          <w:tcPr>
            <w:tcW w:w="1133" w:type="dxa"/>
            <w:vAlign w:val="center"/>
          </w:tcPr>
          <w:p>
            <w:pPr>
              <w:pStyle w:val="11"/>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报价人2</w:t>
            </w:r>
          </w:p>
        </w:tc>
        <w:tc>
          <w:tcPr>
            <w:tcW w:w="1133" w:type="dxa"/>
            <w:vAlign w:val="center"/>
          </w:tcPr>
          <w:p>
            <w:pPr>
              <w:pStyle w:val="11"/>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817" w:type="dxa"/>
            <w:vAlign w:val="center"/>
          </w:tcPr>
          <w:p>
            <w:pPr>
              <w:pStyle w:val="11"/>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4983" w:type="dxa"/>
            <w:vAlign w:val="center"/>
          </w:tcPr>
          <w:p>
            <w:pPr>
              <w:jc w:val="left"/>
              <w:rPr>
                <w:rFonts w:hint="eastAsia" w:ascii="宋体" w:hAnsi="宋体" w:eastAsia="宋体" w:cs="宋体"/>
                <w:szCs w:val="21"/>
                <w:highlight w:val="none"/>
              </w:rPr>
            </w:pPr>
            <w:r>
              <w:rPr>
                <w:rFonts w:hint="eastAsia" w:ascii="宋体" w:hAnsi="宋体" w:eastAsia="宋体" w:cs="宋体"/>
                <w:color w:val="000000"/>
                <w:sz w:val="24"/>
                <w:szCs w:val="24"/>
                <w:highlight w:val="none"/>
              </w:rPr>
              <w:t>报价人具有独立法人资格，持有市场监督（工商行政）管理部门核发的法人营业执照或各级登记管理机关颁发的事业单位法人证书，按国家法律经营。</w:t>
            </w:r>
          </w:p>
        </w:tc>
        <w:tc>
          <w:tcPr>
            <w:tcW w:w="1133" w:type="dxa"/>
          </w:tcPr>
          <w:p>
            <w:pPr>
              <w:pStyle w:val="11"/>
              <w:spacing w:line="360" w:lineRule="auto"/>
              <w:rPr>
                <w:rFonts w:hint="eastAsia" w:ascii="宋体" w:hAnsi="宋体" w:eastAsia="宋体" w:cs="宋体"/>
                <w:color w:val="000000"/>
                <w:sz w:val="24"/>
                <w:szCs w:val="24"/>
                <w:highlight w:val="none"/>
              </w:rPr>
            </w:pPr>
          </w:p>
        </w:tc>
        <w:tc>
          <w:tcPr>
            <w:tcW w:w="1133" w:type="dxa"/>
          </w:tcPr>
          <w:p>
            <w:pPr>
              <w:pStyle w:val="11"/>
              <w:spacing w:line="360" w:lineRule="auto"/>
              <w:rPr>
                <w:rFonts w:hint="eastAsia" w:ascii="宋体" w:hAnsi="宋体" w:eastAsia="宋体" w:cs="宋体"/>
                <w:color w:val="000000"/>
                <w:sz w:val="24"/>
                <w:szCs w:val="24"/>
                <w:highlight w:val="none"/>
              </w:rPr>
            </w:pPr>
          </w:p>
        </w:tc>
        <w:tc>
          <w:tcPr>
            <w:tcW w:w="1133" w:type="dxa"/>
          </w:tcPr>
          <w:p>
            <w:pPr>
              <w:pStyle w:val="11"/>
              <w:spacing w:line="360" w:lineRule="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17" w:type="dxa"/>
            <w:vAlign w:val="center"/>
          </w:tcPr>
          <w:p>
            <w:pPr>
              <w:pStyle w:val="11"/>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4983" w:type="dxa"/>
            <w:vAlign w:val="center"/>
          </w:tcPr>
          <w:p>
            <w:pPr>
              <w:jc w:val="left"/>
              <w:rPr>
                <w:rFonts w:hint="eastAsia" w:ascii="宋体" w:hAnsi="宋体" w:eastAsia="宋体" w:cs="宋体"/>
                <w:kern w:val="0"/>
                <w:szCs w:val="21"/>
                <w:highlight w:val="none"/>
              </w:rPr>
            </w:pPr>
            <w:r>
              <w:rPr>
                <w:rFonts w:hint="eastAsia" w:ascii="宋体" w:hAnsi="宋体" w:eastAsia="宋体" w:cs="宋体"/>
                <w:color w:val="000000"/>
                <w:sz w:val="24"/>
                <w:szCs w:val="24"/>
                <w:highlight w:val="none"/>
              </w:rPr>
              <w:t>项目负责人具有工程类高级工程师职称（或以上）资格及本单位近1个月的社保证明。</w:t>
            </w:r>
          </w:p>
        </w:tc>
        <w:tc>
          <w:tcPr>
            <w:tcW w:w="1133" w:type="dxa"/>
          </w:tcPr>
          <w:p>
            <w:pPr>
              <w:pStyle w:val="11"/>
              <w:spacing w:line="360" w:lineRule="auto"/>
              <w:rPr>
                <w:rFonts w:hint="eastAsia" w:ascii="宋体" w:hAnsi="宋体" w:eastAsia="宋体" w:cs="宋体"/>
                <w:color w:val="000000"/>
                <w:sz w:val="24"/>
                <w:szCs w:val="24"/>
                <w:highlight w:val="none"/>
              </w:rPr>
            </w:pPr>
          </w:p>
        </w:tc>
        <w:tc>
          <w:tcPr>
            <w:tcW w:w="1133" w:type="dxa"/>
          </w:tcPr>
          <w:p>
            <w:pPr>
              <w:pStyle w:val="11"/>
              <w:spacing w:line="360" w:lineRule="auto"/>
              <w:rPr>
                <w:rFonts w:hint="eastAsia" w:ascii="宋体" w:hAnsi="宋体" w:eastAsia="宋体" w:cs="宋体"/>
                <w:color w:val="000000"/>
                <w:sz w:val="24"/>
                <w:szCs w:val="24"/>
                <w:highlight w:val="none"/>
              </w:rPr>
            </w:pPr>
          </w:p>
        </w:tc>
        <w:tc>
          <w:tcPr>
            <w:tcW w:w="1133" w:type="dxa"/>
          </w:tcPr>
          <w:p>
            <w:pPr>
              <w:pStyle w:val="11"/>
              <w:spacing w:line="360" w:lineRule="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17" w:type="dxa"/>
            <w:vAlign w:val="center"/>
          </w:tcPr>
          <w:p>
            <w:pPr>
              <w:pStyle w:val="11"/>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4983" w:type="dxa"/>
            <w:vAlign w:val="center"/>
          </w:tcPr>
          <w:p>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本项目不接受联合体报价。</w:t>
            </w:r>
          </w:p>
        </w:tc>
        <w:tc>
          <w:tcPr>
            <w:tcW w:w="1133" w:type="dxa"/>
          </w:tcPr>
          <w:p>
            <w:pPr>
              <w:pStyle w:val="11"/>
              <w:spacing w:line="360" w:lineRule="auto"/>
              <w:rPr>
                <w:rFonts w:hint="eastAsia" w:ascii="宋体" w:hAnsi="宋体" w:eastAsia="宋体" w:cs="宋体"/>
                <w:color w:val="000000"/>
                <w:sz w:val="24"/>
                <w:szCs w:val="24"/>
                <w:highlight w:val="none"/>
              </w:rPr>
            </w:pPr>
          </w:p>
        </w:tc>
        <w:tc>
          <w:tcPr>
            <w:tcW w:w="1133" w:type="dxa"/>
          </w:tcPr>
          <w:p>
            <w:pPr>
              <w:pStyle w:val="11"/>
              <w:spacing w:line="360" w:lineRule="auto"/>
              <w:rPr>
                <w:rFonts w:hint="eastAsia" w:ascii="宋体" w:hAnsi="宋体" w:eastAsia="宋体" w:cs="宋体"/>
                <w:color w:val="000000"/>
                <w:sz w:val="24"/>
                <w:szCs w:val="24"/>
                <w:highlight w:val="none"/>
              </w:rPr>
            </w:pPr>
          </w:p>
        </w:tc>
        <w:tc>
          <w:tcPr>
            <w:tcW w:w="1133" w:type="dxa"/>
          </w:tcPr>
          <w:p>
            <w:pPr>
              <w:pStyle w:val="11"/>
              <w:spacing w:line="360" w:lineRule="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817" w:type="dxa"/>
            <w:vAlign w:val="center"/>
          </w:tcPr>
          <w:p>
            <w:pPr>
              <w:pStyle w:val="11"/>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p>
        </w:tc>
        <w:tc>
          <w:tcPr>
            <w:tcW w:w="4983" w:type="dxa"/>
            <w:vAlign w:val="center"/>
          </w:tcPr>
          <w:p>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报价总金额是固定价且是唯一的，未超过本项目最高报价限价，有效报价下浮率为0-20%。</w:t>
            </w:r>
          </w:p>
        </w:tc>
        <w:tc>
          <w:tcPr>
            <w:tcW w:w="1133" w:type="dxa"/>
          </w:tcPr>
          <w:p>
            <w:pPr>
              <w:pStyle w:val="11"/>
              <w:spacing w:line="360" w:lineRule="auto"/>
              <w:rPr>
                <w:rFonts w:hint="eastAsia" w:ascii="宋体" w:hAnsi="宋体" w:eastAsia="宋体" w:cs="宋体"/>
                <w:color w:val="000000"/>
                <w:sz w:val="24"/>
                <w:szCs w:val="24"/>
                <w:highlight w:val="none"/>
              </w:rPr>
            </w:pPr>
          </w:p>
        </w:tc>
        <w:tc>
          <w:tcPr>
            <w:tcW w:w="1133" w:type="dxa"/>
          </w:tcPr>
          <w:p>
            <w:pPr>
              <w:pStyle w:val="11"/>
              <w:spacing w:line="360" w:lineRule="auto"/>
              <w:rPr>
                <w:rFonts w:hint="eastAsia" w:ascii="宋体" w:hAnsi="宋体" w:eastAsia="宋体" w:cs="宋体"/>
                <w:color w:val="000000"/>
                <w:sz w:val="24"/>
                <w:szCs w:val="24"/>
                <w:highlight w:val="none"/>
              </w:rPr>
            </w:pPr>
          </w:p>
        </w:tc>
        <w:tc>
          <w:tcPr>
            <w:tcW w:w="1133" w:type="dxa"/>
          </w:tcPr>
          <w:p>
            <w:pPr>
              <w:pStyle w:val="11"/>
              <w:spacing w:line="360" w:lineRule="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17" w:type="dxa"/>
            <w:vAlign w:val="center"/>
          </w:tcPr>
          <w:p>
            <w:pPr>
              <w:pStyle w:val="11"/>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w:t>
            </w:r>
          </w:p>
        </w:tc>
        <w:tc>
          <w:tcPr>
            <w:tcW w:w="4983" w:type="dxa"/>
            <w:vAlign w:val="center"/>
          </w:tcPr>
          <w:p>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报价文件按询比文件的要求编制、签署及盖章。</w:t>
            </w:r>
          </w:p>
        </w:tc>
        <w:tc>
          <w:tcPr>
            <w:tcW w:w="1133" w:type="dxa"/>
          </w:tcPr>
          <w:p>
            <w:pPr>
              <w:pStyle w:val="11"/>
              <w:spacing w:line="360" w:lineRule="auto"/>
              <w:rPr>
                <w:rFonts w:hint="eastAsia" w:ascii="宋体" w:hAnsi="宋体" w:eastAsia="宋体" w:cs="宋体"/>
                <w:color w:val="000000"/>
                <w:sz w:val="24"/>
                <w:szCs w:val="24"/>
                <w:highlight w:val="none"/>
              </w:rPr>
            </w:pPr>
          </w:p>
        </w:tc>
        <w:tc>
          <w:tcPr>
            <w:tcW w:w="1133" w:type="dxa"/>
          </w:tcPr>
          <w:p>
            <w:pPr>
              <w:pStyle w:val="11"/>
              <w:spacing w:line="360" w:lineRule="auto"/>
              <w:rPr>
                <w:rFonts w:hint="eastAsia" w:ascii="宋体" w:hAnsi="宋体" w:eastAsia="宋体" w:cs="宋体"/>
                <w:color w:val="000000"/>
                <w:sz w:val="24"/>
                <w:szCs w:val="24"/>
                <w:highlight w:val="none"/>
              </w:rPr>
            </w:pPr>
          </w:p>
        </w:tc>
        <w:tc>
          <w:tcPr>
            <w:tcW w:w="1133" w:type="dxa"/>
          </w:tcPr>
          <w:p>
            <w:pPr>
              <w:pStyle w:val="11"/>
              <w:spacing w:line="360" w:lineRule="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5800" w:type="dxa"/>
            <w:gridSpan w:val="2"/>
            <w:vAlign w:val="center"/>
          </w:tcPr>
          <w:p>
            <w:pPr>
              <w:pStyle w:val="11"/>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结论</w:t>
            </w:r>
          </w:p>
        </w:tc>
        <w:tc>
          <w:tcPr>
            <w:tcW w:w="1133" w:type="dxa"/>
          </w:tcPr>
          <w:p>
            <w:pPr>
              <w:pStyle w:val="11"/>
              <w:spacing w:line="360" w:lineRule="auto"/>
              <w:rPr>
                <w:rFonts w:hint="eastAsia" w:ascii="宋体" w:hAnsi="宋体" w:eastAsia="宋体" w:cs="宋体"/>
                <w:color w:val="000000"/>
                <w:sz w:val="24"/>
                <w:szCs w:val="24"/>
                <w:highlight w:val="none"/>
              </w:rPr>
            </w:pPr>
          </w:p>
        </w:tc>
        <w:tc>
          <w:tcPr>
            <w:tcW w:w="1133" w:type="dxa"/>
          </w:tcPr>
          <w:p>
            <w:pPr>
              <w:pStyle w:val="11"/>
              <w:spacing w:line="360" w:lineRule="auto"/>
              <w:rPr>
                <w:rFonts w:hint="eastAsia" w:ascii="宋体" w:hAnsi="宋体" w:eastAsia="宋体" w:cs="宋体"/>
                <w:color w:val="000000"/>
                <w:sz w:val="24"/>
                <w:szCs w:val="24"/>
                <w:highlight w:val="none"/>
              </w:rPr>
            </w:pPr>
          </w:p>
        </w:tc>
        <w:tc>
          <w:tcPr>
            <w:tcW w:w="1133" w:type="dxa"/>
          </w:tcPr>
          <w:p>
            <w:pPr>
              <w:pStyle w:val="11"/>
              <w:spacing w:line="360" w:lineRule="auto"/>
              <w:rPr>
                <w:rFonts w:hint="eastAsia" w:ascii="宋体" w:hAnsi="宋体" w:eastAsia="宋体" w:cs="宋体"/>
                <w:color w:val="000000"/>
                <w:sz w:val="24"/>
                <w:szCs w:val="24"/>
                <w:highlight w:val="none"/>
              </w:rPr>
            </w:pPr>
          </w:p>
        </w:tc>
      </w:tr>
    </w:tbl>
    <w:p>
      <w:pPr>
        <w:pStyle w:val="11"/>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注：1. 每一项符合的打“√”，不符合的打“×”。</w:t>
      </w:r>
    </w:p>
    <w:p>
      <w:pPr>
        <w:pStyle w:val="11"/>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 “结论”一栏填写“通过”或“不通过”；任何一项出现“×”的，结论为不通过；不通过的为无效报价。</w:t>
      </w:r>
    </w:p>
    <w:p>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br w:type="page"/>
      </w:r>
    </w:p>
    <w:p>
      <w:pPr>
        <w:widowControl/>
        <w:shd w:val="clear" w:color="auto" w:fill="FFFFFF"/>
        <w:spacing w:before="150" w:after="15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附件二</w:t>
      </w:r>
    </w:p>
    <w:p>
      <w:pPr>
        <w:widowControl/>
        <w:shd w:val="clear" w:color="auto" w:fill="FFFFFF"/>
        <w:spacing w:before="150" w:after="150"/>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综合评分表</w:t>
      </w:r>
    </w:p>
    <w:tbl>
      <w:tblPr>
        <w:tblStyle w:val="19"/>
        <w:tblpPr w:leftFromText="180" w:rightFromText="180" w:vertAnchor="text" w:horzAnchor="page" w:tblpX="1342" w:tblpY="637"/>
        <w:tblOverlap w:val="never"/>
        <w:tblW w:w="9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037"/>
        <w:gridCol w:w="7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763" w:type="dxa"/>
            <w:shd w:val="clear" w:color="auto" w:fill="FFFFFF"/>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类别</w:t>
            </w:r>
          </w:p>
        </w:tc>
        <w:tc>
          <w:tcPr>
            <w:tcW w:w="1037" w:type="dxa"/>
            <w:shd w:val="clear" w:color="auto" w:fill="FFFFFF"/>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评审项目</w:t>
            </w:r>
          </w:p>
        </w:tc>
        <w:tc>
          <w:tcPr>
            <w:tcW w:w="7750" w:type="dxa"/>
            <w:shd w:val="clear" w:color="auto" w:fill="FFFFFF"/>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763" w:type="dxa"/>
            <w:vMerge w:val="restart"/>
            <w:shd w:val="clear" w:color="auto" w:fill="FFFFFF"/>
            <w:vAlign w:val="center"/>
          </w:tcPr>
          <w:p>
            <w:pPr>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商务技术部分</w:t>
            </w:r>
          </w:p>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（80分）</w:t>
            </w:r>
          </w:p>
        </w:tc>
        <w:tc>
          <w:tcPr>
            <w:tcW w:w="1037" w:type="dxa"/>
            <w:shd w:val="clear" w:color="auto" w:fill="FFFFFF"/>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企业资质（10分）</w:t>
            </w:r>
          </w:p>
        </w:tc>
        <w:tc>
          <w:tcPr>
            <w:tcW w:w="7750" w:type="dxa"/>
            <w:shd w:val="clear" w:color="auto" w:fill="FFFFFF"/>
            <w:vAlign w:val="center"/>
          </w:tcPr>
          <w:p>
            <w:pPr>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1.具有工程咨询单位甲级资信证书（城市规划专业或建筑、市政公用工程专业）的，得5分；具有工程咨询单位乙级资信证书（城市规划专业或建筑、市政公用工程专业）的，得2分。</w:t>
            </w:r>
          </w:p>
          <w:p>
            <w:pPr>
              <w:pStyle w:val="2"/>
              <w:rPr>
                <w:rFonts w:hint="eastAsia" w:ascii="宋体" w:hAnsi="宋体" w:eastAsia="宋体" w:cs="宋体"/>
                <w:highlight w:val="none"/>
              </w:rPr>
            </w:pPr>
            <w:r>
              <w:rPr>
                <w:rFonts w:hint="eastAsia" w:ascii="宋体" w:hAnsi="宋体" w:eastAsia="宋体" w:cs="宋体"/>
                <w:highlight w:val="none"/>
              </w:rPr>
              <w:t>2.具有城乡规划编制资质甲级证书或</w:t>
            </w:r>
            <w:r>
              <w:rPr>
                <w:rFonts w:hint="eastAsia" w:ascii="宋体" w:hAnsi="宋体" w:eastAsia="宋体" w:cs="宋体"/>
                <w:szCs w:val="21"/>
                <w:highlight w:val="none"/>
              </w:rPr>
              <w:t>测绘资质甲级证书的</w:t>
            </w:r>
            <w:r>
              <w:rPr>
                <w:rFonts w:hint="eastAsia" w:ascii="宋体" w:hAnsi="宋体" w:eastAsia="宋体" w:cs="宋体"/>
                <w:highlight w:val="none"/>
              </w:rPr>
              <w:t>，得5分；具有城乡规划编制资质乙级证书或</w:t>
            </w:r>
            <w:r>
              <w:rPr>
                <w:rFonts w:hint="eastAsia" w:ascii="宋体" w:hAnsi="宋体" w:eastAsia="宋体" w:cs="宋体"/>
                <w:szCs w:val="21"/>
                <w:highlight w:val="none"/>
              </w:rPr>
              <w:t>测绘资质乙级证书的</w:t>
            </w:r>
            <w:r>
              <w:rPr>
                <w:rFonts w:hint="eastAsia" w:ascii="宋体" w:hAnsi="宋体" w:eastAsia="宋体" w:cs="宋体"/>
                <w:highlight w:val="none"/>
              </w:rPr>
              <w:t>，得2分；没有不得分。</w:t>
            </w:r>
          </w:p>
          <w:p>
            <w:pPr>
              <w:pStyle w:val="2"/>
              <w:rPr>
                <w:rFonts w:hint="eastAsia" w:ascii="宋体" w:hAnsi="宋体" w:eastAsia="宋体" w:cs="宋体"/>
                <w:highlight w:val="none"/>
              </w:rPr>
            </w:pPr>
            <w:r>
              <w:rPr>
                <w:rFonts w:hint="eastAsia" w:ascii="宋体" w:hAnsi="宋体" w:eastAsia="宋体" w:cs="宋体"/>
                <w:highlight w:val="none"/>
              </w:rPr>
              <w:t>本项合计最高得分10分。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6" w:hRule="atLeast"/>
        </w:trPr>
        <w:tc>
          <w:tcPr>
            <w:tcW w:w="763" w:type="dxa"/>
            <w:vMerge w:val="continue"/>
            <w:shd w:val="clear" w:color="auto" w:fill="FFFFFF"/>
          </w:tcPr>
          <w:p>
            <w:pPr>
              <w:adjustRightInd w:val="0"/>
              <w:snapToGrid w:val="0"/>
              <w:jc w:val="center"/>
              <w:rPr>
                <w:rFonts w:hint="eastAsia" w:ascii="宋体" w:hAnsi="宋体" w:eastAsia="宋体" w:cs="宋体"/>
                <w:szCs w:val="21"/>
                <w:highlight w:val="none"/>
              </w:rPr>
            </w:pPr>
          </w:p>
        </w:tc>
        <w:tc>
          <w:tcPr>
            <w:tcW w:w="1037" w:type="dxa"/>
            <w:shd w:val="clear" w:color="auto" w:fill="FFFFFF"/>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企业信用（</w:t>
            </w:r>
            <w:r>
              <w:rPr>
                <w:rFonts w:hint="eastAsia" w:ascii="宋体" w:hAnsi="宋体" w:eastAsia="宋体" w:cs="宋体"/>
                <w:szCs w:val="21"/>
                <w:highlight w:val="none"/>
                <w:lang w:val="en-US" w:eastAsia="zh-CN"/>
              </w:rPr>
              <w:t>8</w:t>
            </w:r>
            <w:r>
              <w:rPr>
                <w:rFonts w:hint="eastAsia" w:ascii="宋体" w:hAnsi="宋体" w:eastAsia="宋体" w:cs="宋体"/>
                <w:szCs w:val="21"/>
                <w:highlight w:val="none"/>
              </w:rPr>
              <w:t>分）</w:t>
            </w:r>
          </w:p>
        </w:tc>
        <w:tc>
          <w:tcPr>
            <w:tcW w:w="7750" w:type="dxa"/>
            <w:shd w:val="clear" w:color="auto" w:fill="FFFFFF"/>
            <w:vAlign w:val="center"/>
          </w:tcPr>
          <w:p>
            <w:pPr>
              <w:adjustRightInd w:val="0"/>
              <w:snapToGrid w:val="0"/>
              <w:rPr>
                <w:rFonts w:hint="eastAsia" w:ascii="宋体" w:hAnsi="宋体" w:eastAsia="宋体" w:cs="宋体"/>
                <w:b/>
                <w:szCs w:val="21"/>
                <w:highlight w:val="none"/>
              </w:rPr>
            </w:pPr>
            <w:r>
              <w:rPr>
                <w:rFonts w:hint="eastAsia" w:ascii="宋体" w:hAnsi="宋体" w:eastAsia="宋体" w:cs="宋体"/>
                <w:szCs w:val="21"/>
                <w:highlight w:val="none"/>
              </w:rPr>
              <w:t>具有至可查询年度倒推，连续获得守合同重信用企业称号年限：连续15年（不含15年）以上的得</w:t>
            </w:r>
            <w:r>
              <w:rPr>
                <w:rFonts w:hint="eastAsia" w:ascii="宋体" w:hAnsi="宋体" w:eastAsia="宋体" w:cs="宋体"/>
                <w:szCs w:val="21"/>
                <w:highlight w:val="none"/>
                <w:lang w:val="en-US" w:eastAsia="zh-CN"/>
              </w:rPr>
              <w:t>8</w:t>
            </w:r>
            <w:r>
              <w:rPr>
                <w:rFonts w:hint="eastAsia" w:ascii="宋体" w:hAnsi="宋体" w:eastAsia="宋体" w:cs="宋体"/>
                <w:szCs w:val="21"/>
                <w:highlight w:val="none"/>
              </w:rPr>
              <w:t>分；连续10年（不含）至15年（含）的得</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分；连续5年（不含）至10年（含）的得</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分；连续5年及以下的得</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分；没有的不得分。本项最高得</w:t>
            </w:r>
            <w:r>
              <w:rPr>
                <w:rFonts w:hint="eastAsia" w:ascii="宋体" w:hAnsi="宋体" w:eastAsia="宋体" w:cs="宋体"/>
                <w:szCs w:val="21"/>
                <w:highlight w:val="none"/>
                <w:lang w:val="en-US" w:eastAsia="zh-CN"/>
              </w:rPr>
              <w:t>8</w:t>
            </w:r>
            <w:r>
              <w:rPr>
                <w:rFonts w:hint="eastAsia" w:ascii="宋体" w:hAnsi="宋体" w:eastAsia="宋体" w:cs="宋体"/>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trPr>
        <w:tc>
          <w:tcPr>
            <w:tcW w:w="763" w:type="dxa"/>
            <w:vMerge w:val="continue"/>
            <w:shd w:val="clear" w:color="auto" w:fill="FFFFFF"/>
          </w:tcPr>
          <w:p>
            <w:pPr>
              <w:adjustRightInd w:val="0"/>
              <w:snapToGrid w:val="0"/>
              <w:jc w:val="center"/>
              <w:rPr>
                <w:rFonts w:hint="eastAsia" w:ascii="宋体" w:hAnsi="宋体" w:eastAsia="宋体" w:cs="宋体"/>
                <w:szCs w:val="21"/>
                <w:highlight w:val="none"/>
              </w:rPr>
            </w:pPr>
          </w:p>
        </w:tc>
        <w:tc>
          <w:tcPr>
            <w:tcW w:w="1037" w:type="dxa"/>
            <w:shd w:val="clear" w:color="auto" w:fill="FFFFFF"/>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体系认证（</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分）</w:t>
            </w:r>
          </w:p>
        </w:tc>
        <w:tc>
          <w:tcPr>
            <w:tcW w:w="7750" w:type="dxa"/>
            <w:shd w:val="clear" w:color="auto" w:fill="FFFFFF"/>
            <w:vAlign w:val="center"/>
          </w:tcPr>
          <w:p>
            <w:pPr>
              <w:pStyle w:val="2"/>
              <w:rPr>
                <w:rFonts w:hint="eastAsia" w:ascii="宋体" w:hAnsi="宋体" w:eastAsia="宋体" w:cs="宋体"/>
                <w:highlight w:val="none"/>
              </w:rPr>
            </w:pPr>
            <w:r>
              <w:rPr>
                <w:rFonts w:hint="eastAsia" w:ascii="宋体" w:hAnsi="宋体" w:eastAsia="宋体" w:cs="宋体"/>
                <w:highlight w:val="none"/>
              </w:rPr>
              <w:t>具有有效的质量管理、环境管理、职业健康安全管理体系认证证书的，每提供1项得</w:t>
            </w:r>
            <w:r>
              <w:rPr>
                <w:rFonts w:hint="eastAsia" w:ascii="宋体" w:hAnsi="宋体" w:eastAsia="宋体" w:cs="宋体"/>
                <w:highlight w:val="none"/>
                <w:lang w:val="en-US" w:eastAsia="zh-CN"/>
              </w:rPr>
              <w:t>2</w:t>
            </w:r>
            <w:r>
              <w:rPr>
                <w:rFonts w:hint="eastAsia" w:ascii="宋体" w:hAnsi="宋体" w:eastAsia="宋体" w:cs="宋体"/>
                <w:highlight w:val="none"/>
              </w:rPr>
              <w:t>分，最高得</w:t>
            </w:r>
            <w:r>
              <w:rPr>
                <w:rFonts w:hint="eastAsia" w:ascii="宋体" w:hAnsi="宋体" w:eastAsia="宋体" w:cs="宋体"/>
                <w:highlight w:val="none"/>
                <w:lang w:val="en-US" w:eastAsia="zh-CN"/>
              </w:rPr>
              <w:t>6</w:t>
            </w:r>
            <w:r>
              <w:rPr>
                <w:rFonts w:hint="eastAsia" w:ascii="宋体" w:hAnsi="宋体" w:eastAsia="宋体" w:cs="宋体"/>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5" w:hRule="atLeast"/>
        </w:trPr>
        <w:tc>
          <w:tcPr>
            <w:tcW w:w="763" w:type="dxa"/>
            <w:vMerge w:val="continue"/>
            <w:shd w:val="clear" w:color="auto" w:fill="FFFFFF"/>
          </w:tcPr>
          <w:p>
            <w:pPr>
              <w:adjustRightInd w:val="0"/>
              <w:snapToGrid w:val="0"/>
              <w:jc w:val="center"/>
              <w:rPr>
                <w:rFonts w:hint="eastAsia" w:ascii="宋体" w:hAnsi="宋体" w:eastAsia="宋体" w:cs="宋体"/>
                <w:szCs w:val="21"/>
                <w:highlight w:val="none"/>
              </w:rPr>
            </w:pPr>
          </w:p>
        </w:tc>
        <w:tc>
          <w:tcPr>
            <w:tcW w:w="1037" w:type="dxa"/>
            <w:shd w:val="clear" w:color="auto" w:fill="FFFFFF"/>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企业业绩（1</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分）</w:t>
            </w:r>
          </w:p>
        </w:tc>
        <w:tc>
          <w:tcPr>
            <w:tcW w:w="7750" w:type="dxa"/>
            <w:shd w:val="clear" w:color="auto" w:fill="FFFFFF"/>
            <w:vAlign w:val="center"/>
          </w:tcPr>
          <w:p>
            <w:pPr>
              <w:adjustRightInd w:val="0"/>
              <w:snapToGrid w:val="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2019年1月1日至今完成过投资额</w:t>
            </w:r>
            <w:r>
              <w:rPr>
                <w:rFonts w:hint="eastAsia" w:ascii="宋体" w:hAnsi="宋体" w:eastAsia="宋体" w:cs="宋体"/>
                <w:szCs w:val="21"/>
                <w:highlight w:val="none"/>
                <w:lang w:val="en-US" w:eastAsia="zh-CN"/>
              </w:rPr>
              <w:t>9</w:t>
            </w:r>
            <w:r>
              <w:rPr>
                <w:rFonts w:hint="eastAsia" w:ascii="宋体" w:hAnsi="宋体" w:eastAsia="宋体" w:cs="宋体"/>
                <w:szCs w:val="21"/>
                <w:highlight w:val="none"/>
              </w:rPr>
              <w:t>亿元或以上工程项目的项目建议书或可行性研究报告编制工作的，每项得2分，本项最高得10分。</w:t>
            </w:r>
          </w:p>
          <w:p>
            <w:pPr>
              <w:adjustRightInd w:val="0"/>
              <w:snapToGrid w:val="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2019年1月1日至今完成过</w:t>
            </w:r>
            <w:r>
              <w:rPr>
                <w:rFonts w:hint="eastAsia" w:ascii="宋体" w:hAnsi="宋体" w:eastAsia="宋体" w:cs="宋体"/>
                <w:szCs w:val="21"/>
                <w:highlight w:val="none"/>
                <w:lang w:eastAsia="zh-CN"/>
              </w:rPr>
              <w:t>类似</w:t>
            </w:r>
            <w:r>
              <w:rPr>
                <w:rFonts w:hint="eastAsia" w:ascii="宋体" w:hAnsi="宋体" w:eastAsia="宋体" w:cs="宋体"/>
                <w:szCs w:val="21"/>
                <w:highlight w:val="none"/>
              </w:rPr>
              <w:t>工程项目的</w:t>
            </w:r>
            <w:r>
              <w:rPr>
                <w:rFonts w:hint="eastAsia" w:ascii="宋体" w:hAnsi="宋体" w:eastAsia="宋体" w:cs="宋体"/>
                <w:szCs w:val="21"/>
                <w:highlight w:val="none"/>
                <w:lang w:eastAsia="zh-CN"/>
              </w:rPr>
              <w:t>建设方案或实施方案</w:t>
            </w:r>
            <w:r>
              <w:rPr>
                <w:rFonts w:hint="eastAsia" w:ascii="宋体" w:hAnsi="宋体" w:eastAsia="宋体" w:cs="宋体"/>
                <w:szCs w:val="21"/>
                <w:highlight w:val="none"/>
              </w:rPr>
              <w:t>编制工作的，每项得</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分，本项最高得</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分。</w:t>
            </w:r>
          </w:p>
          <w:p>
            <w:pPr>
              <w:adjustRightInd w:val="0"/>
              <w:snapToGrid w:val="0"/>
              <w:rPr>
                <w:rFonts w:hint="eastAsia" w:ascii="宋体" w:hAnsi="宋体" w:eastAsia="宋体" w:cs="宋体"/>
                <w:b/>
                <w:szCs w:val="21"/>
                <w:highlight w:val="none"/>
              </w:rPr>
            </w:pPr>
            <w:r>
              <w:rPr>
                <w:rFonts w:hint="eastAsia" w:ascii="宋体" w:hAnsi="宋体" w:eastAsia="宋体" w:cs="宋体"/>
                <w:szCs w:val="21"/>
                <w:highlight w:val="none"/>
              </w:rPr>
              <w:t>注：</w:t>
            </w:r>
            <w:r>
              <w:rPr>
                <w:rFonts w:hint="eastAsia" w:ascii="宋体" w:hAnsi="宋体" w:eastAsia="宋体" w:cs="宋体"/>
                <w:szCs w:val="21"/>
                <w:highlight w:val="none"/>
                <w:lang w:eastAsia="zh-CN"/>
              </w:rPr>
              <w:t>项目建议书或可行性研究报告业绩</w:t>
            </w:r>
            <w:r>
              <w:rPr>
                <w:rFonts w:hint="eastAsia" w:ascii="宋体" w:hAnsi="宋体" w:eastAsia="宋体" w:cs="宋体"/>
                <w:highlight w:val="none"/>
              </w:rPr>
              <w:t>须提</w:t>
            </w:r>
            <w:r>
              <w:rPr>
                <w:rFonts w:hint="eastAsia" w:ascii="宋体" w:hAnsi="宋体" w:eastAsia="宋体" w:cs="宋体"/>
                <w:szCs w:val="21"/>
                <w:highlight w:val="none"/>
              </w:rPr>
              <w:t>供合同和批复文件关键页复印件</w:t>
            </w:r>
            <w:r>
              <w:rPr>
                <w:rFonts w:hint="eastAsia" w:ascii="宋体" w:hAnsi="宋体" w:eastAsia="宋体" w:cs="宋体"/>
                <w:szCs w:val="21"/>
                <w:highlight w:val="none"/>
                <w:lang w:eastAsia="zh-CN"/>
              </w:rPr>
              <w:t>；建设方案或实施方案业绩须提供相关证明文件</w:t>
            </w:r>
            <w:r>
              <w:rPr>
                <w:rFonts w:hint="eastAsia" w:ascii="宋体" w:hAnsi="宋体" w:eastAsia="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763" w:type="dxa"/>
            <w:vMerge w:val="continue"/>
            <w:shd w:val="clear" w:color="auto" w:fill="FFFFFF"/>
          </w:tcPr>
          <w:p>
            <w:pPr>
              <w:adjustRightInd w:val="0"/>
              <w:snapToGrid w:val="0"/>
              <w:jc w:val="center"/>
              <w:rPr>
                <w:rFonts w:hint="eastAsia" w:ascii="宋体" w:hAnsi="宋体" w:eastAsia="宋体" w:cs="宋体"/>
                <w:szCs w:val="21"/>
                <w:highlight w:val="none"/>
              </w:rPr>
            </w:pPr>
          </w:p>
        </w:tc>
        <w:tc>
          <w:tcPr>
            <w:tcW w:w="1037" w:type="dxa"/>
            <w:shd w:val="clear" w:color="auto" w:fill="FFFFFF"/>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获奖情况（15分）</w:t>
            </w:r>
          </w:p>
        </w:tc>
        <w:tc>
          <w:tcPr>
            <w:tcW w:w="7750" w:type="dxa"/>
            <w:shd w:val="clear" w:color="auto" w:fill="FFFFFF"/>
            <w:vAlign w:val="center"/>
          </w:tcPr>
          <w:p>
            <w:pPr>
              <w:autoSpaceDE w:val="0"/>
              <w:autoSpaceDN w:val="0"/>
              <w:adjustRightInd w:val="0"/>
              <w:spacing w:line="260" w:lineRule="exact"/>
              <w:rPr>
                <w:rFonts w:hint="eastAsia" w:ascii="宋体" w:hAnsi="宋体" w:eastAsia="宋体" w:cs="宋体"/>
                <w:szCs w:val="21"/>
                <w:highlight w:val="none"/>
              </w:rPr>
            </w:pPr>
            <w:r>
              <w:rPr>
                <w:rFonts w:hint="eastAsia" w:ascii="宋体" w:hAnsi="宋体" w:eastAsia="宋体" w:cs="宋体"/>
                <w:szCs w:val="21"/>
                <w:highlight w:val="none"/>
              </w:rPr>
              <w:t>1.2019年1月1日至今获省级优秀工程咨询成果奖的，每项得3分；</w:t>
            </w:r>
          </w:p>
          <w:p>
            <w:pPr>
              <w:autoSpaceDE w:val="0"/>
              <w:autoSpaceDN w:val="0"/>
              <w:adjustRightInd w:val="0"/>
              <w:spacing w:line="260" w:lineRule="exact"/>
              <w:rPr>
                <w:rFonts w:hint="eastAsia" w:ascii="宋体" w:hAnsi="宋体" w:eastAsia="宋体" w:cs="宋体"/>
                <w:szCs w:val="21"/>
                <w:highlight w:val="none"/>
              </w:rPr>
            </w:pPr>
            <w:r>
              <w:rPr>
                <w:rFonts w:hint="eastAsia" w:ascii="宋体" w:hAnsi="宋体" w:eastAsia="宋体" w:cs="宋体"/>
                <w:szCs w:val="21"/>
                <w:highlight w:val="none"/>
              </w:rPr>
              <w:t>2.2019年1月1日至今获得全国优秀工程咨询成果奖的，每项得5分。</w:t>
            </w:r>
          </w:p>
          <w:p>
            <w:pPr>
              <w:autoSpaceDE w:val="0"/>
              <w:autoSpaceDN w:val="0"/>
              <w:adjustRightInd w:val="0"/>
              <w:spacing w:line="260" w:lineRule="exact"/>
              <w:rPr>
                <w:rFonts w:hint="eastAsia" w:ascii="宋体" w:hAnsi="宋体" w:eastAsia="宋体" w:cs="宋体"/>
                <w:szCs w:val="21"/>
                <w:highlight w:val="none"/>
              </w:rPr>
            </w:pPr>
            <w:r>
              <w:rPr>
                <w:rFonts w:hint="eastAsia" w:ascii="宋体" w:hAnsi="宋体" w:eastAsia="宋体" w:cs="宋体"/>
                <w:szCs w:val="21"/>
                <w:highlight w:val="none"/>
              </w:rPr>
              <w:t>本项合计最高得15分。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trPr>
        <w:tc>
          <w:tcPr>
            <w:tcW w:w="763" w:type="dxa"/>
            <w:vMerge w:val="continue"/>
            <w:shd w:val="clear" w:color="auto" w:fill="FFFFFF"/>
          </w:tcPr>
          <w:p>
            <w:pPr>
              <w:adjustRightInd w:val="0"/>
              <w:snapToGrid w:val="0"/>
              <w:jc w:val="center"/>
              <w:rPr>
                <w:rFonts w:hint="eastAsia" w:ascii="宋体" w:hAnsi="宋体" w:eastAsia="宋体" w:cs="宋体"/>
                <w:szCs w:val="21"/>
                <w:highlight w:val="none"/>
              </w:rPr>
            </w:pPr>
          </w:p>
        </w:tc>
        <w:tc>
          <w:tcPr>
            <w:tcW w:w="1037" w:type="dxa"/>
            <w:shd w:val="clear" w:color="auto" w:fill="FFFFFF"/>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项目负责人（6分）</w:t>
            </w:r>
          </w:p>
        </w:tc>
        <w:tc>
          <w:tcPr>
            <w:tcW w:w="7750" w:type="dxa"/>
            <w:shd w:val="clear" w:color="auto" w:fill="FFFFFF"/>
            <w:vAlign w:val="center"/>
          </w:tcPr>
          <w:p>
            <w:pPr>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项目负责人：</w:t>
            </w:r>
          </w:p>
          <w:p>
            <w:pPr>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1.具备注册城市规划师的得3分；没有的不得分。</w:t>
            </w:r>
          </w:p>
          <w:p>
            <w:pPr>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2.具备一级注册建筑师的得3分；具备二级注册建筑师的得1分；没有的不得分。</w:t>
            </w:r>
          </w:p>
          <w:p>
            <w:pPr>
              <w:pStyle w:val="2"/>
              <w:rPr>
                <w:rFonts w:hint="eastAsia" w:ascii="宋体" w:hAnsi="宋体" w:eastAsia="宋体" w:cs="宋体"/>
                <w:highlight w:val="none"/>
              </w:rPr>
            </w:pPr>
            <w:r>
              <w:rPr>
                <w:rFonts w:hint="eastAsia" w:ascii="宋体" w:hAnsi="宋体" w:eastAsia="宋体" w:cs="宋体"/>
                <w:highlight w:val="none"/>
              </w:rPr>
              <w:t>本项最高得6分。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8" w:hRule="atLeast"/>
        </w:trPr>
        <w:tc>
          <w:tcPr>
            <w:tcW w:w="763" w:type="dxa"/>
            <w:vMerge w:val="continue"/>
            <w:shd w:val="clear" w:color="auto" w:fill="FFFFFF"/>
          </w:tcPr>
          <w:p>
            <w:pPr>
              <w:adjustRightInd w:val="0"/>
              <w:snapToGrid w:val="0"/>
              <w:jc w:val="center"/>
              <w:rPr>
                <w:rFonts w:hint="eastAsia" w:ascii="宋体" w:hAnsi="宋体" w:eastAsia="宋体" w:cs="宋体"/>
                <w:szCs w:val="21"/>
                <w:highlight w:val="none"/>
              </w:rPr>
            </w:pPr>
          </w:p>
        </w:tc>
        <w:tc>
          <w:tcPr>
            <w:tcW w:w="1037" w:type="dxa"/>
            <w:shd w:val="clear" w:color="auto" w:fill="FFFFFF"/>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人员配备（20分）</w:t>
            </w:r>
          </w:p>
        </w:tc>
        <w:tc>
          <w:tcPr>
            <w:tcW w:w="7750" w:type="dxa"/>
            <w:shd w:val="clear" w:color="auto" w:fill="FFFFFF"/>
            <w:vAlign w:val="center"/>
          </w:tcPr>
          <w:p>
            <w:pPr>
              <w:autoSpaceDE w:val="0"/>
              <w:autoSpaceDN w:val="0"/>
              <w:snapToGrid w:val="0"/>
              <w:rPr>
                <w:rFonts w:hint="eastAsia" w:ascii="宋体" w:hAnsi="宋体" w:eastAsia="宋体" w:cs="宋体"/>
                <w:highlight w:val="none"/>
              </w:rPr>
            </w:pPr>
            <w:r>
              <w:rPr>
                <w:rFonts w:hint="eastAsia" w:ascii="宋体" w:hAnsi="宋体" w:eastAsia="宋体" w:cs="宋体"/>
                <w:highlight w:val="none"/>
              </w:rPr>
              <w:t>项目组成员具备以下专业人员（除项目负责人外）：</w:t>
            </w:r>
          </w:p>
          <w:p>
            <w:pPr>
              <w:autoSpaceDE w:val="0"/>
              <w:autoSpaceDN w:val="0"/>
              <w:snapToGrid w:val="0"/>
              <w:rPr>
                <w:rFonts w:hint="eastAsia" w:ascii="宋体" w:hAnsi="宋体" w:eastAsia="宋体" w:cs="宋体"/>
                <w:highlight w:val="none"/>
              </w:rPr>
            </w:pPr>
            <w:r>
              <w:rPr>
                <w:rFonts w:hint="eastAsia" w:ascii="宋体" w:hAnsi="宋体" w:eastAsia="宋体" w:cs="宋体"/>
                <w:highlight w:val="none"/>
              </w:rPr>
              <w:t>1.具备二级（或以上）注册建筑师1人或以上、二级（或以上）注册结构工程师1人或以上、注册城市规划师1人或以上、注册公用设备师（电气）1人或以上、注册公用设备师（给排水）1人或以上、注册造价师1人或以上、注册咨询师1人或以上，每提供1种专业人员的得2分；其他的不得分。最高得14分。</w:t>
            </w:r>
          </w:p>
          <w:p>
            <w:pPr>
              <w:autoSpaceDE w:val="0"/>
              <w:autoSpaceDN w:val="0"/>
              <w:snapToGrid w:val="0"/>
              <w:rPr>
                <w:rFonts w:hint="eastAsia" w:ascii="宋体" w:hAnsi="宋体" w:eastAsia="宋体" w:cs="宋体"/>
                <w:highlight w:val="none"/>
              </w:rPr>
            </w:pPr>
            <w:r>
              <w:rPr>
                <w:rFonts w:hint="eastAsia" w:ascii="宋体" w:hAnsi="宋体" w:eastAsia="宋体" w:cs="宋体"/>
                <w:highlight w:val="none"/>
              </w:rPr>
              <w:t>2.具备教授级高级工程师职称的每人得2分，最高得6分；具备高级工程师职称的每人得1分，最高得4分；具备中级工程师职称的每人得0.5分；最高得2分。本小项累加最高得6分。</w:t>
            </w:r>
          </w:p>
          <w:p>
            <w:pPr>
              <w:pStyle w:val="2"/>
              <w:rPr>
                <w:rFonts w:hint="eastAsia" w:ascii="宋体" w:hAnsi="宋体" w:eastAsia="宋体" w:cs="宋体"/>
                <w:highlight w:val="none"/>
              </w:rPr>
            </w:pPr>
            <w:r>
              <w:rPr>
                <w:rFonts w:hint="eastAsia" w:ascii="宋体" w:hAnsi="宋体" w:eastAsia="宋体" w:cs="宋体"/>
                <w:szCs w:val="21"/>
                <w:highlight w:val="none"/>
              </w:rPr>
              <w:t>本项合计最高得20分。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3" w:hRule="atLeast"/>
        </w:trPr>
        <w:tc>
          <w:tcPr>
            <w:tcW w:w="763" w:type="dxa"/>
            <w:shd w:val="clear" w:color="auto" w:fill="FFFFFF"/>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报价部分（20分）</w:t>
            </w:r>
          </w:p>
        </w:tc>
        <w:tc>
          <w:tcPr>
            <w:tcW w:w="1037" w:type="dxa"/>
            <w:shd w:val="clear" w:color="auto" w:fill="FFFFFF"/>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价格得分（20分）</w:t>
            </w:r>
          </w:p>
        </w:tc>
        <w:tc>
          <w:tcPr>
            <w:tcW w:w="7750" w:type="dxa"/>
            <w:shd w:val="clear" w:color="auto" w:fill="FFFFFF"/>
            <w:vAlign w:val="center"/>
          </w:tcPr>
          <w:p>
            <w:pPr>
              <w:ind w:firstLine="31" w:firstLineChars="15"/>
              <w:rPr>
                <w:rFonts w:hint="eastAsia" w:ascii="宋体" w:hAnsi="宋体" w:eastAsia="宋体" w:cs="宋体"/>
                <w:kern w:val="0"/>
                <w:szCs w:val="21"/>
                <w:highlight w:val="none"/>
              </w:rPr>
            </w:pPr>
            <w:r>
              <w:rPr>
                <w:rFonts w:hint="eastAsia" w:ascii="宋体" w:hAnsi="宋体" w:eastAsia="宋体" w:cs="宋体"/>
                <w:kern w:val="0"/>
                <w:szCs w:val="21"/>
                <w:highlight w:val="none"/>
              </w:rPr>
              <w:t>当有效报价等于报价基准价时，报价得分为20分，报价每高于报价基准价1%的，扣0.5分，每低于1%的，扣0.3分，扣至0分为止，计算出报价得分，精确到小数点后两位。</w:t>
            </w:r>
          </w:p>
          <w:p>
            <w:pPr>
              <w:rPr>
                <w:rFonts w:hint="eastAsia" w:ascii="宋体" w:hAnsi="宋体" w:eastAsia="宋体" w:cs="宋体"/>
                <w:szCs w:val="21"/>
                <w:highlight w:val="none"/>
              </w:rPr>
            </w:pPr>
            <w:r>
              <w:rPr>
                <w:rFonts w:hint="eastAsia" w:ascii="宋体" w:hAnsi="宋体" w:eastAsia="宋体" w:cs="宋体"/>
                <w:kern w:val="0"/>
                <w:szCs w:val="21"/>
                <w:highlight w:val="none"/>
              </w:rPr>
              <w:t>注：当有效报价人大于或等于5家时，去掉一个最高价和一个最低价，取余下有效报价的算术平均值作为报价基准价。当有效报价人小于5家时，取所有入围有效报价的算术平均值作为报价基准价（保留小数点后二位，第三位小数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763" w:type="dxa"/>
            <w:shd w:val="clear" w:color="auto" w:fill="FFFFFF"/>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合计</w:t>
            </w:r>
          </w:p>
        </w:tc>
        <w:tc>
          <w:tcPr>
            <w:tcW w:w="8787" w:type="dxa"/>
            <w:gridSpan w:val="2"/>
            <w:shd w:val="clear" w:color="auto" w:fill="FFFFFF"/>
            <w:vAlign w:val="center"/>
          </w:tcPr>
          <w:p>
            <w:pPr>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100</w:t>
            </w:r>
          </w:p>
        </w:tc>
      </w:tr>
    </w:tbl>
    <w:p>
      <w:pPr>
        <w:widowControl/>
        <w:spacing w:before="100" w:beforeAutospacing="1" w:after="100" w:afterAutospacing="1"/>
        <w:jc w:val="left"/>
        <w:rPr>
          <w:rFonts w:hint="eastAsia" w:ascii="宋体" w:hAnsi="宋体" w:eastAsia="宋体" w:cs="宋体"/>
          <w:b/>
          <w:bCs/>
          <w:szCs w:val="21"/>
          <w:highlight w:val="none"/>
        </w:rPr>
      </w:pPr>
      <w:r>
        <w:rPr>
          <w:rFonts w:hint="eastAsia" w:ascii="宋体" w:hAnsi="宋体" w:eastAsia="宋体" w:cs="宋体"/>
          <w:color w:val="000000"/>
          <w:szCs w:val="21"/>
          <w:highlight w:val="none"/>
        </w:rPr>
        <w:t>项目名称：</w:t>
      </w:r>
      <w:r>
        <w:rPr>
          <w:rFonts w:hint="eastAsia" w:ascii="宋体" w:hAnsi="宋体" w:eastAsia="宋体" w:cs="宋体"/>
          <w:szCs w:val="21"/>
          <w:highlight w:val="none"/>
          <w:u w:val="single"/>
          <w:lang w:eastAsia="zh-CN"/>
        </w:rPr>
        <w:t>多宝路、宝源路历史文化街区保护活化利用项目</w:t>
      </w:r>
      <w:r>
        <w:rPr>
          <w:rFonts w:hint="eastAsia" w:ascii="宋体" w:hAnsi="宋体" w:eastAsia="宋体" w:cs="宋体"/>
          <w:szCs w:val="21"/>
          <w:highlight w:val="none"/>
          <w:u w:val="single"/>
        </w:rPr>
        <w:t>可行性研究报告编制</w:t>
      </w:r>
    </w:p>
    <w:p>
      <w:pPr>
        <w:pStyle w:val="2"/>
        <w:ind w:firstLine="210" w:firstLineChars="100"/>
        <w:rPr>
          <w:rFonts w:hint="eastAsia" w:ascii="宋体" w:hAnsi="宋体" w:eastAsia="宋体" w:cs="宋体"/>
          <w:szCs w:val="21"/>
          <w:highlight w:val="none"/>
          <w:lang w:val="zh-CN"/>
        </w:rPr>
      </w:pPr>
      <w:r>
        <w:rPr>
          <w:rFonts w:hint="eastAsia" w:ascii="宋体" w:hAnsi="宋体" w:eastAsia="宋体" w:cs="宋体"/>
          <w:color w:val="000000"/>
          <w:szCs w:val="21"/>
          <w:highlight w:val="none"/>
          <w:lang w:val="zh-CN"/>
        </w:rPr>
        <w:t>注：</w:t>
      </w:r>
      <w:r>
        <w:rPr>
          <w:rFonts w:hint="eastAsia" w:ascii="宋体" w:hAnsi="宋体" w:eastAsia="宋体" w:cs="宋体"/>
          <w:szCs w:val="21"/>
          <w:highlight w:val="none"/>
        </w:rPr>
        <w:t>1.</w:t>
      </w:r>
      <w:r>
        <w:rPr>
          <w:rFonts w:hint="eastAsia" w:ascii="宋体" w:hAnsi="宋体" w:eastAsia="宋体" w:cs="宋体"/>
          <w:szCs w:val="21"/>
          <w:highlight w:val="none"/>
          <w:lang w:val="zh-CN"/>
        </w:rPr>
        <w:t>企业业绩证明材料须提供合同和批复文件关键页复印件。（以合同签订时间为准），同一项目只计分一次。</w:t>
      </w:r>
    </w:p>
    <w:p>
      <w:pPr>
        <w:pStyle w:val="2"/>
        <w:rPr>
          <w:rFonts w:hint="eastAsia" w:ascii="宋体" w:hAnsi="宋体" w:eastAsia="宋体" w:cs="宋体"/>
          <w:szCs w:val="21"/>
          <w:highlight w:val="none"/>
        </w:rPr>
      </w:pPr>
      <w:r>
        <w:rPr>
          <w:rFonts w:hint="eastAsia" w:ascii="宋体" w:hAnsi="宋体" w:eastAsia="宋体" w:cs="宋体"/>
          <w:szCs w:val="21"/>
          <w:highlight w:val="none"/>
        </w:rPr>
        <w:t xml:space="preserve">    2.</w:t>
      </w:r>
      <w:r>
        <w:rPr>
          <w:rFonts w:hint="eastAsia" w:ascii="宋体" w:hAnsi="宋体" w:eastAsia="宋体" w:cs="宋体"/>
          <w:szCs w:val="21"/>
          <w:highlight w:val="none"/>
          <w:lang w:val="zh-CN"/>
        </w:rPr>
        <w:t>奖项须提供相关证明文件，以获得奖项的颁发时间为准。</w:t>
      </w:r>
    </w:p>
    <w:p>
      <w:pPr>
        <w:pStyle w:val="2"/>
        <w:rPr>
          <w:rFonts w:hint="eastAsia" w:ascii="宋体" w:hAnsi="宋体" w:eastAsia="宋体" w:cs="宋体"/>
          <w:szCs w:val="21"/>
          <w:highlight w:val="none"/>
        </w:rPr>
        <w:sectPr>
          <w:pgSz w:w="11906" w:h="16838"/>
          <w:pgMar w:top="1134" w:right="1134" w:bottom="850" w:left="1134" w:header="851" w:footer="595" w:gutter="0"/>
          <w:cols w:space="0" w:num="1"/>
          <w:docGrid w:type="lines" w:linePitch="312" w:charSpace="0"/>
        </w:sectPr>
      </w:pPr>
      <w:r>
        <w:rPr>
          <w:rFonts w:hint="eastAsia" w:ascii="宋体" w:hAnsi="宋体" w:eastAsia="宋体" w:cs="宋体"/>
          <w:szCs w:val="21"/>
          <w:highlight w:val="none"/>
        </w:rPr>
        <w:t xml:space="preserve">    3.项目人员需按要求提供职称证、注册证复印件及</w:t>
      </w:r>
      <w:r>
        <w:rPr>
          <w:rFonts w:hint="eastAsia" w:ascii="宋体" w:hAnsi="宋体" w:eastAsia="宋体" w:cs="宋体"/>
          <w:szCs w:val="21"/>
          <w:highlight w:val="none"/>
          <w:lang w:val="zh-CN"/>
        </w:rPr>
        <w:t>必须为报价单位人员，以提供的本单位近</w:t>
      </w:r>
      <w:r>
        <w:rPr>
          <w:rFonts w:hint="eastAsia" w:ascii="宋体" w:hAnsi="宋体" w:eastAsia="宋体" w:cs="宋体"/>
          <w:szCs w:val="21"/>
          <w:highlight w:val="none"/>
        </w:rPr>
        <w:t>1</w:t>
      </w:r>
      <w:r>
        <w:rPr>
          <w:rFonts w:hint="eastAsia" w:ascii="宋体" w:hAnsi="宋体" w:eastAsia="宋体" w:cs="宋体"/>
          <w:szCs w:val="21"/>
          <w:highlight w:val="none"/>
          <w:lang w:val="zh-CN"/>
        </w:rPr>
        <w:t>月社保证明为准，若不能提供的则本项不给予评分。</w:t>
      </w:r>
    </w:p>
    <w:p>
      <w:pPr>
        <w:widowControl/>
        <w:shd w:val="clear" w:color="auto" w:fill="FFFFFF"/>
        <w:spacing w:before="150" w:after="15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附件三</w:t>
      </w:r>
    </w:p>
    <w:p>
      <w:pPr>
        <w:pStyle w:val="35"/>
        <w:ind w:firstLine="0" w:firstLineChars="0"/>
        <w:jc w:val="center"/>
        <w:rPr>
          <w:rFonts w:hint="eastAsia" w:ascii="宋体" w:hAnsi="宋体" w:eastAsia="宋体" w:cs="宋体"/>
          <w:b/>
          <w:snapToGrid/>
          <w:spacing w:val="0"/>
          <w:kern w:val="2"/>
          <w:sz w:val="28"/>
          <w:szCs w:val="28"/>
          <w:highlight w:val="none"/>
        </w:rPr>
      </w:pPr>
      <w:r>
        <w:rPr>
          <w:rFonts w:hint="eastAsia" w:ascii="宋体" w:hAnsi="宋体" w:eastAsia="宋体" w:cs="宋体"/>
          <w:b/>
          <w:snapToGrid/>
          <w:spacing w:val="0"/>
          <w:kern w:val="2"/>
          <w:sz w:val="28"/>
          <w:szCs w:val="28"/>
          <w:highlight w:val="none"/>
        </w:rPr>
        <w:t>报价表</w:t>
      </w:r>
    </w:p>
    <w:p>
      <w:pPr>
        <w:pStyle w:val="35"/>
        <w:ind w:firstLine="218" w:firstLineChars="100"/>
        <w:jc w:val="left"/>
        <w:rPr>
          <w:rFonts w:hint="eastAsia" w:ascii="宋体" w:hAnsi="宋体" w:eastAsia="宋体" w:cs="宋体"/>
          <w:bCs/>
          <w:snapToGrid/>
          <w:spacing w:val="0"/>
          <w:kern w:val="2"/>
          <w:sz w:val="21"/>
          <w:szCs w:val="21"/>
          <w:highlight w:val="none"/>
        </w:rPr>
      </w:pPr>
      <w:r>
        <w:rPr>
          <w:rFonts w:hint="eastAsia" w:ascii="宋体" w:hAnsi="宋体" w:eastAsia="宋体" w:cs="宋体"/>
          <w:bCs/>
          <w:color w:val="000000" w:themeColor="text1"/>
          <w:sz w:val="21"/>
          <w:szCs w:val="21"/>
          <w:highlight w:val="none"/>
          <w14:textFill>
            <w14:solidFill>
              <w14:schemeClr w14:val="tx1"/>
            </w14:solidFill>
          </w14:textFill>
        </w:rPr>
        <w:t>项目名称：</w:t>
      </w:r>
      <w:r>
        <w:rPr>
          <w:rFonts w:hint="eastAsia" w:ascii="宋体" w:hAnsi="宋体" w:cs="宋体"/>
          <w:sz w:val="21"/>
          <w:szCs w:val="21"/>
          <w:highlight w:val="none"/>
          <w:u w:val="single"/>
          <w:lang w:eastAsia="zh-CN"/>
        </w:rPr>
        <w:t>多宝路、宝源路历史文化街区保护活化利用项目</w:t>
      </w:r>
      <w:r>
        <w:rPr>
          <w:rFonts w:hint="eastAsia" w:ascii="宋体" w:hAnsi="宋体" w:eastAsia="宋体" w:cs="宋体"/>
          <w:sz w:val="21"/>
          <w:szCs w:val="21"/>
          <w:highlight w:val="none"/>
          <w:u w:val="single"/>
        </w:rPr>
        <w:t>可行性研究报告编制</w:t>
      </w:r>
    </w:p>
    <w:tbl>
      <w:tblPr>
        <w:tblStyle w:val="19"/>
        <w:tblW w:w="93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7"/>
        <w:gridCol w:w="2145"/>
        <w:gridCol w:w="1575"/>
        <w:gridCol w:w="1440"/>
        <w:gridCol w:w="1517"/>
        <w:gridCol w:w="19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jc w:val="center"/>
        </w:trPr>
        <w:tc>
          <w:tcPr>
            <w:tcW w:w="707" w:type="dxa"/>
            <w:vAlign w:val="center"/>
          </w:tcPr>
          <w:p>
            <w:pPr>
              <w:adjustRightInd w:val="0"/>
              <w:snapToGrid w:val="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序号</w:t>
            </w:r>
          </w:p>
        </w:tc>
        <w:tc>
          <w:tcPr>
            <w:tcW w:w="2145" w:type="dxa"/>
            <w:vAlign w:val="center"/>
          </w:tcPr>
          <w:p>
            <w:pPr>
              <w:adjustRightInd w:val="0"/>
              <w:snapToGrid w:val="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服务内容</w:t>
            </w:r>
          </w:p>
        </w:tc>
        <w:tc>
          <w:tcPr>
            <w:tcW w:w="1575" w:type="dxa"/>
            <w:vAlign w:val="center"/>
          </w:tcPr>
          <w:p>
            <w:pPr>
              <w:adjustRightInd w:val="0"/>
              <w:snapToGrid w:val="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最高限价（元）</w:t>
            </w:r>
          </w:p>
        </w:tc>
        <w:tc>
          <w:tcPr>
            <w:tcW w:w="1440" w:type="dxa"/>
            <w:vAlign w:val="center"/>
          </w:tcPr>
          <w:p>
            <w:pPr>
              <w:adjustRightInd w:val="0"/>
              <w:snapToGrid w:val="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报价（元）</w:t>
            </w:r>
          </w:p>
        </w:tc>
        <w:tc>
          <w:tcPr>
            <w:tcW w:w="1517" w:type="dxa"/>
            <w:tcBorders>
              <w:bottom w:val="single" w:color="auto" w:sz="4" w:space="0"/>
            </w:tcBorders>
            <w:vAlign w:val="center"/>
          </w:tcPr>
          <w:p>
            <w:pPr>
              <w:adjustRightInd w:val="0"/>
              <w:snapToGrid w:val="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报价下浮率（%）</w:t>
            </w:r>
          </w:p>
        </w:tc>
        <w:tc>
          <w:tcPr>
            <w:tcW w:w="1933" w:type="dxa"/>
            <w:tcBorders>
              <w:bottom w:val="single" w:color="auto" w:sz="4" w:space="0"/>
            </w:tcBorders>
            <w:vAlign w:val="center"/>
          </w:tcPr>
          <w:p>
            <w:pPr>
              <w:adjustRightInd w:val="0"/>
              <w:snapToGrid w:val="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9" w:hRule="exact"/>
          <w:jc w:val="center"/>
        </w:trPr>
        <w:tc>
          <w:tcPr>
            <w:tcW w:w="707" w:type="dxa"/>
            <w:vAlign w:val="center"/>
          </w:tcPr>
          <w:p>
            <w:pPr>
              <w:adjustRightInd w:val="0"/>
              <w:snapToGrid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一</w:t>
            </w:r>
          </w:p>
        </w:tc>
        <w:tc>
          <w:tcPr>
            <w:tcW w:w="2145" w:type="dxa"/>
            <w:vAlign w:val="center"/>
          </w:tcPr>
          <w:p>
            <w:pPr>
              <w:adjustRightInd w:val="0"/>
              <w:snapToGrid w:val="0"/>
              <w:jc w:val="left"/>
              <w:rPr>
                <w:rFonts w:hint="eastAsia" w:ascii="宋体" w:hAnsi="宋体" w:eastAsia="宋体" w:cs="宋体"/>
                <w:bCs/>
                <w:sz w:val="24"/>
                <w:szCs w:val="24"/>
                <w:highlight w:val="none"/>
              </w:rPr>
            </w:pPr>
            <w:r>
              <w:rPr>
                <w:rFonts w:hint="eastAsia" w:ascii="宋体" w:hAnsi="宋体" w:eastAsia="宋体" w:cs="宋体"/>
                <w:highlight w:val="none"/>
                <w:u w:val="single"/>
              </w:rPr>
              <w:t>可行性研究报告编制</w:t>
            </w:r>
          </w:p>
        </w:tc>
        <w:tc>
          <w:tcPr>
            <w:tcW w:w="1575" w:type="dxa"/>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lang w:val="en-US" w:eastAsia="zh-CN"/>
              </w:rPr>
              <w:t>855612.00</w:t>
            </w:r>
          </w:p>
        </w:tc>
        <w:tc>
          <w:tcPr>
            <w:tcW w:w="1440" w:type="dxa"/>
            <w:tcBorders>
              <w:right w:val="single" w:color="auto" w:sz="4" w:space="0"/>
            </w:tcBorders>
            <w:vAlign w:val="center"/>
          </w:tcPr>
          <w:p>
            <w:pPr>
              <w:keepNext/>
              <w:keepLines/>
              <w:spacing w:before="340" w:after="330" w:line="360" w:lineRule="auto"/>
              <w:jc w:val="center"/>
              <w:outlineLvl w:val="0"/>
              <w:rPr>
                <w:rFonts w:hint="eastAsia" w:ascii="宋体" w:hAnsi="宋体" w:eastAsia="宋体" w:cs="宋体"/>
                <w:sz w:val="24"/>
                <w:szCs w:val="24"/>
                <w:highlight w:val="none"/>
              </w:rPr>
            </w:pPr>
          </w:p>
        </w:tc>
        <w:tc>
          <w:tcPr>
            <w:tcW w:w="15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20" w:line="360" w:lineRule="auto"/>
              <w:jc w:val="center"/>
              <w:rPr>
                <w:rFonts w:hint="eastAsia" w:ascii="宋体" w:hAnsi="宋体" w:eastAsia="宋体" w:cs="宋体"/>
                <w:sz w:val="24"/>
                <w:szCs w:val="24"/>
                <w:highlight w:val="none"/>
              </w:rPr>
            </w:pPr>
          </w:p>
        </w:tc>
        <w:tc>
          <w:tcPr>
            <w:tcW w:w="19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20" w:line="360" w:lineRule="auto"/>
              <w:jc w:val="left"/>
              <w:rPr>
                <w:rFonts w:hint="eastAsia" w:ascii="宋体" w:hAnsi="宋体" w:eastAsia="宋体" w:cs="宋体"/>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exact"/>
          <w:jc w:val="center"/>
        </w:trPr>
        <w:tc>
          <w:tcPr>
            <w:tcW w:w="4427" w:type="dxa"/>
            <w:gridSpan w:val="3"/>
            <w:vAlign w:val="center"/>
          </w:tcPr>
          <w:p>
            <w:pPr>
              <w:adjustRightInd w:val="0"/>
              <w:snapToGrid w:val="0"/>
              <w:spacing w:after="12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报价总金额（单位：人民币元）</w:t>
            </w:r>
          </w:p>
        </w:tc>
        <w:tc>
          <w:tcPr>
            <w:tcW w:w="4890" w:type="dxa"/>
            <w:gridSpan w:val="3"/>
            <w:vAlign w:val="center"/>
          </w:tcPr>
          <w:p>
            <w:pPr>
              <w:pStyle w:val="15"/>
              <w:adjustRightInd w:val="0"/>
              <w:snapToGrid w:val="0"/>
              <w:spacing w:after="156" w:afterLines="50" w:line="360" w:lineRule="auto"/>
              <w:rPr>
                <w:rFonts w:hint="eastAsia" w:ascii="宋体" w:hAnsi="宋体" w:eastAsia="宋体" w:cs="宋体"/>
                <w:sz w:val="24"/>
                <w:highlight w:val="none"/>
              </w:rPr>
            </w:pPr>
            <w:r>
              <w:rPr>
                <w:rFonts w:hint="eastAsia" w:ascii="宋体" w:hAnsi="宋体" w:eastAsia="宋体" w:cs="宋体"/>
                <w:sz w:val="24"/>
                <w:highlight w:val="none"/>
              </w:rPr>
              <w:t>大写：</w:t>
            </w:r>
          </w:p>
          <w:p>
            <w:pPr>
              <w:keepNext/>
              <w:keepLines/>
              <w:adjustRightInd w:val="0"/>
              <w:snapToGrid w:val="0"/>
              <w:spacing w:before="260" w:after="260" w:line="360" w:lineRule="auto"/>
              <w:outlineLvl w:val="2"/>
              <w:rPr>
                <w:rFonts w:hint="eastAsia" w:ascii="宋体" w:hAnsi="宋体" w:eastAsia="宋体" w:cs="宋体"/>
                <w:sz w:val="24"/>
                <w:szCs w:val="24"/>
                <w:highlight w:val="none"/>
              </w:rPr>
            </w:pPr>
            <w:r>
              <w:rPr>
                <w:rFonts w:hint="eastAsia" w:ascii="宋体" w:hAnsi="宋体" w:eastAsia="宋体" w:cs="宋体"/>
                <w:sz w:val="24"/>
                <w:szCs w:val="24"/>
                <w:highlight w:val="none"/>
              </w:rPr>
              <w:t>小写：</w:t>
            </w:r>
          </w:p>
        </w:tc>
      </w:tr>
    </w:tbl>
    <w:p>
      <w:pPr>
        <w:adjustRightInd w:val="0"/>
        <w:snapToGrid w:val="0"/>
        <w:ind w:firstLine="210" w:firstLineChars="100"/>
        <w:jc w:val="left"/>
        <w:rPr>
          <w:rFonts w:hint="eastAsia" w:ascii="宋体" w:hAnsi="宋体" w:eastAsia="宋体" w:cs="宋体"/>
          <w:szCs w:val="21"/>
          <w:highlight w:val="none"/>
        </w:rPr>
      </w:pPr>
      <w:r>
        <w:rPr>
          <w:rFonts w:hint="eastAsia" w:ascii="宋体" w:hAnsi="宋体" w:eastAsia="宋体" w:cs="宋体"/>
          <w:szCs w:val="21"/>
          <w:highlight w:val="none"/>
        </w:rPr>
        <w:t>注：1.该报价金额保留小数点后两位，第三位四舍五入，若大小写不一致时，以大写为准。</w:t>
      </w:r>
    </w:p>
    <w:p>
      <w:pPr>
        <w:pStyle w:val="2"/>
        <w:rPr>
          <w:rFonts w:hint="eastAsia" w:ascii="宋体" w:hAnsi="宋体" w:eastAsia="宋体" w:cs="宋体"/>
          <w:sz w:val="24"/>
          <w:szCs w:val="24"/>
          <w:highlight w:val="none"/>
        </w:rPr>
      </w:pPr>
      <w:r>
        <w:rPr>
          <w:rFonts w:hint="eastAsia" w:ascii="宋体" w:hAnsi="宋体" w:eastAsia="宋体" w:cs="宋体"/>
          <w:szCs w:val="21"/>
          <w:highlight w:val="none"/>
        </w:rPr>
        <w:t xml:space="preserve">      2.若报价总金额与报价下浮率不一致时，以报价总金额为准，并修改报价下浮率。</w:t>
      </w:r>
    </w:p>
    <w:p>
      <w:pPr>
        <w:pStyle w:val="2"/>
        <w:ind w:firstLine="630" w:firstLineChars="300"/>
        <w:rPr>
          <w:rFonts w:hint="eastAsia" w:ascii="宋体" w:hAnsi="宋体" w:eastAsia="宋体" w:cs="宋体"/>
          <w:szCs w:val="21"/>
          <w:highlight w:val="none"/>
        </w:rPr>
      </w:pPr>
      <w:r>
        <w:rPr>
          <w:rFonts w:hint="eastAsia" w:ascii="宋体" w:hAnsi="宋体" w:eastAsia="宋体" w:cs="宋体"/>
          <w:szCs w:val="21"/>
          <w:highlight w:val="none"/>
        </w:rPr>
        <w:t>3.报价应包括报价人履行本项目合同（如果中选）所必须的劳务（含技术人员及阶段性驻场技术人员）、设备（含各种车辆、办公用品、软件等使用费、进出场费）</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文印费、</w:t>
      </w:r>
      <w:r>
        <w:rPr>
          <w:rFonts w:hint="eastAsia" w:ascii="宋体" w:hAnsi="宋体" w:eastAsia="宋体" w:cs="宋体"/>
          <w:szCs w:val="21"/>
          <w:highlight w:val="none"/>
        </w:rPr>
        <w:t>差旅交通、报告编写费、各项管理费、就餐、住宿、管理、利润、规费、税金、保险等所有全部相关费用，以及合同明示或暗示的所有责任、义务和一般风险（含施工工期的延长），是对完成合同的全部偿付，与可行性研究报告编制（含修编及调整）工作相关的其它辅助工作，其相关费用（含评审费）已包含在报价人的报价中，不再另行支付。</w:t>
      </w:r>
    </w:p>
    <w:p>
      <w:pPr>
        <w:pStyle w:val="2"/>
        <w:spacing w:line="360" w:lineRule="auto"/>
        <w:rPr>
          <w:rFonts w:hint="eastAsia" w:ascii="宋体" w:hAnsi="宋体" w:eastAsia="宋体" w:cs="宋体"/>
          <w:sz w:val="24"/>
          <w:szCs w:val="24"/>
          <w:highlight w:val="none"/>
        </w:rPr>
      </w:pPr>
    </w:p>
    <w:p>
      <w:pPr>
        <w:pStyle w:val="2"/>
        <w:spacing w:line="360" w:lineRule="auto"/>
        <w:rPr>
          <w:rFonts w:hint="eastAsia" w:ascii="宋体" w:hAnsi="宋体" w:eastAsia="宋体" w:cs="宋体"/>
          <w:sz w:val="24"/>
          <w:szCs w:val="24"/>
          <w:highlight w:val="none"/>
        </w:rPr>
      </w:pPr>
    </w:p>
    <w:p>
      <w:pPr>
        <w:pStyle w:val="2"/>
        <w:spacing w:line="360" w:lineRule="auto"/>
        <w:rPr>
          <w:rFonts w:hint="eastAsia" w:ascii="宋体" w:hAnsi="宋体" w:eastAsia="宋体" w:cs="宋体"/>
          <w:sz w:val="24"/>
          <w:szCs w:val="24"/>
          <w:highlight w:val="none"/>
        </w:rPr>
      </w:pPr>
    </w:p>
    <w:p>
      <w:pPr>
        <w:tabs>
          <w:tab w:val="left" w:pos="13320"/>
        </w:tabs>
        <w:snapToGrid w:val="0"/>
        <w:spacing w:line="360" w:lineRule="auto"/>
        <w:ind w:left="718" w:leftChars="342" w:right="-52" w:firstLine="2872" w:firstLineChars="1197"/>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报价人（公章）：</w:t>
      </w:r>
      <w:r>
        <w:rPr>
          <w:rFonts w:hint="eastAsia" w:ascii="宋体" w:hAnsi="宋体" w:eastAsia="宋体" w:cs="宋体"/>
          <w:sz w:val="24"/>
          <w:szCs w:val="24"/>
          <w:highlight w:val="none"/>
          <w:u w:val="single"/>
        </w:rPr>
        <w:t xml:space="preserve">                        </w:t>
      </w:r>
    </w:p>
    <w:p>
      <w:pPr>
        <w:tabs>
          <w:tab w:val="left" w:pos="13320"/>
        </w:tabs>
        <w:snapToGrid w:val="0"/>
        <w:spacing w:line="360" w:lineRule="auto"/>
        <w:ind w:left="718" w:leftChars="342" w:right="-52" w:firstLine="2872" w:firstLineChars="1197"/>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法定代表人或授权代表（签字或盖章）：</w:t>
      </w:r>
      <w:r>
        <w:rPr>
          <w:rFonts w:hint="eastAsia" w:ascii="宋体" w:hAnsi="宋体" w:eastAsia="宋体" w:cs="宋体"/>
          <w:sz w:val="24"/>
          <w:szCs w:val="24"/>
          <w:highlight w:val="none"/>
          <w:u w:val="single"/>
        </w:rPr>
        <w:t xml:space="preserve">        </w:t>
      </w:r>
    </w:p>
    <w:p>
      <w:pPr>
        <w:pStyle w:val="11"/>
        <w:adjustRightInd w:val="0"/>
        <w:snapToGrid w:val="0"/>
        <w:spacing w:line="360" w:lineRule="auto"/>
        <w:jc w:val="center"/>
        <w:rPr>
          <w:rFonts w:hint="eastAsia" w:ascii="宋体" w:hAnsi="宋体" w:eastAsia="宋体" w:cs="宋体"/>
          <w:sz w:val="24"/>
          <w:szCs w:val="24"/>
          <w:highlight w:val="none"/>
        </w:rPr>
        <w:sectPr>
          <w:pgSz w:w="11906" w:h="16838"/>
          <w:pgMar w:top="1134" w:right="1134" w:bottom="1134" w:left="1134" w:header="851" w:footer="992" w:gutter="0"/>
          <w:cols w:space="425" w:num="1"/>
          <w:docGrid w:type="lines" w:linePitch="312" w:charSpace="0"/>
        </w:sectPr>
      </w:pPr>
      <w:r>
        <w:rPr>
          <w:rFonts w:hint="eastAsia" w:ascii="宋体" w:hAnsi="宋体" w:eastAsia="宋体" w:cs="宋体"/>
          <w:sz w:val="24"/>
          <w:szCs w:val="24"/>
          <w:highlight w:val="none"/>
        </w:rPr>
        <w:t xml:space="preserve">       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pPr>
        <w:widowControl/>
        <w:shd w:val="clear" w:color="auto" w:fill="FFFFFF"/>
        <w:spacing w:before="150" w:after="15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附件四</w:t>
      </w:r>
    </w:p>
    <w:p>
      <w:pPr>
        <w:pStyle w:val="11"/>
        <w:adjustRightInd w:val="0"/>
        <w:snapToGrid w:val="0"/>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业绩</w:t>
      </w:r>
      <w:r>
        <w:rPr>
          <w:rFonts w:hint="eastAsia" w:ascii="宋体" w:hAnsi="宋体" w:eastAsia="宋体" w:cs="宋体"/>
          <w:b/>
          <w:color w:val="000000" w:themeColor="text1"/>
          <w:sz w:val="24"/>
          <w:szCs w:val="24"/>
          <w:highlight w:val="none"/>
          <w14:textFill>
            <w14:solidFill>
              <w14:schemeClr w14:val="tx1"/>
            </w14:solidFill>
          </w14:textFill>
        </w:rPr>
        <w:t>情况汇总表</w:t>
      </w:r>
    </w:p>
    <w:p>
      <w:pPr>
        <w:pStyle w:val="11"/>
        <w:adjustRightInd w:val="0"/>
        <w:snapToGrid w:val="0"/>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（20</w:t>
      </w:r>
      <w:r>
        <w:rPr>
          <w:rFonts w:hint="eastAsia" w:ascii="宋体" w:hAnsi="宋体" w:eastAsia="宋体" w:cs="宋体"/>
          <w:b/>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color w:val="000000" w:themeColor="text1"/>
          <w:sz w:val="24"/>
          <w:szCs w:val="24"/>
          <w:highlight w:val="none"/>
          <w14:textFill>
            <w14:solidFill>
              <w14:schemeClr w14:val="tx1"/>
            </w14:solidFill>
          </w14:textFill>
        </w:rPr>
        <w:t>年1月1日至今）</w:t>
      </w:r>
    </w:p>
    <w:p>
      <w:pPr>
        <w:pStyle w:val="11"/>
        <w:adjustRightInd w:val="0"/>
        <w:snapToGrid w:val="0"/>
        <w:spacing w:line="360" w:lineRule="auto"/>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   </w:t>
      </w:r>
      <w:r>
        <w:rPr>
          <w:rFonts w:hint="eastAsia" w:ascii="宋体" w:hAnsi="宋体" w:eastAsia="宋体" w:cs="宋体"/>
          <w:bCs/>
          <w:color w:val="000000" w:themeColor="text1"/>
          <w:szCs w:val="21"/>
          <w:highlight w:val="none"/>
          <w14:textFill>
            <w14:solidFill>
              <w14:schemeClr w14:val="tx1"/>
            </w14:solidFill>
          </w14:textFill>
        </w:rPr>
        <w:t>项目名称：</w:t>
      </w:r>
      <w:r>
        <w:rPr>
          <w:rFonts w:hint="eastAsia" w:hAnsi="宋体" w:eastAsia="宋体" w:cs="宋体"/>
          <w:szCs w:val="21"/>
          <w:highlight w:val="none"/>
          <w:u w:val="single"/>
          <w:lang w:eastAsia="zh-CN"/>
        </w:rPr>
        <w:t>多宝路、宝源路历史文化街区保护活化利用项目</w:t>
      </w:r>
      <w:r>
        <w:rPr>
          <w:rFonts w:hint="eastAsia" w:ascii="宋体" w:hAnsi="宋体" w:eastAsia="宋体" w:cs="宋体"/>
          <w:szCs w:val="21"/>
          <w:highlight w:val="none"/>
          <w:u w:val="single"/>
        </w:rPr>
        <w:t>可行性研究报告编制</w:t>
      </w:r>
    </w:p>
    <w:tbl>
      <w:tblPr>
        <w:tblStyle w:val="19"/>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304"/>
        <w:gridCol w:w="1465"/>
        <w:gridCol w:w="1596"/>
        <w:gridCol w:w="2013"/>
        <w:gridCol w:w="2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34" w:type="dxa"/>
            <w:vAlign w:val="center"/>
          </w:tcPr>
          <w:p>
            <w:pPr>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序号</w:t>
            </w:r>
          </w:p>
        </w:tc>
        <w:tc>
          <w:tcPr>
            <w:tcW w:w="1304" w:type="dxa"/>
            <w:vAlign w:val="center"/>
          </w:tcPr>
          <w:p>
            <w:pPr>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项目名称</w:t>
            </w:r>
          </w:p>
        </w:tc>
        <w:tc>
          <w:tcPr>
            <w:tcW w:w="1465" w:type="dxa"/>
            <w:vAlign w:val="center"/>
          </w:tcPr>
          <w:p>
            <w:pPr>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项目业主</w:t>
            </w:r>
          </w:p>
        </w:tc>
        <w:tc>
          <w:tcPr>
            <w:tcW w:w="1596" w:type="dxa"/>
            <w:vAlign w:val="center"/>
          </w:tcPr>
          <w:p>
            <w:pPr>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中标价或</w:t>
            </w:r>
            <w:r>
              <w:rPr>
                <w:rFonts w:hint="eastAsia" w:ascii="宋体" w:hAnsi="宋体" w:eastAsia="宋体" w:cs="宋体"/>
                <w:b/>
                <w:bCs/>
                <w:color w:val="000000" w:themeColor="text1"/>
                <w:sz w:val="24"/>
                <w:szCs w:val="24"/>
                <w:highlight w:val="none"/>
                <w14:textFill>
                  <w14:solidFill>
                    <w14:schemeClr w14:val="tx1"/>
                  </w14:solidFill>
                </w14:textFill>
              </w:rPr>
              <w:t>合同价（万元）</w:t>
            </w:r>
          </w:p>
        </w:tc>
        <w:tc>
          <w:tcPr>
            <w:tcW w:w="2013" w:type="dxa"/>
            <w:vAlign w:val="center"/>
          </w:tcPr>
          <w:p>
            <w:pPr>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项目类型</w:t>
            </w:r>
          </w:p>
        </w:tc>
        <w:tc>
          <w:tcPr>
            <w:tcW w:w="2064" w:type="dxa"/>
            <w:vAlign w:val="center"/>
          </w:tcPr>
          <w:p>
            <w:pPr>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建设单位联系人及电话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34" w:type="dxa"/>
            <w:vAlign w:val="center"/>
          </w:tcPr>
          <w:p>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p>
        </w:tc>
        <w:tc>
          <w:tcPr>
            <w:tcW w:w="1304" w:type="dxa"/>
            <w:vAlign w:val="center"/>
          </w:tcPr>
          <w:p>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465" w:type="dxa"/>
            <w:vAlign w:val="center"/>
          </w:tcPr>
          <w:p>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596" w:type="dxa"/>
            <w:vAlign w:val="center"/>
          </w:tcPr>
          <w:p>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2013" w:type="dxa"/>
            <w:vAlign w:val="center"/>
          </w:tcPr>
          <w:p>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2064" w:type="dxa"/>
            <w:vAlign w:val="center"/>
          </w:tcPr>
          <w:p>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34" w:type="dxa"/>
            <w:vAlign w:val="center"/>
          </w:tcPr>
          <w:p>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w:t>
            </w:r>
          </w:p>
        </w:tc>
        <w:tc>
          <w:tcPr>
            <w:tcW w:w="1304" w:type="dxa"/>
            <w:vAlign w:val="center"/>
          </w:tcPr>
          <w:p>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465" w:type="dxa"/>
            <w:vAlign w:val="center"/>
          </w:tcPr>
          <w:p>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596" w:type="dxa"/>
            <w:vAlign w:val="center"/>
          </w:tcPr>
          <w:p>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2013" w:type="dxa"/>
            <w:vAlign w:val="center"/>
          </w:tcPr>
          <w:p>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2064" w:type="dxa"/>
            <w:vAlign w:val="center"/>
          </w:tcPr>
          <w:p>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34" w:type="dxa"/>
            <w:vAlign w:val="center"/>
          </w:tcPr>
          <w:p>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w:t>
            </w:r>
          </w:p>
        </w:tc>
        <w:tc>
          <w:tcPr>
            <w:tcW w:w="1304" w:type="dxa"/>
            <w:vAlign w:val="center"/>
          </w:tcPr>
          <w:p>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465" w:type="dxa"/>
            <w:vAlign w:val="center"/>
          </w:tcPr>
          <w:p>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596" w:type="dxa"/>
            <w:vAlign w:val="center"/>
          </w:tcPr>
          <w:p>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2013" w:type="dxa"/>
            <w:vAlign w:val="center"/>
          </w:tcPr>
          <w:p>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2064" w:type="dxa"/>
            <w:vAlign w:val="center"/>
          </w:tcPr>
          <w:p>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tc>
      </w:tr>
    </w:tbl>
    <w:p>
      <w:pPr>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注：</w:t>
      </w:r>
      <w:r>
        <w:rPr>
          <w:rFonts w:hint="eastAsia" w:ascii="宋体" w:hAnsi="宋体" w:eastAsia="宋体" w:cs="宋体"/>
          <w:color w:val="000000" w:themeColor="text1"/>
          <w:sz w:val="21"/>
          <w:szCs w:val="21"/>
          <w:highlight w:val="none"/>
          <w14:textFill>
            <w14:solidFill>
              <w14:schemeClr w14:val="tx1"/>
            </w14:solidFill>
          </w14:textFill>
        </w:rPr>
        <w:t>本表后应按要求附业绩证明材料。</w:t>
      </w:r>
    </w:p>
    <w:p>
      <w:pPr>
        <w:tabs>
          <w:tab w:val="left" w:pos="13320"/>
        </w:tabs>
        <w:snapToGrid w:val="0"/>
        <w:spacing w:line="360" w:lineRule="auto"/>
        <w:ind w:left="718" w:leftChars="342" w:right="-52" w:firstLine="2397" w:firstLineChars="999"/>
        <w:rPr>
          <w:rFonts w:hint="eastAsia" w:ascii="宋体" w:hAnsi="宋体" w:eastAsia="宋体" w:cs="宋体"/>
          <w:color w:val="000000" w:themeColor="text1"/>
          <w:sz w:val="24"/>
          <w:szCs w:val="24"/>
          <w:highlight w:val="none"/>
          <w14:textFill>
            <w14:solidFill>
              <w14:schemeClr w14:val="tx1"/>
            </w14:solidFill>
          </w14:textFill>
        </w:rPr>
      </w:pPr>
    </w:p>
    <w:p>
      <w:pPr>
        <w:tabs>
          <w:tab w:val="left" w:pos="13320"/>
        </w:tabs>
        <w:snapToGrid w:val="0"/>
        <w:spacing w:line="360" w:lineRule="auto"/>
        <w:ind w:left="718" w:leftChars="342" w:right="-52" w:firstLine="2397" w:firstLineChars="999"/>
        <w:rPr>
          <w:rFonts w:hint="eastAsia" w:ascii="宋体" w:hAnsi="宋体" w:eastAsia="宋体" w:cs="宋体"/>
          <w:color w:val="000000" w:themeColor="text1"/>
          <w:sz w:val="24"/>
          <w:szCs w:val="24"/>
          <w:highlight w:val="none"/>
          <w14:textFill>
            <w14:solidFill>
              <w14:schemeClr w14:val="tx1"/>
            </w14:solidFill>
          </w14:textFill>
        </w:rPr>
      </w:pPr>
    </w:p>
    <w:p>
      <w:pPr>
        <w:tabs>
          <w:tab w:val="left" w:pos="13320"/>
        </w:tabs>
        <w:snapToGrid w:val="0"/>
        <w:spacing w:line="360" w:lineRule="auto"/>
        <w:ind w:left="718" w:leftChars="342" w:right="-52" w:firstLine="2397" w:firstLineChars="999"/>
        <w:rPr>
          <w:rFonts w:hint="eastAsia" w:ascii="宋体" w:hAnsi="宋体" w:eastAsia="宋体" w:cs="宋体"/>
          <w:color w:val="000000" w:themeColor="text1"/>
          <w:sz w:val="24"/>
          <w:szCs w:val="24"/>
          <w:highlight w:val="none"/>
          <w14:textFill>
            <w14:solidFill>
              <w14:schemeClr w14:val="tx1"/>
            </w14:solidFill>
          </w14:textFill>
        </w:rPr>
      </w:pPr>
    </w:p>
    <w:p>
      <w:pPr>
        <w:tabs>
          <w:tab w:val="left" w:pos="13320"/>
        </w:tabs>
        <w:snapToGrid w:val="0"/>
        <w:spacing w:line="360" w:lineRule="auto"/>
        <w:ind w:left="718" w:leftChars="342" w:right="-52" w:firstLine="3112" w:firstLineChars="1297"/>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报价人（公章）：</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tabs>
          <w:tab w:val="left" w:pos="13320"/>
        </w:tabs>
        <w:snapToGrid w:val="0"/>
        <w:spacing w:line="360" w:lineRule="auto"/>
        <w:ind w:left="718" w:leftChars="342" w:right="-52" w:firstLine="3112" w:firstLineChars="1297"/>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法定代表人或授权代表（签字或盖章）：</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widowControl/>
        <w:jc w:val="left"/>
        <w:rPr>
          <w:rFonts w:hint="eastAsia" w:ascii="宋体" w:hAnsi="宋体" w:eastAsia="宋体" w:cs="宋体"/>
          <w:color w:val="333333"/>
          <w:kern w:val="0"/>
          <w:szCs w:val="21"/>
          <w:highlight w:val="none"/>
        </w:rPr>
      </w:pP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pPr>
        <w:rPr>
          <w:rFonts w:hint="eastAsia" w:ascii="宋体" w:hAnsi="宋体" w:eastAsia="宋体" w:cs="宋体"/>
          <w:b/>
          <w:sz w:val="28"/>
          <w:szCs w:val="28"/>
          <w:highlight w:val="none"/>
        </w:rPr>
      </w:pPr>
      <w:r>
        <w:rPr>
          <w:rFonts w:hint="eastAsia" w:ascii="宋体" w:hAnsi="宋体" w:eastAsia="宋体" w:cs="宋体"/>
          <w:b/>
          <w:sz w:val="28"/>
          <w:szCs w:val="28"/>
          <w:highlight w:val="none"/>
        </w:rPr>
        <w:t xml:space="preserve">  </w:t>
      </w:r>
    </w:p>
    <w:p>
      <w:pPr>
        <w:rPr>
          <w:rFonts w:hint="eastAsia" w:ascii="宋体" w:hAnsi="宋体" w:eastAsia="宋体" w:cs="宋体"/>
          <w:b/>
          <w:sz w:val="28"/>
          <w:szCs w:val="28"/>
          <w:highlight w:val="none"/>
        </w:rPr>
      </w:pPr>
    </w:p>
    <w:p>
      <w:pPr>
        <w:rPr>
          <w:rFonts w:hint="eastAsia" w:ascii="宋体" w:hAnsi="宋体" w:eastAsia="宋体" w:cs="宋体"/>
          <w:b/>
          <w:sz w:val="28"/>
          <w:szCs w:val="28"/>
          <w:highlight w:val="none"/>
        </w:rPr>
      </w:pPr>
    </w:p>
    <w:p>
      <w:pPr>
        <w:rPr>
          <w:rFonts w:hint="eastAsia" w:ascii="宋体" w:hAnsi="宋体" w:eastAsia="宋体" w:cs="宋体"/>
          <w:b/>
          <w:sz w:val="28"/>
          <w:szCs w:val="28"/>
          <w:highlight w:val="none"/>
        </w:rPr>
      </w:pPr>
    </w:p>
    <w:p>
      <w:pPr>
        <w:rPr>
          <w:rFonts w:hint="eastAsia" w:ascii="宋体" w:hAnsi="宋体" w:eastAsia="宋体" w:cs="宋体"/>
          <w:b/>
          <w:sz w:val="28"/>
          <w:szCs w:val="28"/>
          <w:highlight w:val="none"/>
        </w:rPr>
      </w:pPr>
    </w:p>
    <w:p>
      <w:pPr>
        <w:rPr>
          <w:rFonts w:hint="eastAsia" w:ascii="宋体" w:hAnsi="宋体" w:eastAsia="宋体" w:cs="宋体"/>
          <w:b/>
          <w:sz w:val="28"/>
          <w:szCs w:val="28"/>
          <w:highlight w:val="none"/>
        </w:rPr>
      </w:pPr>
    </w:p>
    <w:p>
      <w:pPr>
        <w:rPr>
          <w:rFonts w:hint="eastAsia" w:ascii="宋体" w:hAnsi="宋体" w:eastAsia="宋体" w:cs="宋体"/>
          <w:b/>
          <w:sz w:val="28"/>
          <w:szCs w:val="28"/>
          <w:highlight w:val="none"/>
        </w:rPr>
      </w:pPr>
    </w:p>
    <w:p>
      <w:pPr>
        <w:rPr>
          <w:rFonts w:hint="eastAsia" w:ascii="宋体" w:hAnsi="宋体" w:eastAsia="宋体" w:cs="宋体"/>
          <w:b/>
          <w:sz w:val="28"/>
          <w:szCs w:val="28"/>
          <w:highlight w:val="none"/>
        </w:rPr>
      </w:pPr>
    </w:p>
    <w:p>
      <w:pPr>
        <w:pStyle w:val="2"/>
        <w:rPr>
          <w:rFonts w:hint="eastAsia" w:ascii="宋体" w:hAnsi="宋体" w:eastAsia="宋体" w:cs="宋体"/>
          <w:highlight w:val="none"/>
        </w:rPr>
      </w:pPr>
    </w:p>
    <w:p>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r>
    </w:p>
    <w:p>
      <w:pPr>
        <w:pStyle w:val="11"/>
        <w:spacing w:line="360" w:lineRule="auto"/>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附件五</w:t>
      </w:r>
    </w:p>
    <w:p>
      <w:pPr>
        <w:pStyle w:val="11"/>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pPr>
        <w:pStyle w:val="11"/>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pPr>
        <w:pStyle w:val="11"/>
        <w:adjustRightInd w:val="0"/>
        <w:snapToGrid w:val="0"/>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项目负责人及其他人员配备情况表</w:t>
      </w:r>
    </w:p>
    <w:p>
      <w:pPr>
        <w:pStyle w:val="11"/>
        <w:adjustRightInd w:val="0"/>
        <w:snapToGrid w:val="0"/>
        <w:spacing w:line="360" w:lineRule="auto"/>
        <w:ind w:firstLine="210" w:firstLineChars="10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szCs w:val="21"/>
          <w:highlight w:val="none"/>
        </w:rPr>
        <w:t>项目名称：</w:t>
      </w:r>
      <w:r>
        <w:rPr>
          <w:rFonts w:hint="eastAsia" w:hAnsi="宋体" w:eastAsia="宋体" w:cs="宋体"/>
          <w:szCs w:val="21"/>
          <w:highlight w:val="none"/>
          <w:u w:val="single"/>
          <w:lang w:eastAsia="zh-CN"/>
        </w:rPr>
        <w:t>多宝路、宝源路历史文化街区保护活化利用项目</w:t>
      </w:r>
      <w:r>
        <w:rPr>
          <w:rFonts w:hint="eastAsia" w:ascii="宋体" w:hAnsi="宋体" w:eastAsia="宋体" w:cs="宋体"/>
          <w:szCs w:val="21"/>
          <w:highlight w:val="none"/>
          <w:u w:val="single"/>
        </w:rPr>
        <w:t>可行性研究报告编制</w:t>
      </w:r>
    </w:p>
    <w:tbl>
      <w:tblPr>
        <w:tblStyle w:val="19"/>
        <w:tblW w:w="9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518"/>
        <w:gridCol w:w="1620"/>
        <w:gridCol w:w="1424"/>
        <w:gridCol w:w="1399"/>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885" w:type="dxa"/>
            <w:vAlign w:val="center"/>
          </w:tcPr>
          <w:p>
            <w:pPr>
              <w:autoSpaceDE w:val="0"/>
              <w:autoSpaceDN w:val="0"/>
              <w:adjustRightInd w:val="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序号</w:t>
            </w:r>
          </w:p>
        </w:tc>
        <w:tc>
          <w:tcPr>
            <w:tcW w:w="1518" w:type="dxa"/>
            <w:vAlign w:val="center"/>
          </w:tcPr>
          <w:p>
            <w:pPr>
              <w:autoSpaceDE w:val="0"/>
              <w:autoSpaceDN w:val="0"/>
              <w:adjustRightInd w:val="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职责</w:t>
            </w:r>
          </w:p>
          <w:p>
            <w:pPr>
              <w:tabs>
                <w:tab w:val="left" w:pos="1322"/>
              </w:tabs>
              <w:jc w:val="center"/>
              <w:rPr>
                <w:rFonts w:hint="eastAsia" w:ascii="宋体" w:hAnsi="宋体" w:eastAsia="宋体" w:cs="宋体"/>
                <w:color w:val="000000" w:themeColor="text1"/>
                <w:sz w:val="24"/>
                <w:szCs w:val="24"/>
                <w:highlight w:val="none"/>
                <w:lang w:val="en-GB"/>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分工</w:t>
            </w:r>
          </w:p>
        </w:tc>
        <w:tc>
          <w:tcPr>
            <w:tcW w:w="1620" w:type="dxa"/>
            <w:vAlign w:val="center"/>
          </w:tcPr>
          <w:p>
            <w:pPr>
              <w:tabs>
                <w:tab w:val="left" w:pos="1322"/>
              </w:tabs>
              <w:jc w:val="center"/>
              <w:rPr>
                <w:rFonts w:hint="eastAsia" w:ascii="宋体" w:hAnsi="宋体" w:eastAsia="宋体" w:cs="宋体"/>
                <w:color w:val="000000" w:themeColor="text1"/>
                <w:sz w:val="24"/>
                <w:szCs w:val="24"/>
                <w:highlight w:val="none"/>
                <w:lang w:val="en-GB"/>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姓名</w:t>
            </w:r>
          </w:p>
        </w:tc>
        <w:tc>
          <w:tcPr>
            <w:tcW w:w="1424" w:type="dxa"/>
            <w:vAlign w:val="center"/>
          </w:tcPr>
          <w:p>
            <w:pPr>
              <w:tabs>
                <w:tab w:val="left" w:pos="1322"/>
              </w:tabs>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学历</w:t>
            </w:r>
          </w:p>
        </w:tc>
        <w:tc>
          <w:tcPr>
            <w:tcW w:w="1399" w:type="dxa"/>
            <w:vAlign w:val="center"/>
          </w:tcPr>
          <w:p>
            <w:pPr>
              <w:tabs>
                <w:tab w:val="left" w:pos="1322"/>
              </w:tabs>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职称/注册执业资格</w:t>
            </w:r>
          </w:p>
        </w:tc>
        <w:tc>
          <w:tcPr>
            <w:tcW w:w="2269" w:type="dxa"/>
            <w:vAlign w:val="center"/>
          </w:tcPr>
          <w:p>
            <w:pPr>
              <w:tabs>
                <w:tab w:val="left" w:pos="1322"/>
              </w:tabs>
              <w:jc w:val="center"/>
              <w:rPr>
                <w:rFonts w:hint="eastAsia" w:ascii="宋体" w:hAnsi="宋体" w:eastAsia="宋体" w:cs="宋体"/>
                <w:color w:val="000000" w:themeColor="text1"/>
                <w:sz w:val="24"/>
                <w:szCs w:val="24"/>
                <w:highlight w:val="none"/>
                <w:lang w:val="en-GB"/>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证书编号（如有）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85" w:type="dxa"/>
            <w:vAlign w:val="center"/>
          </w:tcPr>
          <w:p>
            <w:pPr>
              <w:tabs>
                <w:tab w:val="left" w:pos="1322"/>
              </w:tabs>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1518" w:type="dxa"/>
            <w:vAlign w:val="center"/>
          </w:tcPr>
          <w:p>
            <w:pPr>
              <w:tabs>
                <w:tab w:val="left" w:pos="1322"/>
              </w:tabs>
              <w:spacing w:line="360" w:lineRule="auto"/>
              <w:jc w:val="center"/>
              <w:rPr>
                <w:rFonts w:hint="eastAsia" w:ascii="宋体" w:hAnsi="宋体" w:eastAsia="宋体" w:cs="宋体"/>
                <w:color w:val="000000" w:themeColor="text1"/>
                <w:sz w:val="24"/>
                <w:szCs w:val="24"/>
                <w:highlight w:val="none"/>
                <w:lang w:val="en-GB"/>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项目负责人</w:t>
            </w:r>
          </w:p>
        </w:tc>
        <w:tc>
          <w:tcPr>
            <w:tcW w:w="1620" w:type="dxa"/>
            <w:vAlign w:val="center"/>
          </w:tcPr>
          <w:p>
            <w:pPr>
              <w:tabs>
                <w:tab w:val="left" w:pos="1322"/>
              </w:tabs>
              <w:spacing w:line="360" w:lineRule="auto"/>
              <w:jc w:val="center"/>
              <w:rPr>
                <w:rFonts w:hint="eastAsia" w:ascii="宋体" w:hAnsi="宋体" w:eastAsia="宋体" w:cs="宋体"/>
                <w:color w:val="000000" w:themeColor="text1"/>
                <w:sz w:val="24"/>
                <w:szCs w:val="24"/>
                <w:highlight w:val="none"/>
                <w:lang w:val="en-GB"/>
                <w14:textFill>
                  <w14:solidFill>
                    <w14:schemeClr w14:val="tx1"/>
                  </w14:solidFill>
                </w14:textFill>
              </w:rPr>
            </w:pPr>
          </w:p>
        </w:tc>
        <w:tc>
          <w:tcPr>
            <w:tcW w:w="1424" w:type="dxa"/>
            <w:vAlign w:val="center"/>
          </w:tcPr>
          <w:p>
            <w:pPr>
              <w:tabs>
                <w:tab w:val="left" w:pos="1322"/>
              </w:tabs>
              <w:spacing w:line="360" w:lineRule="auto"/>
              <w:jc w:val="center"/>
              <w:rPr>
                <w:rFonts w:hint="eastAsia" w:ascii="宋体" w:hAnsi="宋体" w:eastAsia="宋体" w:cs="宋体"/>
                <w:color w:val="000000" w:themeColor="text1"/>
                <w:sz w:val="24"/>
                <w:szCs w:val="24"/>
                <w:highlight w:val="none"/>
                <w:lang w:val="en-GB"/>
                <w14:textFill>
                  <w14:solidFill>
                    <w14:schemeClr w14:val="tx1"/>
                  </w14:solidFill>
                </w14:textFill>
              </w:rPr>
            </w:pPr>
          </w:p>
        </w:tc>
        <w:tc>
          <w:tcPr>
            <w:tcW w:w="1399" w:type="dxa"/>
            <w:vAlign w:val="center"/>
          </w:tcPr>
          <w:p>
            <w:pPr>
              <w:tabs>
                <w:tab w:val="left" w:pos="1322"/>
              </w:tabs>
              <w:spacing w:line="360" w:lineRule="auto"/>
              <w:jc w:val="center"/>
              <w:rPr>
                <w:rFonts w:hint="eastAsia" w:ascii="宋体" w:hAnsi="宋体" w:eastAsia="宋体" w:cs="宋体"/>
                <w:color w:val="000000" w:themeColor="text1"/>
                <w:sz w:val="24"/>
                <w:szCs w:val="24"/>
                <w:highlight w:val="none"/>
                <w:lang w:val="en-GB"/>
                <w14:textFill>
                  <w14:solidFill>
                    <w14:schemeClr w14:val="tx1"/>
                  </w14:solidFill>
                </w14:textFill>
              </w:rPr>
            </w:pPr>
          </w:p>
        </w:tc>
        <w:tc>
          <w:tcPr>
            <w:tcW w:w="2269" w:type="dxa"/>
            <w:vAlign w:val="center"/>
          </w:tcPr>
          <w:p>
            <w:pPr>
              <w:tabs>
                <w:tab w:val="left" w:pos="1322"/>
              </w:tabs>
              <w:spacing w:line="360" w:lineRule="auto"/>
              <w:jc w:val="center"/>
              <w:rPr>
                <w:rFonts w:hint="eastAsia" w:ascii="宋体" w:hAnsi="宋体" w:eastAsia="宋体" w:cs="宋体"/>
                <w:color w:val="000000" w:themeColor="text1"/>
                <w:sz w:val="24"/>
                <w:szCs w:val="24"/>
                <w:highlight w:val="none"/>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vAlign w:val="center"/>
          </w:tcPr>
          <w:p>
            <w:pPr>
              <w:autoSpaceDE w:val="0"/>
              <w:autoSpaceDN w:val="0"/>
              <w:adjustRightInd w:val="0"/>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1518" w:type="dxa"/>
            <w:vMerge w:val="restart"/>
            <w:vAlign w:val="center"/>
          </w:tcPr>
          <w:p>
            <w:pPr>
              <w:tabs>
                <w:tab w:val="left" w:pos="1322"/>
              </w:tabs>
              <w:spacing w:line="360" w:lineRule="auto"/>
              <w:jc w:val="center"/>
              <w:rPr>
                <w:rFonts w:hint="eastAsia" w:ascii="宋体" w:hAnsi="宋体" w:eastAsia="宋体" w:cs="宋体"/>
                <w:color w:val="000000" w:themeColor="text1"/>
                <w:sz w:val="24"/>
                <w:szCs w:val="24"/>
                <w:highlight w:val="none"/>
                <w:lang w:val="en-GB"/>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主要经办人员及其他人员配备情况</w:t>
            </w:r>
          </w:p>
        </w:tc>
        <w:tc>
          <w:tcPr>
            <w:tcW w:w="1620" w:type="dxa"/>
            <w:vAlign w:val="center"/>
          </w:tcPr>
          <w:p>
            <w:pPr>
              <w:tabs>
                <w:tab w:val="left" w:pos="1322"/>
              </w:tabs>
              <w:spacing w:line="360" w:lineRule="auto"/>
              <w:jc w:val="center"/>
              <w:rPr>
                <w:rFonts w:hint="eastAsia" w:ascii="宋体" w:hAnsi="宋体" w:eastAsia="宋体" w:cs="宋体"/>
                <w:color w:val="000000" w:themeColor="text1"/>
                <w:sz w:val="24"/>
                <w:szCs w:val="24"/>
                <w:highlight w:val="none"/>
                <w:lang w:val="en-GB"/>
                <w14:textFill>
                  <w14:solidFill>
                    <w14:schemeClr w14:val="tx1"/>
                  </w14:solidFill>
                </w14:textFill>
              </w:rPr>
            </w:pPr>
          </w:p>
        </w:tc>
        <w:tc>
          <w:tcPr>
            <w:tcW w:w="1424" w:type="dxa"/>
            <w:vAlign w:val="center"/>
          </w:tcPr>
          <w:p>
            <w:pPr>
              <w:tabs>
                <w:tab w:val="left" w:pos="1322"/>
              </w:tabs>
              <w:spacing w:line="360" w:lineRule="auto"/>
              <w:jc w:val="center"/>
              <w:rPr>
                <w:rFonts w:hint="eastAsia" w:ascii="宋体" w:hAnsi="宋体" w:eastAsia="宋体" w:cs="宋体"/>
                <w:color w:val="000000" w:themeColor="text1"/>
                <w:sz w:val="24"/>
                <w:szCs w:val="24"/>
                <w:highlight w:val="none"/>
                <w:lang w:val="en-GB"/>
                <w14:textFill>
                  <w14:solidFill>
                    <w14:schemeClr w14:val="tx1"/>
                  </w14:solidFill>
                </w14:textFill>
              </w:rPr>
            </w:pPr>
          </w:p>
        </w:tc>
        <w:tc>
          <w:tcPr>
            <w:tcW w:w="1399" w:type="dxa"/>
            <w:vAlign w:val="center"/>
          </w:tcPr>
          <w:p>
            <w:pPr>
              <w:tabs>
                <w:tab w:val="left" w:pos="1322"/>
              </w:tabs>
              <w:spacing w:line="360" w:lineRule="auto"/>
              <w:jc w:val="center"/>
              <w:rPr>
                <w:rFonts w:hint="eastAsia" w:ascii="宋体" w:hAnsi="宋体" w:eastAsia="宋体" w:cs="宋体"/>
                <w:color w:val="000000" w:themeColor="text1"/>
                <w:sz w:val="24"/>
                <w:szCs w:val="24"/>
                <w:highlight w:val="none"/>
                <w:lang w:val="en-GB"/>
                <w14:textFill>
                  <w14:solidFill>
                    <w14:schemeClr w14:val="tx1"/>
                  </w14:solidFill>
                </w14:textFill>
              </w:rPr>
            </w:pPr>
          </w:p>
        </w:tc>
        <w:tc>
          <w:tcPr>
            <w:tcW w:w="2269" w:type="dxa"/>
            <w:vAlign w:val="center"/>
          </w:tcPr>
          <w:p>
            <w:pPr>
              <w:tabs>
                <w:tab w:val="left" w:pos="1322"/>
              </w:tabs>
              <w:spacing w:line="360" w:lineRule="auto"/>
              <w:jc w:val="center"/>
              <w:rPr>
                <w:rFonts w:hint="eastAsia" w:ascii="宋体" w:hAnsi="宋体" w:eastAsia="宋体" w:cs="宋体"/>
                <w:color w:val="000000" w:themeColor="text1"/>
                <w:sz w:val="24"/>
                <w:szCs w:val="24"/>
                <w:highlight w:val="none"/>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vAlign w:val="center"/>
          </w:tcPr>
          <w:p>
            <w:pPr>
              <w:autoSpaceDE w:val="0"/>
              <w:autoSpaceDN w:val="0"/>
              <w:adjustRightInd w:val="0"/>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c>
          <w:tcPr>
            <w:tcW w:w="1518" w:type="dxa"/>
            <w:vMerge w:val="continue"/>
            <w:vAlign w:val="center"/>
          </w:tcPr>
          <w:p>
            <w:pPr>
              <w:tabs>
                <w:tab w:val="left" w:pos="1322"/>
              </w:tabs>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620" w:type="dxa"/>
            <w:vAlign w:val="center"/>
          </w:tcPr>
          <w:p>
            <w:pPr>
              <w:tabs>
                <w:tab w:val="left" w:pos="1322"/>
              </w:tabs>
              <w:spacing w:line="360" w:lineRule="auto"/>
              <w:jc w:val="center"/>
              <w:rPr>
                <w:rFonts w:hint="eastAsia" w:ascii="宋体" w:hAnsi="宋体" w:eastAsia="宋体" w:cs="宋体"/>
                <w:color w:val="000000" w:themeColor="text1"/>
                <w:sz w:val="24"/>
                <w:szCs w:val="24"/>
                <w:highlight w:val="none"/>
                <w:lang w:val="en-GB"/>
                <w14:textFill>
                  <w14:solidFill>
                    <w14:schemeClr w14:val="tx1"/>
                  </w14:solidFill>
                </w14:textFill>
              </w:rPr>
            </w:pPr>
          </w:p>
        </w:tc>
        <w:tc>
          <w:tcPr>
            <w:tcW w:w="1424" w:type="dxa"/>
            <w:vAlign w:val="center"/>
          </w:tcPr>
          <w:p>
            <w:pPr>
              <w:tabs>
                <w:tab w:val="left" w:pos="1322"/>
              </w:tabs>
              <w:spacing w:line="360" w:lineRule="auto"/>
              <w:jc w:val="center"/>
              <w:rPr>
                <w:rFonts w:hint="eastAsia" w:ascii="宋体" w:hAnsi="宋体" w:eastAsia="宋体" w:cs="宋体"/>
                <w:color w:val="000000" w:themeColor="text1"/>
                <w:sz w:val="24"/>
                <w:szCs w:val="24"/>
                <w:highlight w:val="none"/>
                <w:lang w:val="en-GB"/>
                <w14:textFill>
                  <w14:solidFill>
                    <w14:schemeClr w14:val="tx1"/>
                  </w14:solidFill>
                </w14:textFill>
              </w:rPr>
            </w:pPr>
          </w:p>
        </w:tc>
        <w:tc>
          <w:tcPr>
            <w:tcW w:w="1399" w:type="dxa"/>
            <w:vAlign w:val="center"/>
          </w:tcPr>
          <w:p>
            <w:pPr>
              <w:tabs>
                <w:tab w:val="left" w:pos="1322"/>
              </w:tabs>
              <w:spacing w:line="360" w:lineRule="auto"/>
              <w:jc w:val="center"/>
              <w:rPr>
                <w:rFonts w:hint="eastAsia" w:ascii="宋体" w:hAnsi="宋体" w:eastAsia="宋体" w:cs="宋体"/>
                <w:color w:val="000000" w:themeColor="text1"/>
                <w:sz w:val="24"/>
                <w:szCs w:val="24"/>
                <w:highlight w:val="none"/>
                <w:lang w:val="en-GB"/>
                <w14:textFill>
                  <w14:solidFill>
                    <w14:schemeClr w14:val="tx1"/>
                  </w14:solidFill>
                </w14:textFill>
              </w:rPr>
            </w:pPr>
          </w:p>
        </w:tc>
        <w:tc>
          <w:tcPr>
            <w:tcW w:w="2269" w:type="dxa"/>
            <w:vAlign w:val="center"/>
          </w:tcPr>
          <w:p>
            <w:pPr>
              <w:tabs>
                <w:tab w:val="left" w:pos="1322"/>
              </w:tabs>
              <w:spacing w:line="360" w:lineRule="auto"/>
              <w:jc w:val="center"/>
              <w:rPr>
                <w:rFonts w:hint="eastAsia" w:ascii="宋体" w:hAnsi="宋体" w:eastAsia="宋体" w:cs="宋体"/>
                <w:color w:val="000000" w:themeColor="text1"/>
                <w:sz w:val="24"/>
                <w:szCs w:val="24"/>
                <w:highlight w:val="none"/>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vAlign w:val="center"/>
          </w:tcPr>
          <w:p>
            <w:pPr>
              <w:autoSpaceDE w:val="0"/>
              <w:autoSpaceDN w:val="0"/>
              <w:adjustRightInd w:val="0"/>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w:t>
            </w:r>
          </w:p>
        </w:tc>
        <w:tc>
          <w:tcPr>
            <w:tcW w:w="1518" w:type="dxa"/>
            <w:vMerge w:val="continue"/>
            <w:vAlign w:val="center"/>
          </w:tcPr>
          <w:p>
            <w:pPr>
              <w:tabs>
                <w:tab w:val="left" w:pos="1322"/>
              </w:tabs>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620" w:type="dxa"/>
            <w:vAlign w:val="center"/>
          </w:tcPr>
          <w:p>
            <w:pPr>
              <w:tabs>
                <w:tab w:val="left" w:pos="1322"/>
              </w:tabs>
              <w:spacing w:line="360" w:lineRule="auto"/>
              <w:jc w:val="center"/>
              <w:rPr>
                <w:rFonts w:hint="eastAsia" w:ascii="宋体" w:hAnsi="宋体" w:eastAsia="宋体" w:cs="宋体"/>
                <w:color w:val="000000" w:themeColor="text1"/>
                <w:sz w:val="24"/>
                <w:szCs w:val="24"/>
                <w:highlight w:val="none"/>
                <w:lang w:val="en-GB"/>
                <w14:textFill>
                  <w14:solidFill>
                    <w14:schemeClr w14:val="tx1"/>
                  </w14:solidFill>
                </w14:textFill>
              </w:rPr>
            </w:pPr>
          </w:p>
        </w:tc>
        <w:tc>
          <w:tcPr>
            <w:tcW w:w="1424" w:type="dxa"/>
            <w:vAlign w:val="center"/>
          </w:tcPr>
          <w:p>
            <w:pPr>
              <w:tabs>
                <w:tab w:val="left" w:pos="1322"/>
              </w:tabs>
              <w:spacing w:line="360" w:lineRule="auto"/>
              <w:jc w:val="center"/>
              <w:rPr>
                <w:rFonts w:hint="eastAsia" w:ascii="宋体" w:hAnsi="宋体" w:eastAsia="宋体" w:cs="宋体"/>
                <w:color w:val="000000" w:themeColor="text1"/>
                <w:sz w:val="24"/>
                <w:szCs w:val="24"/>
                <w:highlight w:val="none"/>
                <w:lang w:val="en-GB"/>
                <w14:textFill>
                  <w14:solidFill>
                    <w14:schemeClr w14:val="tx1"/>
                  </w14:solidFill>
                </w14:textFill>
              </w:rPr>
            </w:pPr>
          </w:p>
        </w:tc>
        <w:tc>
          <w:tcPr>
            <w:tcW w:w="1399" w:type="dxa"/>
            <w:vAlign w:val="center"/>
          </w:tcPr>
          <w:p>
            <w:pPr>
              <w:tabs>
                <w:tab w:val="left" w:pos="1322"/>
              </w:tabs>
              <w:spacing w:line="360" w:lineRule="auto"/>
              <w:jc w:val="center"/>
              <w:rPr>
                <w:rFonts w:hint="eastAsia" w:ascii="宋体" w:hAnsi="宋体" w:eastAsia="宋体" w:cs="宋体"/>
                <w:color w:val="000000" w:themeColor="text1"/>
                <w:sz w:val="24"/>
                <w:szCs w:val="24"/>
                <w:highlight w:val="none"/>
                <w:lang w:val="en-GB"/>
                <w14:textFill>
                  <w14:solidFill>
                    <w14:schemeClr w14:val="tx1"/>
                  </w14:solidFill>
                </w14:textFill>
              </w:rPr>
            </w:pPr>
          </w:p>
        </w:tc>
        <w:tc>
          <w:tcPr>
            <w:tcW w:w="2269" w:type="dxa"/>
            <w:vAlign w:val="center"/>
          </w:tcPr>
          <w:p>
            <w:pPr>
              <w:tabs>
                <w:tab w:val="left" w:pos="1322"/>
              </w:tabs>
              <w:spacing w:line="360" w:lineRule="auto"/>
              <w:jc w:val="center"/>
              <w:rPr>
                <w:rFonts w:hint="eastAsia" w:ascii="宋体" w:hAnsi="宋体" w:eastAsia="宋体" w:cs="宋体"/>
                <w:color w:val="000000" w:themeColor="text1"/>
                <w:sz w:val="24"/>
                <w:szCs w:val="24"/>
                <w:highlight w:val="none"/>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vAlign w:val="center"/>
          </w:tcPr>
          <w:p>
            <w:pPr>
              <w:autoSpaceDE w:val="0"/>
              <w:autoSpaceDN w:val="0"/>
              <w:adjustRightInd w:val="0"/>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1518" w:type="dxa"/>
            <w:vMerge w:val="continue"/>
            <w:vAlign w:val="center"/>
          </w:tcPr>
          <w:p>
            <w:pPr>
              <w:tabs>
                <w:tab w:val="left" w:pos="1322"/>
              </w:tabs>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620" w:type="dxa"/>
            <w:vAlign w:val="center"/>
          </w:tcPr>
          <w:p>
            <w:pPr>
              <w:tabs>
                <w:tab w:val="left" w:pos="1322"/>
              </w:tabs>
              <w:spacing w:line="360" w:lineRule="auto"/>
              <w:jc w:val="center"/>
              <w:rPr>
                <w:rFonts w:hint="eastAsia" w:ascii="宋体" w:hAnsi="宋体" w:eastAsia="宋体" w:cs="宋体"/>
                <w:color w:val="000000" w:themeColor="text1"/>
                <w:sz w:val="24"/>
                <w:szCs w:val="24"/>
                <w:highlight w:val="none"/>
                <w:lang w:val="en-GB"/>
                <w14:textFill>
                  <w14:solidFill>
                    <w14:schemeClr w14:val="tx1"/>
                  </w14:solidFill>
                </w14:textFill>
              </w:rPr>
            </w:pPr>
          </w:p>
        </w:tc>
        <w:tc>
          <w:tcPr>
            <w:tcW w:w="1424" w:type="dxa"/>
            <w:vAlign w:val="center"/>
          </w:tcPr>
          <w:p>
            <w:pPr>
              <w:tabs>
                <w:tab w:val="left" w:pos="1322"/>
              </w:tabs>
              <w:spacing w:line="360" w:lineRule="auto"/>
              <w:jc w:val="center"/>
              <w:rPr>
                <w:rFonts w:hint="eastAsia" w:ascii="宋体" w:hAnsi="宋体" w:eastAsia="宋体" w:cs="宋体"/>
                <w:color w:val="000000" w:themeColor="text1"/>
                <w:sz w:val="24"/>
                <w:szCs w:val="24"/>
                <w:highlight w:val="none"/>
                <w:lang w:val="en-GB"/>
                <w14:textFill>
                  <w14:solidFill>
                    <w14:schemeClr w14:val="tx1"/>
                  </w14:solidFill>
                </w14:textFill>
              </w:rPr>
            </w:pPr>
          </w:p>
        </w:tc>
        <w:tc>
          <w:tcPr>
            <w:tcW w:w="1399" w:type="dxa"/>
            <w:vAlign w:val="center"/>
          </w:tcPr>
          <w:p>
            <w:pPr>
              <w:tabs>
                <w:tab w:val="left" w:pos="1322"/>
              </w:tabs>
              <w:spacing w:line="360" w:lineRule="auto"/>
              <w:jc w:val="center"/>
              <w:rPr>
                <w:rFonts w:hint="eastAsia" w:ascii="宋体" w:hAnsi="宋体" w:eastAsia="宋体" w:cs="宋体"/>
                <w:color w:val="000000" w:themeColor="text1"/>
                <w:sz w:val="24"/>
                <w:szCs w:val="24"/>
                <w:highlight w:val="none"/>
                <w:lang w:val="en-GB"/>
                <w14:textFill>
                  <w14:solidFill>
                    <w14:schemeClr w14:val="tx1"/>
                  </w14:solidFill>
                </w14:textFill>
              </w:rPr>
            </w:pPr>
          </w:p>
        </w:tc>
        <w:tc>
          <w:tcPr>
            <w:tcW w:w="2269" w:type="dxa"/>
            <w:vAlign w:val="center"/>
          </w:tcPr>
          <w:p>
            <w:pPr>
              <w:tabs>
                <w:tab w:val="left" w:pos="1322"/>
              </w:tabs>
              <w:spacing w:line="360" w:lineRule="auto"/>
              <w:jc w:val="center"/>
              <w:rPr>
                <w:rFonts w:hint="eastAsia" w:ascii="宋体" w:hAnsi="宋体" w:eastAsia="宋体" w:cs="宋体"/>
                <w:color w:val="000000" w:themeColor="text1"/>
                <w:sz w:val="24"/>
                <w:szCs w:val="24"/>
                <w:highlight w:val="none"/>
                <w:lang w:val="en-GB"/>
                <w14:textFill>
                  <w14:solidFill>
                    <w14:schemeClr w14:val="tx1"/>
                  </w14:solidFill>
                </w14:textFill>
              </w:rPr>
            </w:pPr>
          </w:p>
        </w:tc>
      </w:tr>
    </w:tbl>
    <w:p>
      <w:pPr>
        <w:adjustRightInd w:val="0"/>
        <w:snapToGrid w:val="0"/>
        <w:spacing w:line="360" w:lineRule="auto"/>
        <w:ind w:firstLine="210" w:firstLineChars="100"/>
        <w:rPr>
          <w:rFonts w:hint="eastAsia" w:ascii="宋体" w:hAnsi="宋体" w:eastAsia="宋体" w:cs="宋体"/>
          <w:bCs/>
          <w:kern w:val="0"/>
          <w:sz w:val="24"/>
          <w:szCs w:val="24"/>
          <w:highlight w:val="none"/>
        </w:rPr>
      </w:pPr>
      <w:r>
        <w:rPr>
          <w:rFonts w:hint="eastAsia" w:ascii="宋体" w:hAnsi="宋体" w:eastAsia="宋体" w:cs="宋体"/>
          <w:bCs/>
          <w:kern w:val="0"/>
          <w:sz w:val="21"/>
          <w:szCs w:val="21"/>
          <w:highlight w:val="none"/>
        </w:rPr>
        <w:t>注：</w:t>
      </w:r>
      <w:r>
        <w:rPr>
          <w:rFonts w:hint="eastAsia" w:ascii="宋体" w:hAnsi="宋体" w:eastAsia="宋体" w:cs="宋体"/>
          <w:sz w:val="21"/>
          <w:szCs w:val="21"/>
          <w:highlight w:val="none"/>
        </w:rPr>
        <w:t>本表后应按要求附相关人员的资格证书证明材料及本单位近1个月的个人社保证明页。</w:t>
      </w:r>
    </w:p>
    <w:p>
      <w:pPr>
        <w:tabs>
          <w:tab w:val="left" w:pos="1260"/>
        </w:tabs>
        <w:adjustRightInd w:val="0"/>
        <w:snapToGrid w:val="0"/>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pPr>
        <w:tabs>
          <w:tab w:val="left" w:pos="13320"/>
        </w:tabs>
        <w:snapToGrid w:val="0"/>
        <w:spacing w:line="360" w:lineRule="auto"/>
        <w:ind w:left="718" w:leftChars="342" w:right="-52" w:firstLine="2635" w:firstLineChars="1098"/>
        <w:rPr>
          <w:rFonts w:hint="eastAsia" w:ascii="宋体" w:hAnsi="宋体" w:eastAsia="宋体" w:cs="宋体"/>
          <w:color w:val="000000" w:themeColor="text1"/>
          <w:sz w:val="24"/>
          <w:szCs w:val="24"/>
          <w:highlight w:val="none"/>
          <w14:textFill>
            <w14:solidFill>
              <w14:schemeClr w14:val="tx1"/>
            </w14:solidFill>
          </w14:textFill>
        </w:rPr>
      </w:pPr>
    </w:p>
    <w:p>
      <w:pPr>
        <w:tabs>
          <w:tab w:val="left" w:pos="13320"/>
        </w:tabs>
        <w:snapToGrid w:val="0"/>
        <w:spacing w:line="360" w:lineRule="auto"/>
        <w:ind w:left="718" w:leftChars="342" w:right="-52" w:firstLine="2635" w:firstLineChars="1098"/>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报价人（公章）：</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tabs>
          <w:tab w:val="left" w:pos="13320"/>
        </w:tabs>
        <w:snapToGrid w:val="0"/>
        <w:spacing w:line="360" w:lineRule="auto"/>
        <w:ind w:left="718" w:leftChars="342" w:right="-52" w:firstLine="2635" w:firstLineChars="1098"/>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法定代表人或授权代表（签字或盖章）：</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pStyle w:val="11"/>
        <w:spacing w:line="360" w:lineRule="auto"/>
        <w:ind w:firstLine="3360" w:firstLineChars="1400"/>
        <w:rPr>
          <w:rFonts w:hint="eastAsia" w:ascii="宋体" w:hAnsi="宋体" w:eastAsia="宋体" w:cs="宋体"/>
          <w:color w:val="000000" w:themeColor="text1"/>
          <w:sz w:val="18"/>
          <w:szCs w:val="18"/>
          <w:highlight w:val="none"/>
          <w:shd w:val="clear" w:color="auto" w:fill="FFFFFF"/>
          <w14:textFill>
            <w14:solidFill>
              <w14:schemeClr w14:val="tx1"/>
            </w14:solidFill>
          </w14:textFill>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pPr>
        <w:pStyle w:val="11"/>
        <w:adjustRightInd w:val="0"/>
        <w:snapToGrid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p>
    <w:p>
      <w:pPr>
        <w:adjustRightInd w:val="0"/>
        <w:snapToGrid w:val="0"/>
        <w:spacing w:line="360" w:lineRule="auto"/>
        <w:jc w:val="center"/>
        <w:rPr>
          <w:rFonts w:hint="eastAsia" w:ascii="宋体" w:hAnsi="宋体" w:eastAsia="宋体" w:cs="宋体"/>
          <w:b/>
          <w:bCs/>
          <w:color w:val="000000" w:themeColor="text1"/>
          <w:sz w:val="48"/>
          <w:szCs w:val="48"/>
          <w:highlight w:val="none"/>
          <w14:textFill>
            <w14:solidFill>
              <w14:schemeClr w14:val="tx1"/>
            </w14:solidFill>
          </w14:textFill>
        </w:rPr>
      </w:pPr>
    </w:p>
    <w:p>
      <w:pPr>
        <w:adjustRightInd w:val="0"/>
        <w:snapToGrid w:val="0"/>
        <w:spacing w:line="360" w:lineRule="auto"/>
        <w:jc w:val="center"/>
        <w:rPr>
          <w:rFonts w:hint="eastAsia" w:ascii="宋体" w:hAnsi="宋体" w:eastAsia="宋体" w:cs="宋体"/>
          <w:b/>
          <w:bCs/>
          <w:color w:val="000000" w:themeColor="text1"/>
          <w:sz w:val="48"/>
          <w:szCs w:val="48"/>
          <w:highlight w:val="none"/>
          <w14:textFill>
            <w14:solidFill>
              <w14:schemeClr w14:val="tx1"/>
            </w14:solidFill>
          </w14:textFill>
        </w:rPr>
      </w:pPr>
    </w:p>
    <w:p>
      <w:pPr>
        <w:adjustRightInd w:val="0"/>
        <w:snapToGrid w:val="0"/>
        <w:spacing w:line="360" w:lineRule="auto"/>
        <w:jc w:val="center"/>
        <w:rPr>
          <w:rFonts w:hint="eastAsia" w:ascii="宋体" w:hAnsi="宋体" w:eastAsia="宋体" w:cs="宋体"/>
          <w:b/>
          <w:bCs/>
          <w:color w:val="000000" w:themeColor="text1"/>
          <w:sz w:val="48"/>
          <w:szCs w:val="48"/>
          <w:highlight w:val="none"/>
          <w14:textFill>
            <w14:solidFill>
              <w14:schemeClr w14:val="tx1"/>
            </w14:solidFill>
          </w14:textFill>
        </w:rPr>
      </w:pPr>
    </w:p>
    <w:p>
      <w:pPr>
        <w:pStyle w:val="11"/>
        <w:spacing w:line="360" w:lineRule="auto"/>
        <w:rPr>
          <w:rFonts w:hint="eastAsia" w:ascii="宋体" w:hAnsi="宋体" w:eastAsia="宋体" w:cs="宋体"/>
          <w:sz w:val="24"/>
          <w:szCs w:val="24"/>
          <w:highlight w:val="none"/>
        </w:rPr>
      </w:pPr>
    </w:p>
    <w:p>
      <w:pPr>
        <w:pStyle w:val="11"/>
        <w:spacing w:line="360" w:lineRule="auto"/>
        <w:rPr>
          <w:rFonts w:hint="eastAsia" w:ascii="宋体" w:hAnsi="宋体" w:eastAsia="宋体" w:cs="宋体"/>
          <w:sz w:val="24"/>
          <w:szCs w:val="24"/>
          <w:highlight w:val="none"/>
        </w:rPr>
      </w:pPr>
    </w:p>
    <w:p>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pPr>
        <w:pStyle w:val="11"/>
        <w:spacing w:line="360" w:lineRule="auto"/>
        <w:rPr>
          <w:rFonts w:hint="eastAsia" w:ascii="宋体" w:hAnsi="宋体" w:eastAsia="宋体" w:cs="宋体"/>
          <w:sz w:val="18"/>
          <w:szCs w:val="18"/>
          <w:highlight w:val="none"/>
          <w:shd w:val="clear" w:color="auto" w:fill="FFFFFF"/>
        </w:rPr>
      </w:pPr>
      <w:r>
        <w:rPr>
          <w:rFonts w:hint="eastAsia" w:ascii="宋体" w:hAnsi="宋体" w:eastAsia="宋体" w:cs="宋体"/>
          <w:sz w:val="24"/>
          <w:szCs w:val="24"/>
          <w:highlight w:val="none"/>
        </w:rPr>
        <w:t>附件六</w:t>
      </w:r>
    </w:p>
    <w:p>
      <w:pPr>
        <w:adjustRightInd w:val="0"/>
        <w:snapToGrid w:val="0"/>
        <w:spacing w:line="360" w:lineRule="auto"/>
        <w:jc w:val="center"/>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rPr>
        <w:t>承诺书</w:t>
      </w:r>
    </w:p>
    <w:p>
      <w:pPr>
        <w:adjustRightInd w:val="0"/>
        <w:snapToGrid w:val="0"/>
        <w:spacing w:line="360" w:lineRule="auto"/>
        <w:ind w:firstLine="560" w:firstLineChars="200"/>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color w:val="000000"/>
          <w:sz w:val="28"/>
          <w:szCs w:val="28"/>
          <w:highlight w:val="none"/>
        </w:rPr>
        <w:t>本公司承诺本次关于</w:t>
      </w:r>
      <w:r>
        <w:rPr>
          <w:rFonts w:hint="eastAsia" w:ascii="宋体" w:hAnsi="宋体" w:eastAsia="宋体" w:cs="宋体"/>
          <w:sz w:val="28"/>
          <w:szCs w:val="28"/>
          <w:highlight w:val="none"/>
          <w:u w:val="single"/>
          <w:lang w:eastAsia="zh-CN"/>
        </w:rPr>
        <w:t>多宝路、宝源路历史文化街区保护活化利用项目</w:t>
      </w:r>
      <w:r>
        <w:rPr>
          <w:rFonts w:hint="eastAsia" w:ascii="宋体" w:hAnsi="宋体" w:eastAsia="宋体" w:cs="宋体"/>
          <w:sz w:val="28"/>
          <w:szCs w:val="28"/>
          <w:highlight w:val="none"/>
          <w:u w:val="single"/>
        </w:rPr>
        <w:t>可行性研究报告编制</w:t>
      </w:r>
      <w:r>
        <w:rPr>
          <w:rFonts w:hint="eastAsia" w:ascii="宋体" w:hAnsi="宋体" w:eastAsia="宋体" w:cs="宋体"/>
          <w:color w:val="000000"/>
          <w:sz w:val="28"/>
          <w:szCs w:val="28"/>
          <w:highlight w:val="none"/>
        </w:rPr>
        <w:t>报价文件中所提供的全部材料均为属实，</w:t>
      </w:r>
      <w:r>
        <w:rPr>
          <w:rFonts w:hint="eastAsia" w:ascii="宋体" w:hAnsi="宋体" w:eastAsia="宋体" w:cs="宋体"/>
          <w:color w:val="000000" w:themeColor="text1"/>
          <w:sz w:val="28"/>
          <w:szCs w:val="28"/>
          <w:highlight w:val="none"/>
          <w14:textFill>
            <w14:solidFill>
              <w14:schemeClr w14:val="tx1"/>
            </w14:solidFill>
          </w14:textFill>
        </w:rPr>
        <w:t>提交本承诺书的前3年内在经营活动中没有重大违法记录，</w:t>
      </w:r>
      <w:r>
        <w:rPr>
          <w:rFonts w:hint="eastAsia" w:ascii="宋体" w:hAnsi="宋体" w:eastAsia="宋体" w:cs="宋体"/>
          <w:color w:val="000000"/>
          <w:sz w:val="28"/>
          <w:szCs w:val="28"/>
          <w:highlight w:val="none"/>
        </w:rPr>
        <w:t>如有虚假，本公司将承担一切后果及法律责任，特此承诺。</w:t>
      </w:r>
    </w:p>
    <w:p>
      <w:pPr>
        <w:spacing w:line="360" w:lineRule="auto"/>
        <w:jc w:val="left"/>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w:t>
      </w:r>
    </w:p>
    <w:p>
      <w:pPr>
        <w:adjustRightInd w:val="0"/>
        <w:snapToGrid w:val="0"/>
        <w:spacing w:line="360" w:lineRule="auto"/>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14:textFill>
            <w14:solidFill>
              <w14:schemeClr w14:val="tx1"/>
            </w14:solidFill>
          </w14:textFill>
        </w:rPr>
        <w:t xml:space="preserve"> </w:t>
      </w:r>
    </w:p>
    <w:p>
      <w:pPr>
        <w:adjustRightInd w:val="0"/>
        <w:snapToGrid w:val="0"/>
        <w:spacing w:line="360" w:lineRule="auto"/>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14:textFill>
            <w14:solidFill>
              <w14:schemeClr w14:val="tx1"/>
            </w14:solidFill>
          </w14:textFill>
        </w:rPr>
        <w:t xml:space="preserve"> </w:t>
      </w:r>
    </w:p>
    <w:p>
      <w:pPr>
        <w:adjustRightInd w:val="0"/>
        <w:snapToGrid w:val="0"/>
        <w:spacing w:line="360" w:lineRule="auto"/>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14:textFill>
            <w14:solidFill>
              <w14:schemeClr w14:val="tx1"/>
            </w14:solidFill>
          </w14:textFill>
        </w:rPr>
        <w:t xml:space="preserve"> </w:t>
      </w:r>
    </w:p>
    <w:p>
      <w:pPr>
        <w:tabs>
          <w:tab w:val="left" w:pos="13320"/>
        </w:tabs>
        <w:snapToGrid w:val="0"/>
        <w:spacing w:line="360" w:lineRule="auto"/>
        <w:ind w:left="718" w:leftChars="342" w:right="-52" w:firstLine="2872" w:firstLineChars="1197"/>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报价人（公章）：</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tabs>
          <w:tab w:val="left" w:pos="13320"/>
        </w:tabs>
        <w:snapToGrid w:val="0"/>
        <w:spacing w:line="360" w:lineRule="auto"/>
        <w:ind w:left="718" w:leftChars="342" w:right="-52" w:firstLine="2872" w:firstLineChars="1197"/>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法定代表人或授权代表（签字或盖章）：</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adjustRightInd w:val="0"/>
        <w:snapToGrid w:val="0"/>
        <w:spacing w:line="360" w:lineRule="auto"/>
        <w:ind w:right="480" w:firstLine="3600" w:firstLineChars="15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pPr>
        <w:adjustRightInd w:val="0"/>
        <w:snapToGrid w:val="0"/>
        <w:spacing w:line="360" w:lineRule="auto"/>
        <w:ind w:right="480" w:firstLine="3150" w:firstLineChars="1500"/>
        <w:rPr>
          <w:rFonts w:hint="eastAsia" w:ascii="宋体" w:hAnsi="宋体" w:eastAsia="宋体" w:cs="宋体"/>
          <w:color w:val="000000" w:themeColor="text1"/>
          <w:highlight w:val="none"/>
          <w14:textFill>
            <w14:solidFill>
              <w14:schemeClr w14:val="tx1"/>
            </w14:solidFill>
          </w14:textFill>
        </w:rPr>
      </w:pPr>
    </w:p>
    <w:p>
      <w:pPr>
        <w:widowControl/>
        <w:shd w:val="clear" w:color="auto" w:fill="FFFFFF"/>
        <w:jc w:val="center"/>
        <w:rPr>
          <w:rFonts w:hint="eastAsia" w:ascii="宋体" w:hAnsi="宋体" w:eastAsia="宋体" w:cs="宋体"/>
          <w:color w:val="333333"/>
          <w:kern w:val="0"/>
          <w:sz w:val="24"/>
          <w:szCs w:val="24"/>
          <w:highlight w:val="none"/>
        </w:rPr>
      </w:pPr>
    </w:p>
    <w:p>
      <w:pPr>
        <w:pStyle w:val="2"/>
        <w:rPr>
          <w:rFonts w:hint="eastAsia" w:ascii="宋体" w:hAnsi="宋体" w:eastAsia="宋体" w:cs="宋体"/>
          <w:color w:val="333333"/>
          <w:kern w:val="0"/>
          <w:sz w:val="24"/>
          <w:szCs w:val="24"/>
          <w:highlight w:val="none"/>
        </w:rPr>
      </w:pPr>
    </w:p>
    <w:p>
      <w:pPr>
        <w:pStyle w:val="2"/>
        <w:rPr>
          <w:rFonts w:hint="eastAsia" w:ascii="宋体" w:hAnsi="宋体" w:eastAsia="宋体" w:cs="宋体"/>
          <w:color w:val="333333"/>
          <w:kern w:val="0"/>
          <w:sz w:val="24"/>
          <w:szCs w:val="24"/>
          <w:highlight w:val="none"/>
        </w:rPr>
      </w:pPr>
    </w:p>
    <w:p>
      <w:pPr>
        <w:pStyle w:val="2"/>
        <w:rPr>
          <w:rFonts w:hint="eastAsia" w:ascii="宋体" w:hAnsi="宋体" w:eastAsia="宋体" w:cs="宋体"/>
          <w:color w:val="333333"/>
          <w:kern w:val="0"/>
          <w:sz w:val="24"/>
          <w:szCs w:val="24"/>
          <w:highlight w:val="none"/>
        </w:rPr>
      </w:pPr>
    </w:p>
    <w:p>
      <w:pPr>
        <w:pStyle w:val="2"/>
        <w:rPr>
          <w:rFonts w:hint="eastAsia" w:ascii="宋体" w:hAnsi="宋体" w:eastAsia="宋体" w:cs="宋体"/>
          <w:color w:val="333333"/>
          <w:kern w:val="0"/>
          <w:sz w:val="24"/>
          <w:szCs w:val="24"/>
          <w:highlight w:val="none"/>
        </w:rPr>
      </w:pPr>
    </w:p>
    <w:p>
      <w:pPr>
        <w:pStyle w:val="2"/>
        <w:rPr>
          <w:rFonts w:hint="eastAsia" w:ascii="宋体" w:hAnsi="宋体" w:eastAsia="宋体" w:cs="宋体"/>
          <w:color w:val="333333"/>
          <w:kern w:val="0"/>
          <w:sz w:val="24"/>
          <w:szCs w:val="24"/>
          <w:highlight w:val="none"/>
        </w:rPr>
      </w:pPr>
    </w:p>
    <w:p>
      <w:pPr>
        <w:pStyle w:val="2"/>
        <w:rPr>
          <w:rFonts w:hint="eastAsia" w:ascii="宋体" w:hAnsi="宋体" w:eastAsia="宋体" w:cs="宋体"/>
          <w:color w:val="333333"/>
          <w:kern w:val="0"/>
          <w:sz w:val="24"/>
          <w:szCs w:val="24"/>
          <w:highlight w:val="none"/>
        </w:rPr>
      </w:pPr>
    </w:p>
    <w:p>
      <w:pPr>
        <w:pStyle w:val="2"/>
        <w:rPr>
          <w:rFonts w:hint="eastAsia" w:ascii="宋体" w:hAnsi="宋体" w:eastAsia="宋体" w:cs="宋体"/>
          <w:color w:val="333333"/>
          <w:kern w:val="0"/>
          <w:sz w:val="24"/>
          <w:szCs w:val="24"/>
          <w:highlight w:val="none"/>
        </w:rPr>
      </w:pPr>
    </w:p>
    <w:p>
      <w:pPr>
        <w:pStyle w:val="2"/>
        <w:rPr>
          <w:rFonts w:hint="eastAsia" w:ascii="宋体" w:hAnsi="宋体" w:eastAsia="宋体" w:cs="宋体"/>
          <w:color w:val="333333"/>
          <w:kern w:val="0"/>
          <w:sz w:val="24"/>
          <w:szCs w:val="24"/>
          <w:highlight w:val="none"/>
        </w:rPr>
      </w:pPr>
    </w:p>
    <w:p>
      <w:pPr>
        <w:pStyle w:val="2"/>
        <w:rPr>
          <w:rFonts w:hint="eastAsia" w:ascii="宋体" w:hAnsi="宋体" w:eastAsia="宋体" w:cs="宋体"/>
          <w:color w:val="333333"/>
          <w:kern w:val="0"/>
          <w:sz w:val="24"/>
          <w:szCs w:val="24"/>
          <w:highlight w:val="none"/>
        </w:rPr>
      </w:pPr>
    </w:p>
    <w:p>
      <w:pPr>
        <w:pStyle w:val="2"/>
        <w:rPr>
          <w:rFonts w:hint="eastAsia" w:ascii="宋体" w:hAnsi="宋体" w:eastAsia="宋体" w:cs="宋体"/>
          <w:color w:val="333333"/>
          <w:kern w:val="0"/>
          <w:sz w:val="24"/>
          <w:szCs w:val="24"/>
          <w:highlight w:val="none"/>
        </w:rPr>
      </w:pPr>
    </w:p>
    <w:p>
      <w:pPr>
        <w:pStyle w:val="2"/>
        <w:rPr>
          <w:rFonts w:hint="eastAsia" w:ascii="宋体" w:hAnsi="宋体" w:eastAsia="宋体" w:cs="宋体"/>
          <w:color w:val="333333"/>
          <w:kern w:val="0"/>
          <w:sz w:val="24"/>
          <w:szCs w:val="24"/>
          <w:highlight w:val="none"/>
        </w:rPr>
      </w:pPr>
    </w:p>
    <w:p>
      <w:pPr>
        <w:pStyle w:val="2"/>
        <w:rPr>
          <w:rFonts w:hint="eastAsia" w:ascii="宋体" w:hAnsi="宋体" w:eastAsia="宋体" w:cs="宋体"/>
          <w:color w:val="333333"/>
          <w:kern w:val="0"/>
          <w:sz w:val="24"/>
          <w:szCs w:val="24"/>
          <w:highlight w:val="none"/>
        </w:rPr>
      </w:pPr>
    </w:p>
    <w:p>
      <w:pPr>
        <w:pStyle w:val="2"/>
        <w:rPr>
          <w:rFonts w:hint="eastAsia" w:ascii="宋体" w:hAnsi="宋体" w:eastAsia="宋体" w:cs="宋体"/>
          <w:color w:val="333333"/>
          <w:kern w:val="0"/>
          <w:sz w:val="24"/>
          <w:szCs w:val="24"/>
          <w:highlight w:val="none"/>
        </w:rPr>
      </w:pPr>
    </w:p>
    <w:p>
      <w:pPr>
        <w:pStyle w:val="2"/>
        <w:rPr>
          <w:rFonts w:hint="eastAsia" w:ascii="宋体" w:hAnsi="宋体" w:eastAsia="宋体" w:cs="宋体"/>
          <w:color w:val="333333"/>
          <w:kern w:val="0"/>
          <w:sz w:val="24"/>
          <w:szCs w:val="24"/>
          <w:highlight w:val="none"/>
        </w:rPr>
      </w:pPr>
    </w:p>
    <w:p>
      <w:pPr>
        <w:pStyle w:val="2"/>
        <w:rPr>
          <w:rFonts w:hint="eastAsia" w:ascii="宋体" w:hAnsi="宋体" w:eastAsia="宋体" w:cs="宋体"/>
          <w:color w:val="333333"/>
          <w:kern w:val="0"/>
          <w:sz w:val="24"/>
          <w:szCs w:val="24"/>
          <w:highlight w:val="none"/>
        </w:rPr>
      </w:pPr>
    </w:p>
    <w:p>
      <w:pPr>
        <w:pStyle w:val="2"/>
        <w:rPr>
          <w:rFonts w:hint="eastAsia" w:ascii="宋体" w:hAnsi="宋体" w:eastAsia="宋体" w:cs="宋体"/>
          <w:color w:val="333333"/>
          <w:kern w:val="0"/>
          <w:sz w:val="24"/>
          <w:szCs w:val="24"/>
          <w:highlight w:val="none"/>
        </w:rPr>
      </w:pPr>
    </w:p>
    <w:p>
      <w:pPr>
        <w:pStyle w:val="2"/>
        <w:jc w:val="center"/>
        <w:rPr>
          <w:rFonts w:hint="eastAsia" w:ascii="宋体" w:hAnsi="宋体" w:eastAsia="宋体" w:cs="宋体"/>
          <w:color w:val="333333"/>
          <w:kern w:val="0"/>
          <w:sz w:val="24"/>
          <w:szCs w:val="24"/>
          <w:highlight w:val="none"/>
        </w:rPr>
      </w:pPr>
    </w:p>
    <w:p>
      <w:pPr>
        <w:pStyle w:val="2"/>
        <w:jc w:val="center"/>
        <w:rPr>
          <w:rFonts w:hint="eastAsia" w:ascii="宋体" w:hAnsi="宋体" w:eastAsia="宋体" w:cs="宋体"/>
          <w:color w:val="333333"/>
          <w:kern w:val="0"/>
          <w:sz w:val="24"/>
          <w:szCs w:val="24"/>
          <w:highlight w:val="none"/>
        </w:rPr>
        <w:sectPr>
          <w:pgSz w:w="11906" w:h="16838"/>
          <w:pgMar w:top="1134" w:right="1134" w:bottom="1134" w:left="1134" w:header="851" w:footer="992" w:gutter="0"/>
          <w:cols w:space="425" w:num="1"/>
          <w:docGrid w:type="lines" w:linePitch="312" w:charSpace="0"/>
        </w:sectPr>
      </w:pPr>
    </w:p>
    <w:p>
      <w:pPr>
        <w:pStyle w:val="2"/>
        <w:jc w:val="center"/>
        <w:rPr>
          <w:rFonts w:hint="eastAsia" w:ascii="宋体" w:hAnsi="宋体" w:eastAsia="宋体" w:cs="宋体"/>
          <w:color w:val="333333"/>
          <w:kern w:val="0"/>
          <w:sz w:val="24"/>
          <w:szCs w:val="24"/>
          <w:highlight w:val="none"/>
        </w:rPr>
      </w:pPr>
    </w:p>
    <w:p>
      <w:pPr>
        <w:pStyle w:val="2"/>
        <w:jc w:val="center"/>
        <w:rPr>
          <w:rFonts w:hint="eastAsia" w:ascii="宋体" w:hAnsi="宋体" w:eastAsia="宋体" w:cs="宋体"/>
          <w:b/>
          <w:bCs/>
          <w:color w:val="333333"/>
          <w:kern w:val="0"/>
          <w:sz w:val="24"/>
          <w:szCs w:val="24"/>
          <w:highlight w:val="none"/>
        </w:rPr>
      </w:pPr>
      <w:r>
        <w:rPr>
          <w:rFonts w:hint="eastAsia" w:ascii="宋体" w:hAnsi="宋体" w:eastAsia="宋体" w:cs="宋体"/>
          <w:b/>
          <w:bCs/>
          <w:color w:val="333333"/>
          <w:kern w:val="0"/>
          <w:sz w:val="24"/>
          <w:szCs w:val="24"/>
          <w:highlight w:val="none"/>
        </w:rPr>
        <w:t>第四章 合同</w:t>
      </w:r>
    </w:p>
    <w:p>
      <w:pPr>
        <w:rPr>
          <w:rFonts w:hint="eastAsia" w:ascii="宋体" w:hAnsi="宋体" w:eastAsia="宋体" w:cs="宋体"/>
          <w:sz w:val="28"/>
          <w:szCs w:val="28"/>
          <w:highlight w:val="none"/>
        </w:rPr>
      </w:pPr>
    </w:p>
    <w:p>
      <w:pPr>
        <w:rPr>
          <w:rFonts w:hint="eastAsia" w:ascii="宋体" w:hAnsi="宋体" w:eastAsia="宋体" w:cs="宋体"/>
          <w:sz w:val="28"/>
          <w:szCs w:val="28"/>
          <w:highlight w:val="none"/>
        </w:rPr>
      </w:pPr>
      <w:r>
        <w:rPr>
          <w:rFonts w:hint="eastAsia" w:ascii="宋体" w:hAnsi="宋体" w:eastAsia="宋体" w:cs="宋体"/>
          <w:sz w:val="28"/>
          <w:szCs w:val="28"/>
          <w:highlight w:val="none"/>
        </w:rPr>
        <w:t>合同编号：     号</w:t>
      </w:r>
    </w:p>
    <w:p>
      <w:pPr>
        <w:rPr>
          <w:rFonts w:hint="eastAsia" w:ascii="宋体" w:hAnsi="宋体" w:eastAsia="宋体" w:cs="宋体"/>
          <w:sz w:val="28"/>
          <w:szCs w:val="28"/>
          <w:highlight w:val="none"/>
        </w:rPr>
      </w:pPr>
    </w:p>
    <w:p>
      <w:pPr>
        <w:rPr>
          <w:rFonts w:hint="eastAsia" w:ascii="宋体" w:hAnsi="宋体" w:eastAsia="宋体" w:cs="宋体"/>
          <w:sz w:val="28"/>
          <w:szCs w:val="28"/>
          <w:highlight w:val="none"/>
        </w:rPr>
      </w:pPr>
    </w:p>
    <w:p>
      <w:pPr>
        <w:ind w:left="360" w:right="271"/>
        <w:rPr>
          <w:rFonts w:hint="eastAsia" w:ascii="宋体" w:hAnsi="宋体" w:eastAsia="宋体" w:cs="宋体"/>
          <w:color w:val="FF0000"/>
          <w:sz w:val="28"/>
          <w:szCs w:val="28"/>
          <w:highlight w:val="none"/>
        </w:rPr>
      </w:pPr>
      <w:r>
        <w:rPr>
          <w:rFonts w:hint="eastAsia" w:ascii="宋体" w:hAnsi="宋体" w:eastAsia="宋体" w:cs="宋体"/>
          <w:sz w:val="24"/>
          <w:szCs w:val="24"/>
          <w:highlight w:val="none"/>
        </w:rPr>
        <w:t xml:space="preserve">      </w:t>
      </w:r>
      <w:r>
        <w:rPr>
          <w:rFonts w:hint="eastAsia" w:ascii="宋体" w:hAnsi="宋体" w:eastAsia="宋体" w:cs="宋体"/>
          <w:sz w:val="28"/>
          <w:szCs w:val="28"/>
          <w:highlight w:val="none"/>
        </w:rPr>
        <w:t xml:space="preserve">   </w:t>
      </w:r>
      <w:r>
        <w:rPr>
          <w:rFonts w:hint="eastAsia" w:ascii="宋体" w:hAnsi="宋体" w:eastAsia="宋体" w:cs="宋体"/>
          <w:color w:val="FF0000"/>
          <w:sz w:val="28"/>
          <w:szCs w:val="28"/>
          <w:highlight w:val="none"/>
        </w:rPr>
        <w:t xml:space="preserve">   </w:t>
      </w:r>
    </w:p>
    <w:p>
      <w:pPr>
        <w:ind w:left="360" w:right="271"/>
        <w:rPr>
          <w:rFonts w:hint="eastAsia" w:ascii="宋体" w:hAnsi="宋体" w:eastAsia="宋体" w:cs="宋体"/>
          <w:sz w:val="28"/>
          <w:szCs w:val="28"/>
          <w:highlight w:val="none"/>
        </w:rPr>
      </w:pPr>
    </w:p>
    <w:p>
      <w:pPr>
        <w:ind w:left="360" w:right="271"/>
        <w:rPr>
          <w:rFonts w:hint="eastAsia" w:ascii="宋体" w:hAnsi="宋体" w:eastAsia="宋体" w:cs="宋体"/>
          <w:sz w:val="28"/>
          <w:szCs w:val="28"/>
          <w:highlight w:val="none"/>
        </w:rPr>
      </w:pPr>
    </w:p>
    <w:p>
      <w:pPr>
        <w:ind w:left="360" w:right="271"/>
        <w:rPr>
          <w:rFonts w:hint="eastAsia" w:ascii="宋体" w:hAnsi="宋体" w:eastAsia="宋体" w:cs="宋体"/>
          <w:sz w:val="28"/>
          <w:szCs w:val="28"/>
          <w:highlight w:val="none"/>
        </w:rPr>
      </w:pPr>
    </w:p>
    <w:p>
      <w:pPr>
        <w:tabs>
          <w:tab w:val="left" w:pos="2520"/>
        </w:tabs>
        <w:ind w:left="360" w:right="271"/>
        <w:jc w:val="center"/>
        <w:rPr>
          <w:rFonts w:hint="eastAsia" w:ascii="宋体" w:hAnsi="宋体" w:eastAsia="宋体" w:cs="宋体"/>
          <w:b/>
          <w:bCs/>
          <w:spacing w:val="40"/>
          <w:sz w:val="44"/>
          <w:szCs w:val="44"/>
          <w:highlight w:val="none"/>
        </w:rPr>
      </w:pPr>
      <w:r>
        <w:rPr>
          <w:rFonts w:hint="eastAsia" w:ascii="宋体" w:hAnsi="宋体" w:eastAsia="宋体" w:cs="宋体"/>
          <w:b/>
          <w:bCs/>
          <w:spacing w:val="40"/>
          <w:sz w:val="44"/>
          <w:szCs w:val="44"/>
          <w:highlight w:val="none"/>
        </w:rPr>
        <w:t>技术咨询合同</w:t>
      </w:r>
    </w:p>
    <w:p>
      <w:pPr>
        <w:tabs>
          <w:tab w:val="left" w:pos="2520"/>
        </w:tabs>
        <w:ind w:left="360" w:right="271"/>
        <w:jc w:val="center"/>
        <w:rPr>
          <w:rFonts w:hint="eastAsia" w:ascii="宋体" w:hAnsi="宋体" w:eastAsia="宋体" w:cs="宋体"/>
          <w:b/>
          <w:bCs/>
          <w:spacing w:val="40"/>
          <w:sz w:val="44"/>
          <w:szCs w:val="44"/>
          <w:highlight w:val="none"/>
        </w:rPr>
      </w:pPr>
    </w:p>
    <w:p>
      <w:pPr>
        <w:tabs>
          <w:tab w:val="left" w:pos="2520"/>
        </w:tabs>
        <w:ind w:left="360" w:right="271"/>
        <w:jc w:val="center"/>
        <w:rPr>
          <w:rFonts w:hint="eastAsia" w:ascii="宋体" w:hAnsi="宋体" w:eastAsia="宋体" w:cs="宋体"/>
          <w:b/>
          <w:bCs/>
          <w:spacing w:val="40"/>
          <w:sz w:val="44"/>
          <w:szCs w:val="44"/>
          <w:highlight w:val="none"/>
        </w:rPr>
      </w:pPr>
    </w:p>
    <w:p>
      <w:pPr>
        <w:ind w:left="360" w:right="271"/>
        <w:rPr>
          <w:rFonts w:hint="eastAsia" w:ascii="宋体" w:hAnsi="宋体" w:eastAsia="宋体" w:cs="宋体"/>
          <w:sz w:val="28"/>
          <w:szCs w:val="28"/>
          <w:highlight w:val="none"/>
        </w:rPr>
      </w:pPr>
    </w:p>
    <w:p>
      <w:pPr>
        <w:ind w:left="2037" w:leftChars="170" w:hanging="1680" w:hangingChars="600"/>
        <w:jc w:val="left"/>
        <w:rPr>
          <w:rFonts w:hint="eastAsia" w:ascii="宋体" w:hAnsi="宋体" w:eastAsia="宋体" w:cs="宋体"/>
          <w:b/>
          <w:bCs/>
          <w:sz w:val="28"/>
          <w:szCs w:val="28"/>
          <w:highlight w:val="none"/>
          <w:u w:val="single"/>
        </w:rPr>
      </w:pPr>
      <w:r>
        <w:rPr>
          <w:rFonts w:hint="eastAsia" w:ascii="宋体" w:hAnsi="宋体" w:eastAsia="宋体" w:cs="宋体"/>
          <w:sz w:val="28"/>
          <w:szCs w:val="28"/>
          <w:highlight w:val="none"/>
        </w:rPr>
        <w:t>合同名称：</w:t>
      </w:r>
      <w:r>
        <w:rPr>
          <w:rFonts w:hint="eastAsia" w:ascii="宋体" w:hAnsi="宋体" w:eastAsia="宋体" w:cs="宋体"/>
          <w:b/>
          <w:bCs/>
          <w:sz w:val="28"/>
          <w:szCs w:val="28"/>
          <w:highlight w:val="none"/>
        </w:rPr>
        <w:t xml:space="preserve"> </w:t>
      </w:r>
      <w:r>
        <w:rPr>
          <w:rFonts w:hint="eastAsia" w:ascii="宋体" w:hAnsi="宋体" w:eastAsia="宋体" w:cs="宋体"/>
          <w:sz w:val="28"/>
          <w:szCs w:val="28"/>
          <w:highlight w:val="none"/>
          <w:u w:val="single"/>
          <w:lang w:eastAsia="zh-CN"/>
        </w:rPr>
        <w:t>多宝路、宝源路历史文化街区保护活化利用项目</w:t>
      </w:r>
      <w:r>
        <w:rPr>
          <w:rFonts w:hint="eastAsia" w:ascii="宋体" w:hAnsi="宋体" w:eastAsia="宋体" w:cs="宋体"/>
          <w:sz w:val="28"/>
          <w:szCs w:val="28"/>
          <w:highlight w:val="none"/>
          <w:u w:val="single"/>
        </w:rPr>
        <w:t xml:space="preserve">可行性研究报告编制合同                          </w:t>
      </w:r>
    </w:p>
    <w:p>
      <w:pPr>
        <w:ind w:left="360" w:right="271"/>
        <w:rPr>
          <w:rFonts w:hint="eastAsia" w:ascii="宋体" w:hAnsi="宋体" w:eastAsia="宋体" w:cs="宋体"/>
          <w:b/>
          <w:bCs/>
          <w:sz w:val="28"/>
          <w:szCs w:val="28"/>
          <w:highlight w:val="none"/>
          <w:u w:val="single"/>
        </w:rPr>
      </w:pPr>
      <w:r>
        <w:rPr>
          <w:rFonts w:hint="eastAsia" w:ascii="宋体" w:hAnsi="宋体" w:eastAsia="宋体" w:cs="宋体"/>
          <w:sz w:val="28"/>
          <w:szCs w:val="28"/>
          <w:highlight w:val="none"/>
        </w:rPr>
        <w:t>委托方（甲方）：</w:t>
      </w:r>
      <w:r>
        <w:rPr>
          <w:rFonts w:hint="eastAsia" w:ascii="宋体" w:hAnsi="宋体" w:eastAsia="宋体" w:cs="宋体"/>
          <w:b/>
          <w:bCs/>
          <w:sz w:val="28"/>
          <w:szCs w:val="28"/>
          <w:highlight w:val="none"/>
          <w:u w:val="single"/>
        </w:rPr>
        <w:t xml:space="preserve">                 </w:t>
      </w:r>
      <w:r>
        <w:rPr>
          <w:rFonts w:hint="eastAsia" w:ascii="宋体" w:hAnsi="宋体" w:eastAsia="宋体" w:cs="宋体"/>
          <w:sz w:val="28"/>
          <w:szCs w:val="28"/>
          <w:highlight w:val="none"/>
          <w:u w:val="single"/>
        </w:rPr>
        <w:t xml:space="preserve">          </w:t>
      </w:r>
      <w:r>
        <w:rPr>
          <w:rFonts w:hint="eastAsia" w:ascii="宋体" w:hAnsi="宋体" w:eastAsia="宋体" w:cs="宋体"/>
          <w:b/>
          <w:bCs/>
          <w:sz w:val="28"/>
          <w:szCs w:val="28"/>
          <w:highlight w:val="none"/>
          <w:u w:val="single"/>
        </w:rPr>
        <w:t xml:space="preserve">         </w:t>
      </w:r>
    </w:p>
    <w:p>
      <w:pPr>
        <w:ind w:left="360" w:right="271"/>
        <w:rPr>
          <w:rFonts w:hint="eastAsia" w:ascii="宋体" w:hAnsi="宋体" w:eastAsia="宋体" w:cs="宋体"/>
          <w:b/>
          <w:bCs/>
          <w:sz w:val="28"/>
          <w:szCs w:val="28"/>
          <w:highlight w:val="none"/>
        </w:rPr>
      </w:pPr>
      <w:r>
        <w:rPr>
          <w:rFonts w:hint="eastAsia" w:ascii="宋体" w:hAnsi="宋体" w:eastAsia="宋体" w:cs="宋体"/>
          <w:sz w:val="28"/>
          <w:szCs w:val="28"/>
          <w:highlight w:val="none"/>
        </w:rPr>
        <w:t>受托方（乙方）：</w:t>
      </w:r>
      <w:r>
        <w:rPr>
          <w:rFonts w:hint="eastAsia" w:ascii="宋体" w:hAnsi="宋体" w:eastAsia="宋体" w:cs="宋体"/>
          <w:b/>
          <w:bCs/>
          <w:sz w:val="28"/>
          <w:szCs w:val="28"/>
          <w:highlight w:val="none"/>
          <w:u w:val="single"/>
        </w:rPr>
        <w:t xml:space="preserve">           </w:t>
      </w:r>
      <w:r>
        <w:rPr>
          <w:rFonts w:hint="eastAsia" w:ascii="宋体" w:hAnsi="宋体" w:eastAsia="宋体" w:cs="宋体"/>
          <w:sz w:val="28"/>
          <w:szCs w:val="28"/>
          <w:highlight w:val="none"/>
          <w:u w:val="single"/>
        </w:rPr>
        <w:t xml:space="preserve">                      </w:t>
      </w:r>
      <w:r>
        <w:rPr>
          <w:rFonts w:hint="eastAsia" w:ascii="宋体" w:hAnsi="宋体" w:eastAsia="宋体" w:cs="宋体"/>
          <w:b/>
          <w:bCs/>
          <w:sz w:val="28"/>
          <w:szCs w:val="28"/>
          <w:highlight w:val="none"/>
          <w:u w:val="single"/>
        </w:rPr>
        <w:t xml:space="preserve">         </w:t>
      </w:r>
      <w:r>
        <w:rPr>
          <w:rFonts w:hint="eastAsia" w:ascii="宋体" w:hAnsi="宋体" w:eastAsia="宋体" w:cs="宋体"/>
          <w:b/>
          <w:bCs/>
          <w:sz w:val="28"/>
          <w:szCs w:val="28"/>
          <w:highlight w:val="none"/>
        </w:rPr>
        <w:t xml:space="preserve">  </w:t>
      </w:r>
    </w:p>
    <w:p>
      <w:pPr>
        <w:spacing w:line="360" w:lineRule="auto"/>
        <w:ind w:left="360" w:right="271"/>
        <w:rPr>
          <w:rFonts w:hint="eastAsia" w:ascii="宋体" w:hAnsi="宋体" w:eastAsia="宋体" w:cs="宋体"/>
          <w:b/>
          <w:bCs/>
          <w:sz w:val="28"/>
          <w:szCs w:val="28"/>
          <w:highlight w:val="none"/>
        </w:rPr>
      </w:pPr>
      <w:r>
        <w:rPr>
          <w:rFonts w:hint="eastAsia" w:ascii="宋体" w:hAnsi="宋体" w:eastAsia="宋体" w:cs="宋体"/>
          <w:sz w:val="28"/>
          <w:szCs w:val="28"/>
          <w:highlight w:val="none"/>
        </w:rPr>
        <w:t xml:space="preserve">签订地点： </w:t>
      </w:r>
      <w:r>
        <w:rPr>
          <w:rFonts w:hint="eastAsia" w:ascii="宋体" w:hAnsi="宋体" w:eastAsia="宋体" w:cs="宋体"/>
          <w:b/>
          <w:bCs/>
          <w:sz w:val="28"/>
          <w:szCs w:val="28"/>
          <w:highlight w:val="none"/>
        </w:rPr>
        <w:t xml:space="preserve">    </w:t>
      </w:r>
      <w:r>
        <w:rPr>
          <w:rFonts w:hint="eastAsia" w:ascii="宋体" w:hAnsi="宋体" w:eastAsia="宋体" w:cs="宋体"/>
          <w:b/>
          <w:bCs/>
          <w:sz w:val="28"/>
          <w:szCs w:val="28"/>
          <w:highlight w:val="none"/>
          <w:u w:val="single"/>
        </w:rPr>
        <w:t xml:space="preserve">              </w:t>
      </w:r>
      <w:r>
        <w:rPr>
          <w:rFonts w:hint="eastAsia" w:ascii="宋体" w:hAnsi="宋体" w:eastAsia="宋体" w:cs="宋体"/>
          <w:b/>
          <w:bCs/>
          <w:sz w:val="28"/>
          <w:szCs w:val="28"/>
          <w:highlight w:val="none"/>
        </w:rPr>
        <w:t xml:space="preserve">         </w:t>
      </w:r>
    </w:p>
    <w:p>
      <w:pPr>
        <w:spacing w:line="360" w:lineRule="auto"/>
        <w:ind w:left="360" w:right="271"/>
        <w:rPr>
          <w:rFonts w:hint="eastAsia" w:ascii="宋体" w:hAnsi="宋体" w:eastAsia="宋体" w:cs="宋体"/>
          <w:b/>
          <w:bCs/>
          <w:sz w:val="28"/>
          <w:szCs w:val="28"/>
          <w:highlight w:val="none"/>
        </w:rPr>
      </w:pPr>
      <w:r>
        <w:rPr>
          <w:rFonts w:hint="eastAsia" w:ascii="宋体" w:hAnsi="宋体" w:eastAsia="宋体" w:cs="宋体"/>
          <w:sz w:val="28"/>
          <w:szCs w:val="28"/>
          <w:highlight w:val="none"/>
        </w:rPr>
        <w:t>有效期限：</w:t>
      </w:r>
      <w:r>
        <w:rPr>
          <w:rFonts w:hint="eastAsia" w:ascii="宋体" w:hAnsi="宋体" w:eastAsia="宋体" w:cs="宋体"/>
          <w:b/>
          <w:bCs/>
          <w:sz w:val="28"/>
          <w:szCs w:val="28"/>
          <w:highlight w:val="none"/>
        </w:rPr>
        <w:t xml:space="preserve">   签订合同之日起至双方合同义务完成止</w:t>
      </w:r>
    </w:p>
    <w:p>
      <w:pPr>
        <w:ind w:left="178" w:leftChars="85"/>
        <w:jc w:val="center"/>
        <w:rPr>
          <w:rFonts w:hint="eastAsia" w:ascii="宋体" w:hAnsi="宋体" w:eastAsia="宋体" w:cs="宋体"/>
          <w:b/>
          <w:bCs/>
          <w:sz w:val="28"/>
          <w:szCs w:val="28"/>
          <w:highlight w:val="none"/>
        </w:rPr>
      </w:pPr>
    </w:p>
    <w:p>
      <w:pPr>
        <w:ind w:left="178" w:leftChars="85"/>
        <w:jc w:val="center"/>
        <w:rPr>
          <w:rFonts w:hint="eastAsia" w:ascii="宋体" w:hAnsi="宋体" w:eastAsia="宋体" w:cs="宋体"/>
          <w:b/>
          <w:bCs/>
          <w:sz w:val="28"/>
          <w:szCs w:val="28"/>
          <w:highlight w:val="none"/>
        </w:rPr>
      </w:pPr>
    </w:p>
    <w:p>
      <w:pPr>
        <w:rPr>
          <w:rFonts w:hint="eastAsia" w:ascii="宋体" w:hAnsi="宋体" w:eastAsia="宋体" w:cs="宋体"/>
          <w:b/>
          <w:bCs/>
          <w:sz w:val="28"/>
          <w:szCs w:val="28"/>
          <w:highlight w:val="none"/>
        </w:rPr>
      </w:pPr>
    </w:p>
    <w:p>
      <w:pPr>
        <w:ind w:left="178" w:leftChars="85"/>
        <w:jc w:val="center"/>
        <w:rPr>
          <w:rFonts w:hint="eastAsia" w:ascii="宋体" w:hAnsi="宋体" w:eastAsia="宋体" w:cs="宋体"/>
          <w:b/>
          <w:bCs/>
          <w:sz w:val="28"/>
          <w:szCs w:val="28"/>
          <w:highlight w:val="none"/>
        </w:rPr>
        <w:sectPr>
          <w:headerReference r:id="rId7" w:type="default"/>
          <w:footerReference r:id="rId8" w:type="default"/>
          <w:pgSz w:w="11906" w:h="16838"/>
          <w:pgMar w:top="1134" w:right="1134" w:bottom="1134" w:left="1134" w:header="851" w:footer="992" w:gutter="0"/>
          <w:cols w:space="425" w:num="1"/>
          <w:docGrid w:type="lines" w:linePitch="312" w:charSpace="0"/>
        </w:sectPr>
      </w:pPr>
    </w:p>
    <w:p>
      <w:pPr>
        <w:pStyle w:val="2"/>
        <w:rPr>
          <w:rFonts w:hint="eastAsia" w:ascii="宋体" w:hAnsi="宋体" w:eastAsia="宋体" w:cs="宋体"/>
          <w:highlight w:val="none"/>
        </w:rPr>
      </w:pPr>
    </w:p>
    <w:p>
      <w:pPr>
        <w:ind w:left="178" w:leftChars="85"/>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中华人民共和国科学技术部印刷</w:t>
      </w:r>
    </w:p>
    <w:p>
      <w:pPr>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填 写 说 明</w:t>
      </w:r>
    </w:p>
    <w:p>
      <w:pPr>
        <w:rPr>
          <w:rFonts w:hint="eastAsia" w:ascii="宋体" w:hAnsi="宋体" w:eastAsia="宋体" w:cs="宋体"/>
          <w:sz w:val="28"/>
          <w:szCs w:val="28"/>
          <w:highlight w:val="none"/>
        </w:rPr>
      </w:pPr>
    </w:p>
    <w:p>
      <w:pPr>
        <w:ind w:firstLine="560"/>
        <w:rPr>
          <w:rFonts w:hint="eastAsia" w:ascii="宋体" w:hAnsi="宋体" w:eastAsia="宋体" w:cs="宋体"/>
          <w:sz w:val="28"/>
          <w:szCs w:val="28"/>
          <w:highlight w:val="none"/>
        </w:rPr>
      </w:pPr>
      <w:r>
        <w:rPr>
          <w:rFonts w:hint="eastAsia" w:ascii="宋体" w:hAnsi="宋体" w:eastAsia="宋体" w:cs="宋体"/>
          <w:sz w:val="28"/>
          <w:szCs w:val="28"/>
          <w:highlight w:val="none"/>
        </w:rPr>
        <w:t>一、本合同为中华人民共和国科学技术部印刷的技术服务合同示范文本，各技术合同登记机构可推介技术合同当事人参照使用。</w:t>
      </w:r>
    </w:p>
    <w:p>
      <w:pPr>
        <w:ind w:firstLine="560"/>
        <w:rPr>
          <w:rFonts w:hint="eastAsia" w:ascii="宋体" w:hAnsi="宋体" w:eastAsia="宋体" w:cs="宋体"/>
          <w:sz w:val="28"/>
          <w:szCs w:val="28"/>
          <w:highlight w:val="none"/>
        </w:rPr>
      </w:pPr>
      <w:r>
        <w:rPr>
          <w:rFonts w:hint="eastAsia" w:ascii="宋体" w:hAnsi="宋体" w:eastAsia="宋体" w:cs="宋体"/>
          <w:sz w:val="28"/>
          <w:szCs w:val="28"/>
          <w:highlight w:val="none"/>
        </w:rPr>
        <w:t>二、本合同书适用于一方当事人（受托方）为另一方（委托方）就特定技术项目提供可行性论证、技术预测、专题技术调查、分析评价报告所订立的合同。</w:t>
      </w:r>
    </w:p>
    <w:p>
      <w:pPr>
        <w:pStyle w:val="10"/>
        <w:rPr>
          <w:rFonts w:hint="eastAsia" w:ascii="宋体" w:hAnsi="宋体" w:eastAsia="宋体" w:cs="宋体"/>
          <w:highlight w:val="none"/>
        </w:rPr>
      </w:pPr>
      <w:r>
        <w:rPr>
          <w:rFonts w:hint="eastAsia" w:ascii="宋体" w:hAnsi="宋体" w:eastAsia="宋体" w:cs="宋体"/>
          <w:highlight w:val="none"/>
        </w:rPr>
        <w:t>三、签约一方为多个当事人的，可按各自在合同关系中的作用等，在“委托方”、“受托方”项下（增页）分别排列为共同委托人或共同受托人。</w:t>
      </w:r>
    </w:p>
    <w:p>
      <w:pPr>
        <w:ind w:firstLine="560"/>
        <w:rPr>
          <w:rFonts w:hint="eastAsia" w:ascii="宋体" w:hAnsi="宋体" w:eastAsia="宋体" w:cs="宋体"/>
          <w:sz w:val="28"/>
          <w:szCs w:val="28"/>
          <w:highlight w:val="none"/>
        </w:rPr>
      </w:pPr>
      <w:r>
        <w:rPr>
          <w:rFonts w:hint="eastAsia" w:ascii="宋体" w:hAnsi="宋体" w:eastAsia="宋体" w:cs="宋体"/>
          <w:sz w:val="28"/>
          <w:szCs w:val="28"/>
          <w:highlight w:val="none"/>
        </w:rPr>
        <w:t>四、本合同书未尽事项，可由当事人附页另行约定，并作为本合同的组成部分。</w:t>
      </w:r>
    </w:p>
    <w:p>
      <w:pPr>
        <w:ind w:firstLine="560"/>
        <w:rPr>
          <w:rFonts w:hint="eastAsia" w:ascii="宋体" w:hAnsi="宋体" w:eastAsia="宋体" w:cs="宋体"/>
          <w:sz w:val="28"/>
          <w:szCs w:val="28"/>
          <w:highlight w:val="none"/>
        </w:rPr>
      </w:pPr>
      <w:r>
        <w:rPr>
          <w:rFonts w:hint="eastAsia" w:ascii="宋体" w:hAnsi="宋体" w:eastAsia="宋体" w:cs="宋体"/>
          <w:sz w:val="28"/>
          <w:szCs w:val="28"/>
          <w:highlight w:val="none"/>
        </w:rPr>
        <w:t>五、当事人使用本合同书时约定无需填写的条款，应在该条款处注明“无”等字样。</w:t>
      </w:r>
    </w:p>
    <w:p>
      <w:pPr>
        <w:ind w:firstLine="560"/>
        <w:rPr>
          <w:rFonts w:hint="eastAsia" w:ascii="宋体" w:hAnsi="宋体" w:eastAsia="宋体" w:cs="宋体"/>
          <w:sz w:val="28"/>
          <w:szCs w:val="28"/>
          <w:highlight w:val="none"/>
        </w:rPr>
      </w:pPr>
    </w:p>
    <w:p>
      <w:pPr>
        <w:ind w:firstLine="560"/>
        <w:rPr>
          <w:rFonts w:hint="eastAsia" w:ascii="宋体" w:hAnsi="宋体" w:eastAsia="宋体" w:cs="宋体"/>
          <w:sz w:val="28"/>
          <w:szCs w:val="28"/>
          <w:highlight w:val="none"/>
        </w:rPr>
      </w:pPr>
    </w:p>
    <w:p>
      <w:pPr>
        <w:ind w:firstLine="560"/>
        <w:rPr>
          <w:rFonts w:hint="eastAsia" w:ascii="宋体" w:hAnsi="宋体" w:eastAsia="宋体" w:cs="宋体"/>
          <w:sz w:val="28"/>
          <w:szCs w:val="28"/>
          <w:highlight w:val="none"/>
        </w:rPr>
      </w:pPr>
    </w:p>
    <w:p>
      <w:pPr>
        <w:ind w:firstLine="560"/>
        <w:rPr>
          <w:rFonts w:hint="eastAsia" w:ascii="宋体" w:hAnsi="宋体" w:eastAsia="宋体" w:cs="宋体"/>
          <w:sz w:val="28"/>
          <w:szCs w:val="28"/>
          <w:highlight w:val="none"/>
        </w:rPr>
      </w:pPr>
    </w:p>
    <w:p>
      <w:pPr>
        <w:ind w:firstLine="560"/>
        <w:rPr>
          <w:rFonts w:hint="eastAsia" w:ascii="宋体" w:hAnsi="宋体" w:eastAsia="宋体" w:cs="宋体"/>
          <w:sz w:val="28"/>
          <w:szCs w:val="28"/>
          <w:highlight w:val="none"/>
        </w:rPr>
      </w:pPr>
    </w:p>
    <w:p>
      <w:pPr>
        <w:ind w:firstLine="560"/>
        <w:rPr>
          <w:rFonts w:hint="eastAsia" w:ascii="宋体" w:hAnsi="宋体" w:eastAsia="宋体" w:cs="宋体"/>
          <w:sz w:val="28"/>
          <w:szCs w:val="28"/>
          <w:highlight w:val="none"/>
        </w:rPr>
      </w:pPr>
    </w:p>
    <w:p>
      <w:pPr>
        <w:ind w:firstLine="560"/>
        <w:rPr>
          <w:rFonts w:hint="eastAsia" w:ascii="宋体" w:hAnsi="宋体" w:eastAsia="宋体" w:cs="宋体"/>
          <w:sz w:val="28"/>
          <w:szCs w:val="28"/>
          <w:highlight w:val="none"/>
        </w:rPr>
      </w:pPr>
    </w:p>
    <w:p>
      <w:pPr>
        <w:ind w:firstLine="560"/>
        <w:rPr>
          <w:rFonts w:hint="eastAsia" w:ascii="宋体" w:hAnsi="宋体" w:eastAsia="宋体" w:cs="宋体"/>
          <w:sz w:val="28"/>
          <w:szCs w:val="28"/>
          <w:highlight w:val="none"/>
        </w:rPr>
      </w:pPr>
    </w:p>
    <w:p>
      <w:pPr>
        <w:tabs>
          <w:tab w:val="left" w:pos="2520"/>
        </w:tabs>
        <w:spacing w:after="480" w:line="360" w:lineRule="auto"/>
        <w:jc w:val="center"/>
        <w:rPr>
          <w:rFonts w:hint="eastAsia" w:ascii="宋体" w:hAnsi="宋体" w:eastAsia="宋体" w:cs="宋体"/>
          <w:b/>
          <w:bCs/>
          <w:spacing w:val="40"/>
          <w:sz w:val="36"/>
          <w:szCs w:val="36"/>
          <w:highlight w:val="none"/>
        </w:rPr>
        <w:sectPr>
          <w:footerReference r:id="rId9" w:type="default"/>
          <w:pgSz w:w="11906" w:h="16838"/>
          <w:pgMar w:top="1134" w:right="1134" w:bottom="1134" w:left="1134" w:header="851" w:footer="992" w:gutter="0"/>
          <w:cols w:space="425" w:num="1"/>
          <w:docGrid w:type="lines" w:linePitch="312" w:charSpace="0"/>
        </w:sectPr>
      </w:pPr>
    </w:p>
    <w:p>
      <w:pPr>
        <w:tabs>
          <w:tab w:val="left" w:pos="2520"/>
        </w:tabs>
        <w:spacing w:after="480" w:line="360" w:lineRule="auto"/>
        <w:jc w:val="center"/>
        <w:rPr>
          <w:rFonts w:hint="eastAsia" w:ascii="宋体" w:hAnsi="宋体" w:eastAsia="宋体" w:cs="宋体"/>
          <w:b/>
          <w:bCs/>
          <w:spacing w:val="40"/>
          <w:sz w:val="36"/>
          <w:szCs w:val="36"/>
          <w:highlight w:val="none"/>
        </w:rPr>
      </w:pPr>
      <w:r>
        <w:rPr>
          <w:rFonts w:hint="eastAsia" w:ascii="宋体" w:hAnsi="宋体" w:eastAsia="宋体" w:cs="宋体"/>
          <w:b/>
          <w:bCs/>
          <w:spacing w:val="40"/>
          <w:sz w:val="36"/>
          <w:szCs w:val="36"/>
          <w:highlight w:val="none"/>
        </w:rPr>
        <w:t>技术咨询合同</w:t>
      </w:r>
    </w:p>
    <w:p>
      <w:pPr>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本合同甲方委托乙方进行</w:t>
      </w:r>
      <w:r>
        <w:rPr>
          <w:rFonts w:hint="eastAsia" w:ascii="宋体" w:hAnsi="宋体" w:eastAsia="宋体" w:cs="宋体"/>
          <w:sz w:val="28"/>
          <w:szCs w:val="28"/>
          <w:highlight w:val="none"/>
          <w:u w:val="single"/>
          <w:lang w:eastAsia="zh-CN"/>
        </w:rPr>
        <w:t>多宝路、宝源路历史文化街区保护活化利用项目</w:t>
      </w:r>
      <w:r>
        <w:rPr>
          <w:rFonts w:hint="eastAsia" w:ascii="宋体" w:hAnsi="宋体" w:eastAsia="宋体" w:cs="宋体"/>
          <w:sz w:val="28"/>
          <w:szCs w:val="28"/>
          <w:highlight w:val="none"/>
          <w:u w:val="single"/>
        </w:rPr>
        <w:t>可行性研究报告</w:t>
      </w:r>
      <w:r>
        <w:rPr>
          <w:rFonts w:hint="eastAsia" w:ascii="宋体" w:hAnsi="宋体" w:eastAsia="宋体" w:cs="宋体"/>
          <w:sz w:val="28"/>
          <w:szCs w:val="28"/>
          <w:highlight w:val="none"/>
        </w:rPr>
        <w:t>编制工作，并支付咨询报酬。根据《中华人民共和国民法典》的规定，达成如下协议，并由双方共同恪守。</w:t>
      </w:r>
    </w:p>
    <w:p>
      <w:pPr>
        <w:spacing w:line="360" w:lineRule="auto"/>
        <w:ind w:firstLine="570"/>
        <w:rPr>
          <w:rFonts w:hint="eastAsia" w:ascii="宋体" w:hAnsi="宋体" w:eastAsia="宋体" w:cs="宋体"/>
          <w:sz w:val="28"/>
          <w:szCs w:val="28"/>
          <w:highlight w:val="none"/>
        </w:rPr>
      </w:pPr>
      <w:r>
        <w:rPr>
          <w:rFonts w:hint="eastAsia" w:ascii="宋体" w:hAnsi="宋体" w:eastAsia="宋体" w:cs="宋体"/>
          <w:b/>
          <w:bCs/>
          <w:sz w:val="28"/>
          <w:szCs w:val="28"/>
          <w:highlight w:val="none"/>
        </w:rPr>
        <w:t xml:space="preserve">第一条 </w:t>
      </w:r>
      <w:r>
        <w:rPr>
          <w:rFonts w:hint="eastAsia" w:ascii="宋体" w:hAnsi="宋体" w:eastAsia="宋体" w:cs="宋体"/>
          <w:sz w:val="28"/>
          <w:szCs w:val="28"/>
          <w:highlight w:val="none"/>
        </w:rPr>
        <w:t>乙方进行技术咨询的内容、要求和方式：</w:t>
      </w:r>
    </w:p>
    <w:p>
      <w:pPr>
        <w:widowControl/>
        <w:adjustRightInd w:val="0"/>
        <w:spacing w:line="360" w:lineRule="auto"/>
        <w:ind w:firstLine="560" w:firstLineChars="200"/>
        <w:jc w:val="lef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1.项目内容：</w:t>
      </w:r>
      <w:r>
        <w:rPr>
          <w:rFonts w:hint="eastAsia" w:ascii="宋体" w:hAnsi="宋体" w:eastAsia="宋体" w:cs="宋体"/>
          <w:sz w:val="28"/>
          <w:szCs w:val="28"/>
          <w:highlight w:val="none"/>
          <w:u w:val="single"/>
        </w:rPr>
        <w:t>开展</w:t>
      </w:r>
      <w:r>
        <w:rPr>
          <w:rFonts w:hint="eastAsia" w:ascii="宋体" w:hAnsi="宋体" w:eastAsia="宋体" w:cs="宋体"/>
          <w:sz w:val="28"/>
          <w:szCs w:val="28"/>
          <w:highlight w:val="none"/>
          <w:u w:val="single"/>
          <w:lang w:eastAsia="zh-CN"/>
        </w:rPr>
        <w:t>多宝路、宝源路历史文化街区保护活化利用项目</w:t>
      </w:r>
      <w:r>
        <w:rPr>
          <w:rFonts w:hint="eastAsia" w:ascii="宋体" w:hAnsi="宋体" w:eastAsia="宋体" w:cs="宋体"/>
          <w:sz w:val="28"/>
          <w:szCs w:val="28"/>
          <w:highlight w:val="none"/>
          <w:u w:val="single"/>
        </w:rPr>
        <w:t>可行性研究报告编制工作。</w:t>
      </w:r>
    </w:p>
    <w:p>
      <w:pPr>
        <w:spacing w:line="360" w:lineRule="auto"/>
        <w:ind w:firstLine="560" w:firstLineChars="200"/>
        <w:rPr>
          <w:rFonts w:hint="eastAsia" w:ascii="宋体" w:hAnsi="宋体" w:eastAsia="宋体" w:cs="宋体"/>
          <w:sz w:val="28"/>
          <w:szCs w:val="28"/>
          <w:highlight w:val="none"/>
          <w:u w:val="single"/>
          <w:lang w:eastAsia="zh-CN"/>
        </w:rPr>
      </w:pPr>
      <w:r>
        <w:rPr>
          <w:rFonts w:hint="eastAsia" w:ascii="宋体" w:hAnsi="宋体" w:eastAsia="宋体" w:cs="宋体"/>
          <w:sz w:val="28"/>
          <w:szCs w:val="28"/>
          <w:highlight w:val="none"/>
        </w:rPr>
        <w:t>2.咨询对象及范围：</w:t>
      </w:r>
      <w:r>
        <w:rPr>
          <w:rFonts w:hint="eastAsia" w:ascii="宋体" w:hAnsi="宋体" w:eastAsia="宋体" w:cs="宋体"/>
          <w:sz w:val="28"/>
          <w:szCs w:val="28"/>
          <w:highlight w:val="none"/>
          <w:shd w:val="clear" w:color="auto" w:fill="FFFFFF"/>
        </w:rPr>
        <w:t>项目位于广州市荔湾区，为多宝路、宝源路街区。涉及至宝、泰华、宝源、莲塘、马基涌及逢源北六个社区，核心保护范围面积17.39公顷。主要建设内容：拟对上述片区进行历史文化街区保护活化利用，具体工作内容包含但不限于</w:t>
      </w:r>
      <w:r>
        <w:rPr>
          <w:rFonts w:hint="eastAsia" w:ascii="宋体" w:hAnsi="宋体" w:eastAsia="宋体" w:cs="宋体"/>
          <w:sz w:val="24"/>
          <w:szCs w:val="24"/>
          <w:highlight w:val="none"/>
          <w:shd w:val="clear" w:color="auto" w:fill="FFFFFF"/>
          <w:lang w:eastAsia="zh-CN"/>
        </w:rPr>
        <w:t>《广州市荔湾区历史文化街区改造工作内容》</w:t>
      </w:r>
      <w:r>
        <w:rPr>
          <w:rFonts w:hint="eastAsia" w:ascii="宋体" w:hAnsi="宋体" w:eastAsia="宋体" w:cs="宋体"/>
          <w:sz w:val="28"/>
          <w:szCs w:val="28"/>
          <w:highlight w:val="none"/>
          <w:shd w:val="clear" w:color="auto" w:fill="FFFFFF"/>
        </w:rPr>
        <w:t>（详附件）</w:t>
      </w:r>
      <w:r>
        <w:rPr>
          <w:rFonts w:hint="eastAsia" w:ascii="宋体" w:hAnsi="宋体" w:eastAsia="宋体" w:cs="宋体"/>
          <w:sz w:val="28"/>
          <w:szCs w:val="28"/>
          <w:highlight w:val="none"/>
          <w:shd w:val="clear" w:color="auto" w:fill="FFFFFF"/>
          <w:lang w:eastAsia="zh-CN"/>
        </w:rPr>
        <w:t>。</w:t>
      </w:r>
    </w:p>
    <w:p>
      <w:pPr>
        <w:pStyle w:val="2"/>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sz w:val="28"/>
          <w:szCs w:val="28"/>
          <w:highlight w:val="none"/>
        </w:rPr>
        <w:t>3.咨询内容：</w:t>
      </w:r>
      <w:r>
        <w:rPr>
          <w:rFonts w:hint="eastAsia" w:ascii="宋体" w:hAnsi="宋体" w:eastAsia="宋体" w:cs="宋体"/>
          <w:sz w:val="28"/>
          <w:szCs w:val="28"/>
          <w:highlight w:val="none"/>
          <w:u w:val="single"/>
        </w:rPr>
        <w:t>对</w:t>
      </w:r>
      <w:r>
        <w:rPr>
          <w:rFonts w:hint="eastAsia" w:ascii="宋体" w:hAnsi="宋体" w:cs="宋体"/>
          <w:sz w:val="28"/>
          <w:szCs w:val="28"/>
          <w:highlight w:val="none"/>
          <w:u w:val="single"/>
          <w:lang w:eastAsia="zh-CN"/>
        </w:rPr>
        <w:t>多宝路、宝源路历史文化街区保护活化利用项目</w:t>
      </w:r>
      <w:r>
        <w:rPr>
          <w:rFonts w:hint="eastAsia" w:ascii="宋体" w:hAnsi="宋体" w:eastAsia="宋体" w:cs="宋体"/>
          <w:sz w:val="28"/>
          <w:szCs w:val="28"/>
          <w:highlight w:val="none"/>
          <w:u w:val="single"/>
        </w:rPr>
        <w:t>进行前期研究，并按照国家发改委有关项目可行性研究报告编制内容和深度等要求，编制符合报批要求的《</w:t>
      </w:r>
      <w:r>
        <w:rPr>
          <w:rFonts w:hint="eastAsia" w:ascii="宋体" w:hAnsi="宋体" w:cs="宋体"/>
          <w:sz w:val="28"/>
          <w:szCs w:val="28"/>
          <w:highlight w:val="none"/>
          <w:u w:val="single"/>
          <w:lang w:eastAsia="zh-CN"/>
        </w:rPr>
        <w:t>多宝路、宝源路历史文化街区保护活化利用项目</w:t>
      </w:r>
      <w:r>
        <w:rPr>
          <w:rFonts w:hint="eastAsia" w:ascii="宋体" w:hAnsi="宋体" w:eastAsia="宋体" w:cs="宋体"/>
          <w:sz w:val="28"/>
          <w:szCs w:val="28"/>
          <w:highlight w:val="none"/>
          <w:u w:val="single"/>
        </w:rPr>
        <w:t>可行性研究报告》。包括为编制可行性研究报告而进行的所有调查、踏勘、资料收集、现场勘察、</w:t>
      </w:r>
      <w:r>
        <w:rPr>
          <w:rFonts w:hint="eastAsia" w:ascii="宋体" w:hAnsi="宋体" w:cs="宋体"/>
          <w:sz w:val="28"/>
          <w:szCs w:val="28"/>
          <w:highlight w:val="none"/>
          <w:u w:val="single"/>
          <w:lang w:val="en-US" w:eastAsia="zh-CN"/>
        </w:rPr>
        <w:t>建设</w:t>
      </w:r>
      <w:r>
        <w:rPr>
          <w:rFonts w:hint="eastAsia" w:ascii="宋体" w:hAnsi="宋体" w:eastAsia="宋体" w:cs="宋体"/>
          <w:sz w:val="28"/>
          <w:szCs w:val="28"/>
          <w:highlight w:val="none"/>
          <w:u w:val="single"/>
        </w:rPr>
        <w:t>方案等工作；以及协助业主进行项目报告工作等。（2）可行性报告中的建设方案论述需包含但不限于：①总体改造策略和思路；针对历史文化街区特色，提出具体定位和活化思路。②建设方案应包括区域位置图、用地范围图、片区改造后总平面图、主要节点（包括历史建筑、风貌建筑等）改造前后对比效果图。③结合改造方案，完成项目规划、建筑、结构、给排水与消防、电气、弱电智能化、市政</w:t>
      </w:r>
      <w:r>
        <w:rPr>
          <w:rFonts w:hint="eastAsia" w:ascii="宋体" w:hAnsi="宋体" w:cs="宋体"/>
          <w:sz w:val="28"/>
          <w:szCs w:val="28"/>
          <w:highlight w:val="none"/>
          <w:u w:val="single"/>
          <w:lang w:eastAsia="zh-CN"/>
        </w:rPr>
        <w:t>、</w:t>
      </w:r>
      <w:r>
        <w:rPr>
          <w:rFonts w:hint="eastAsia" w:ascii="宋体" w:hAnsi="宋体" w:eastAsia="宋体" w:cs="宋体"/>
          <w:sz w:val="28"/>
          <w:szCs w:val="28"/>
          <w:highlight w:val="none"/>
          <w:u w:val="single"/>
        </w:rPr>
        <w:t>管网等方案及说明。④建设方案其他内容。</w:t>
      </w:r>
    </w:p>
    <w:p>
      <w:pPr>
        <w:spacing w:line="360" w:lineRule="auto"/>
        <w:ind w:firstLine="560" w:firstLineChars="200"/>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4.咨询要求：</w:t>
      </w:r>
      <w:r>
        <w:rPr>
          <w:rFonts w:hint="eastAsia" w:ascii="宋体" w:hAnsi="宋体" w:eastAsia="宋体" w:cs="宋体"/>
          <w:sz w:val="28"/>
          <w:szCs w:val="28"/>
          <w:highlight w:val="none"/>
          <w:u w:val="single"/>
        </w:rPr>
        <w:t>按国家、地方颁布标准及现行的规范、规定、技术条款和主管部门要求及合同书中的要求，完成</w:t>
      </w:r>
      <w:r>
        <w:rPr>
          <w:rFonts w:hint="eastAsia" w:ascii="宋体" w:hAnsi="宋体" w:eastAsia="宋体" w:cs="宋体"/>
          <w:sz w:val="28"/>
          <w:szCs w:val="28"/>
          <w:highlight w:val="none"/>
          <w:u w:val="single"/>
          <w:lang w:eastAsia="zh-CN"/>
        </w:rPr>
        <w:t>多宝路、宝源路历史文化街区保护活化利用项目</w:t>
      </w:r>
      <w:r>
        <w:rPr>
          <w:rFonts w:hint="eastAsia" w:ascii="宋体" w:hAnsi="宋体" w:eastAsia="宋体" w:cs="宋体"/>
          <w:sz w:val="28"/>
          <w:szCs w:val="28"/>
          <w:highlight w:val="none"/>
          <w:u w:val="single"/>
        </w:rPr>
        <w:t>可行性研究报告的编制工作。以及协助业主进行项目评审及文件的报批工作等。</w:t>
      </w:r>
    </w:p>
    <w:p>
      <w:pPr>
        <w:spacing w:line="360" w:lineRule="auto"/>
        <w:ind w:firstLine="560" w:firstLineChars="200"/>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5.咨询方式：</w:t>
      </w:r>
      <w:r>
        <w:rPr>
          <w:rFonts w:hint="eastAsia" w:ascii="宋体" w:hAnsi="宋体" w:eastAsia="宋体" w:cs="宋体"/>
          <w:sz w:val="28"/>
          <w:szCs w:val="28"/>
          <w:highlight w:val="none"/>
          <w:u w:val="single"/>
        </w:rPr>
        <w:t>对</w:t>
      </w:r>
      <w:r>
        <w:rPr>
          <w:rFonts w:hint="eastAsia" w:ascii="宋体" w:hAnsi="宋体" w:eastAsia="宋体" w:cs="宋体"/>
          <w:sz w:val="28"/>
          <w:szCs w:val="28"/>
          <w:highlight w:val="none"/>
          <w:u w:val="single"/>
          <w:lang w:eastAsia="zh-CN"/>
        </w:rPr>
        <w:t>多宝路、宝源路历史文化街区保护活化利用项目</w:t>
      </w:r>
      <w:r>
        <w:rPr>
          <w:rFonts w:hint="eastAsia" w:ascii="宋体" w:hAnsi="宋体" w:eastAsia="宋体" w:cs="宋体"/>
          <w:sz w:val="28"/>
          <w:szCs w:val="28"/>
          <w:highlight w:val="none"/>
          <w:u w:val="single"/>
        </w:rPr>
        <w:t>进行全面技术经济分析的科学论证，对项目有关的自然、社会、经济、技术等进行调研、分析比较以及预测建成后的社会经济效益。在此基础上，针对方案综合论证项目建设的必要性，经济上的合理性，技术上的先进性和适应性以及建设条件的可能性和可行性，从而为投资决策提供科学依据。</w:t>
      </w:r>
    </w:p>
    <w:p>
      <w:pPr>
        <w:spacing w:line="360" w:lineRule="auto"/>
        <w:ind w:firstLine="560" w:firstLineChars="200"/>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6.提供协作：</w:t>
      </w:r>
      <w:r>
        <w:rPr>
          <w:rFonts w:hint="eastAsia" w:ascii="宋体" w:hAnsi="宋体" w:eastAsia="宋体" w:cs="宋体"/>
          <w:sz w:val="28"/>
          <w:szCs w:val="28"/>
          <w:highlight w:val="none"/>
          <w:u w:val="single"/>
        </w:rPr>
        <w:t>乙方除向甲方提交本合同约定的可行性研究报告外，尚应协助相关报批工作，及项目汇报、评审工作。</w:t>
      </w:r>
    </w:p>
    <w:p>
      <w:pPr>
        <w:spacing w:line="360" w:lineRule="auto"/>
        <w:ind w:firstLine="562" w:firstLineChars="200"/>
        <w:rPr>
          <w:rFonts w:hint="eastAsia" w:ascii="宋体" w:hAnsi="宋体" w:eastAsia="宋体" w:cs="宋体"/>
          <w:sz w:val="28"/>
          <w:szCs w:val="28"/>
          <w:highlight w:val="none"/>
          <w:u w:val="single"/>
        </w:rPr>
      </w:pPr>
      <w:r>
        <w:rPr>
          <w:rFonts w:hint="eastAsia" w:ascii="宋体" w:hAnsi="宋体" w:eastAsia="宋体" w:cs="宋体"/>
          <w:b/>
          <w:bCs/>
          <w:sz w:val="28"/>
          <w:szCs w:val="28"/>
          <w:highlight w:val="none"/>
        </w:rPr>
        <w:t>第二条</w:t>
      </w:r>
      <w:r>
        <w:rPr>
          <w:rFonts w:hint="eastAsia" w:ascii="宋体" w:hAnsi="宋体" w:eastAsia="宋体" w:cs="宋体"/>
          <w:sz w:val="28"/>
          <w:szCs w:val="28"/>
          <w:highlight w:val="none"/>
        </w:rPr>
        <w:t xml:space="preserve">  乙方应当按照下列进度要求进行本合同项目的技术咨询工作：</w:t>
      </w:r>
      <w:r>
        <w:rPr>
          <w:rFonts w:hint="eastAsia" w:ascii="宋体" w:hAnsi="宋体" w:eastAsia="宋体" w:cs="宋体"/>
          <w:sz w:val="28"/>
          <w:szCs w:val="28"/>
          <w:highlight w:val="none"/>
          <w:u w:val="single"/>
        </w:rPr>
        <w:t>按甲方要求时间、份数提交专家评审及报告所需的可行性报告、报告修改稿，最终经专家评审后修改、通过有关部门审批，并由甲方确认的成果文件（6份），并附电子文档。</w:t>
      </w:r>
    </w:p>
    <w:p>
      <w:pPr>
        <w:pStyle w:val="2"/>
        <w:rPr>
          <w:rFonts w:hint="eastAsia" w:ascii="宋体" w:hAnsi="宋体" w:eastAsia="宋体" w:cs="宋体"/>
          <w:highlight w:val="none"/>
        </w:rPr>
      </w:pPr>
    </w:p>
    <w:p>
      <w:pPr>
        <w:spacing w:line="360" w:lineRule="auto"/>
        <w:ind w:firstLine="570"/>
        <w:rPr>
          <w:rFonts w:hint="eastAsia" w:ascii="宋体" w:hAnsi="宋体" w:eastAsia="宋体" w:cs="宋体"/>
          <w:sz w:val="28"/>
          <w:szCs w:val="28"/>
          <w:highlight w:val="none"/>
        </w:rPr>
      </w:pPr>
      <w:r>
        <w:rPr>
          <w:rFonts w:hint="eastAsia" w:ascii="宋体" w:hAnsi="宋体" w:eastAsia="宋体" w:cs="宋体"/>
          <w:b/>
          <w:bCs/>
          <w:sz w:val="28"/>
          <w:szCs w:val="28"/>
          <w:highlight w:val="none"/>
        </w:rPr>
        <w:t>第三条</w:t>
      </w:r>
      <w:r>
        <w:rPr>
          <w:rFonts w:hint="eastAsia" w:ascii="宋体" w:hAnsi="宋体" w:eastAsia="宋体" w:cs="宋体"/>
          <w:sz w:val="28"/>
          <w:szCs w:val="28"/>
          <w:highlight w:val="none"/>
        </w:rPr>
        <w:t xml:space="preserve"> 为保证乙方有效进行技术咨询工作，甲方应当向乙方提供下列协作事项：</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 提供技术资料：</w:t>
      </w:r>
    </w:p>
    <w:p>
      <w:pPr>
        <w:spacing w:line="360" w:lineRule="auto"/>
        <w:ind w:firstLine="560" w:firstLineChars="200"/>
        <w:rPr>
          <w:rFonts w:hint="eastAsia" w:ascii="宋体" w:hAnsi="宋体" w:eastAsia="宋体" w:cs="宋体"/>
          <w:sz w:val="28"/>
          <w:szCs w:val="28"/>
          <w:highlight w:val="none"/>
          <w:u w:val="single"/>
        </w:rPr>
      </w:pPr>
      <w:r>
        <w:rPr>
          <w:rFonts w:hint="eastAsia" w:ascii="宋体" w:hAnsi="宋体" w:eastAsia="宋体" w:cs="宋体"/>
          <w:sz w:val="28"/>
          <w:szCs w:val="28"/>
          <w:highlight w:val="none"/>
          <w:u w:val="single"/>
        </w:rPr>
        <w:t>⑴  本项目有关技术基础资料；</w:t>
      </w:r>
    </w:p>
    <w:p>
      <w:pPr>
        <w:spacing w:line="360" w:lineRule="auto"/>
        <w:ind w:firstLine="570"/>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⑵  本项目成交通知书。</w:t>
      </w:r>
    </w:p>
    <w:p>
      <w:pPr>
        <w:spacing w:line="360" w:lineRule="auto"/>
        <w:ind w:firstLine="570"/>
        <w:rPr>
          <w:rFonts w:ascii="宋体" w:hAnsi="宋体" w:eastAsia="宋体" w:cs="宋体"/>
          <w:sz w:val="28"/>
          <w:szCs w:val="28"/>
          <w:highlight w:val="none"/>
        </w:rPr>
      </w:pPr>
      <w:r>
        <w:rPr>
          <w:rFonts w:hint="eastAsia" w:ascii="宋体" w:hAnsi="宋体" w:eastAsia="宋体" w:cs="宋体"/>
          <w:sz w:val="28"/>
          <w:szCs w:val="28"/>
          <w:highlight w:val="none"/>
        </w:rPr>
        <w:t>甲方提供上述协作事项的时间及方式：甲方在签订本合同后提供上述技术资料。若在甲方提供资料后3个工作日内，乙</w:t>
      </w:r>
      <w:r>
        <w:rPr>
          <w:rFonts w:hint="eastAsia" w:cs="宋体"/>
          <w:sz w:val="28"/>
          <w:szCs w:val="28"/>
          <w:highlight w:val="none"/>
        </w:rPr>
        <w:t>方未提出书面异议，视为甲方提交的资料完整而准确，乙方不得事后以甲方提供资料不完整或不准确为由主张交付时间顺延。</w:t>
      </w:r>
    </w:p>
    <w:p>
      <w:pPr>
        <w:spacing w:line="360" w:lineRule="auto"/>
        <w:ind w:firstLine="570"/>
        <w:rPr>
          <w:rFonts w:hint="eastAsia" w:ascii="宋体" w:hAnsi="宋体" w:eastAsia="宋体" w:cs="宋体"/>
          <w:sz w:val="28"/>
          <w:szCs w:val="28"/>
          <w:highlight w:val="none"/>
        </w:rPr>
      </w:pPr>
      <w:r>
        <w:rPr>
          <w:rFonts w:hint="eastAsia" w:ascii="宋体" w:hAnsi="宋体" w:eastAsia="宋体" w:cs="宋体"/>
          <w:b/>
          <w:bCs/>
          <w:sz w:val="28"/>
          <w:szCs w:val="28"/>
          <w:highlight w:val="none"/>
        </w:rPr>
        <w:t>第四条</w:t>
      </w:r>
      <w:r>
        <w:rPr>
          <w:rFonts w:hint="eastAsia" w:ascii="宋体" w:hAnsi="宋体" w:eastAsia="宋体" w:cs="宋体"/>
          <w:sz w:val="28"/>
          <w:szCs w:val="28"/>
          <w:highlight w:val="none"/>
        </w:rPr>
        <w:t xml:space="preserve"> 甲方向乙方支付技术咨询报酬及支付方式为：</w:t>
      </w:r>
    </w:p>
    <w:p>
      <w:pPr>
        <w:spacing w:line="360" w:lineRule="auto"/>
        <w:ind w:firstLine="570"/>
        <w:rPr>
          <w:rFonts w:hint="eastAsia" w:ascii="宋体" w:hAnsi="宋体" w:eastAsia="宋体" w:cs="宋体"/>
          <w:sz w:val="28"/>
          <w:szCs w:val="28"/>
          <w:highlight w:val="none"/>
        </w:rPr>
      </w:pPr>
      <w:r>
        <w:rPr>
          <w:rFonts w:hint="eastAsia" w:ascii="宋体" w:hAnsi="宋体" w:eastAsia="宋体" w:cs="宋体"/>
          <w:sz w:val="28"/>
          <w:szCs w:val="28"/>
          <w:highlight w:val="none"/>
        </w:rPr>
        <w:t>1.本项目工作技术咨询费合同价暂定为：人民币</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元（大写</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），暂按估算总投资9564</w:t>
      </w: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万元计算，最终按有关部门审批通过（或经专家评审）的建设项目估算投资额核算咨询服务费，若结算价超过合同价则按合同价包干。费用计算详见如下：</w:t>
      </w:r>
    </w:p>
    <w:p>
      <w:pPr>
        <w:spacing w:line="360" w:lineRule="auto"/>
        <w:ind w:firstLine="570"/>
        <w:rPr>
          <w:rFonts w:hint="eastAsia" w:ascii="宋体" w:hAnsi="宋体" w:eastAsia="宋体" w:cs="宋体"/>
          <w:sz w:val="28"/>
          <w:szCs w:val="28"/>
          <w:highlight w:val="none"/>
        </w:rPr>
      </w:pPr>
      <w:r>
        <w:rPr>
          <w:rFonts w:hint="eastAsia" w:ascii="宋体" w:hAnsi="宋体" w:eastAsia="宋体" w:cs="宋体"/>
          <w:sz w:val="28"/>
          <w:szCs w:val="28"/>
          <w:highlight w:val="none"/>
        </w:rPr>
        <w:t>收费执行《国家计委关于印发建设项目前期工作咨询收费暂行规定的通知》（计价格[1999]1283号），行业调整系数为0.</w:t>
      </w:r>
      <w:r>
        <w:rPr>
          <w:rFonts w:hint="eastAsia" w:ascii="宋体" w:hAnsi="宋体" w:eastAsia="宋体" w:cs="宋体"/>
          <w:sz w:val="28"/>
          <w:szCs w:val="28"/>
          <w:highlight w:val="none"/>
          <w:lang w:val="en-US" w:eastAsia="zh-CN"/>
        </w:rPr>
        <w:t>8</w:t>
      </w:r>
      <w:r>
        <w:rPr>
          <w:rFonts w:hint="eastAsia" w:ascii="宋体" w:hAnsi="宋体" w:eastAsia="宋体" w:cs="宋体"/>
          <w:sz w:val="28"/>
          <w:szCs w:val="28"/>
          <w:highlight w:val="none"/>
        </w:rPr>
        <w:t>，工程复杂程度调整系数暂定1</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下浮率</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rPr>
        <w:t>。</w:t>
      </w:r>
    </w:p>
    <w:p>
      <w:pPr>
        <w:spacing w:line="360" w:lineRule="auto"/>
        <w:ind w:firstLine="570"/>
        <w:rPr>
          <w:rFonts w:hint="eastAsia" w:ascii="宋体" w:hAnsi="宋体" w:eastAsia="宋体" w:cs="宋体"/>
          <w:sz w:val="28"/>
          <w:szCs w:val="28"/>
          <w:highlight w:val="none"/>
        </w:rPr>
      </w:pPr>
      <w:r>
        <w:rPr>
          <w:rFonts w:hint="eastAsia" w:ascii="宋体" w:hAnsi="宋体" w:eastAsia="宋体" w:cs="宋体"/>
          <w:sz w:val="28"/>
          <w:szCs w:val="28"/>
          <w:highlight w:val="none"/>
        </w:rPr>
        <w:t>本项目咨询费=可行性研究报告总编制费×（1-下浮率）。可行性研究报告编制工作全部完成后，根据批复（或经专家评审）的项目估算总投资作为计费基数，计算可行性研究报告编制总费用后，按上述公式进行结算，下浮率不变。</w:t>
      </w:r>
    </w:p>
    <w:p>
      <w:pPr>
        <w:spacing w:line="360" w:lineRule="auto"/>
        <w:ind w:firstLine="570"/>
        <w:rPr>
          <w:rFonts w:hint="eastAsia" w:ascii="宋体" w:hAnsi="宋体" w:eastAsia="宋体" w:cs="宋体"/>
          <w:sz w:val="28"/>
          <w:szCs w:val="28"/>
          <w:highlight w:val="none"/>
        </w:rPr>
      </w:pPr>
      <w:r>
        <w:rPr>
          <w:rFonts w:hint="eastAsia" w:ascii="宋体" w:hAnsi="宋体" w:eastAsia="宋体" w:cs="宋体"/>
          <w:sz w:val="28"/>
          <w:szCs w:val="28"/>
          <w:highlight w:val="none"/>
        </w:rPr>
        <w:t>本合同价已包括完成该可行性研究报告的成本、利润、税金、赶工费、图纸资料文印费、评审时发生的会务费、评审专家费、</w:t>
      </w:r>
      <w:r>
        <w:rPr>
          <w:rFonts w:hint="eastAsia" w:ascii="宋体" w:hAnsi="宋体" w:eastAsia="宋体" w:cs="宋体"/>
          <w:sz w:val="28"/>
          <w:szCs w:val="28"/>
          <w:highlight w:val="none"/>
          <w:lang w:eastAsia="zh-CN"/>
        </w:rPr>
        <w:t>经专家评审意见</w:t>
      </w:r>
      <w:r>
        <w:rPr>
          <w:rFonts w:hint="eastAsia" w:ascii="宋体" w:hAnsi="宋体" w:eastAsia="宋体" w:cs="宋体"/>
          <w:sz w:val="28"/>
          <w:szCs w:val="28"/>
          <w:highlight w:val="none"/>
        </w:rPr>
        <w:t>修</w:t>
      </w:r>
      <w:r>
        <w:rPr>
          <w:rFonts w:hint="eastAsia" w:ascii="宋体" w:hAnsi="宋体" w:eastAsia="宋体" w:cs="宋体"/>
          <w:sz w:val="28"/>
          <w:szCs w:val="28"/>
          <w:highlight w:val="none"/>
          <w:lang w:eastAsia="zh-CN"/>
        </w:rPr>
        <w:t>改</w:t>
      </w:r>
      <w:r>
        <w:rPr>
          <w:rFonts w:hint="eastAsia" w:ascii="宋体" w:hAnsi="宋体" w:eastAsia="宋体" w:cs="宋体"/>
          <w:sz w:val="28"/>
          <w:szCs w:val="28"/>
          <w:highlight w:val="none"/>
        </w:rPr>
        <w:t>及调整等费用。</w:t>
      </w:r>
    </w:p>
    <w:p>
      <w:pPr>
        <w:pStyle w:val="2"/>
        <w:rPr>
          <w:rFonts w:hint="eastAsia" w:ascii="宋体" w:hAnsi="宋体" w:eastAsia="宋体" w:cs="宋体"/>
          <w:highlight w:val="none"/>
        </w:rPr>
      </w:pPr>
    </w:p>
    <w:p>
      <w:pPr>
        <w:spacing w:line="360" w:lineRule="auto"/>
        <w:ind w:firstLine="570"/>
        <w:rPr>
          <w:rFonts w:hint="eastAsia" w:ascii="宋体" w:hAnsi="宋体" w:eastAsia="宋体" w:cs="宋体"/>
          <w:sz w:val="28"/>
          <w:szCs w:val="28"/>
          <w:highlight w:val="none"/>
        </w:rPr>
      </w:pPr>
      <w:r>
        <w:rPr>
          <w:rFonts w:hint="eastAsia" w:ascii="宋体" w:hAnsi="宋体" w:eastAsia="宋体" w:cs="宋体"/>
          <w:sz w:val="28"/>
          <w:szCs w:val="28"/>
          <w:highlight w:val="none"/>
        </w:rPr>
        <w:t>2. 技术咨询费报酬由甲方按其资金支付程序支付给乙方。具体支付方式和时间如下：</w:t>
      </w:r>
    </w:p>
    <w:p>
      <w:pPr>
        <w:spacing w:line="360" w:lineRule="auto"/>
        <w:ind w:firstLine="570"/>
        <w:rPr>
          <w:rFonts w:hint="eastAsia" w:ascii="宋体" w:hAnsi="宋体" w:eastAsia="宋体" w:cs="宋体"/>
          <w:sz w:val="28"/>
          <w:szCs w:val="28"/>
          <w:highlight w:val="none"/>
          <w:u w:val="single"/>
        </w:rPr>
      </w:pPr>
      <w:r>
        <w:rPr>
          <w:rFonts w:hint="eastAsia" w:ascii="宋体" w:hAnsi="宋体" w:eastAsia="宋体" w:cs="宋体"/>
          <w:sz w:val="28"/>
          <w:szCs w:val="28"/>
          <w:highlight w:val="none"/>
          <w:u w:val="single"/>
        </w:rPr>
        <w:t>（1）合同生效后，根据项目实际情况累计可支付至合同总金额的20%；</w:t>
      </w:r>
    </w:p>
    <w:p>
      <w:pPr>
        <w:spacing w:line="360" w:lineRule="auto"/>
        <w:ind w:firstLine="570"/>
        <w:rPr>
          <w:rFonts w:hint="eastAsia" w:ascii="宋体" w:hAnsi="宋体" w:eastAsia="宋体" w:cs="宋体"/>
          <w:sz w:val="28"/>
          <w:szCs w:val="28"/>
          <w:highlight w:val="none"/>
          <w:u w:val="single"/>
        </w:rPr>
      </w:pPr>
      <w:r>
        <w:rPr>
          <w:rFonts w:hint="eastAsia" w:ascii="宋体" w:hAnsi="宋体" w:eastAsia="宋体" w:cs="宋体"/>
          <w:sz w:val="28"/>
          <w:szCs w:val="28"/>
          <w:highlight w:val="none"/>
          <w:u w:val="single"/>
        </w:rPr>
        <w:t>（2）乙方向甲方提交成果报告，根据项目实际情况累计可支付至合同总金额的50%；</w:t>
      </w:r>
    </w:p>
    <w:p>
      <w:pPr>
        <w:spacing w:line="360" w:lineRule="auto"/>
        <w:ind w:firstLine="570"/>
        <w:rPr>
          <w:rFonts w:hint="eastAsia" w:ascii="宋体" w:hAnsi="宋体" w:eastAsia="宋体" w:cs="宋体"/>
          <w:sz w:val="28"/>
          <w:szCs w:val="28"/>
          <w:highlight w:val="none"/>
          <w:u w:val="single"/>
        </w:rPr>
      </w:pPr>
      <w:r>
        <w:rPr>
          <w:rFonts w:hint="eastAsia" w:ascii="宋体" w:hAnsi="宋体" w:eastAsia="宋体" w:cs="宋体"/>
          <w:sz w:val="28"/>
          <w:szCs w:val="28"/>
          <w:highlight w:val="none"/>
          <w:u w:val="single"/>
        </w:rPr>
        <w:t>（3）成果报告经专家评审后，根据项目实际情况累计可支付至合同总金额的70%；</w:t>
      </w:r>
    </w:p>
    <w:p>
      <w:pPr>
        <w:ind w:firstLine="560" w:firstLineChars="200"/>
        <w:jc w:val="left"/>
        <w:rPr>
          <w:rFonts w:hint="eastAsia" w:ascii="宋体" w:hAnsi="宋体" w:eastAsia="宋体" w:cs="宋体"/>
          <w:sz w:val="28"/>
          <w:szCs w:val="28"/>
          <w:highlight w:val="none"/>
          <w:u w:val="single"/>
        </w:rPr>
      </w:pPr>
      <w:r>
        <w:rPr>
          <w:rFonts w:hint="eastAsia" w:ascii="宋体" w:hAnsi="宋体" w:eastAsia="宋体" w:cs="宋体"/>
          <w:sz w:val="28"/>
          <w:szCs w:val="28"/>
          <w:highlight w:val="none"/>
          <w:u w:val="single"/>
        </w:rPr>
        <w:t>（4）乙方完成根据专家评审意见修改、通过有关部门审批，经甲方确认的成果，并提交结算资料及尾款资金申请资料，经审核后一次性付清余额。</w:t>
      </w:r>
    </w:p>
    <w:p>
      <w:pPr>
        <w:ind w:firstLine="560" w:firstLineChars="200"/>
        <w:jc w:val="left"/>
        <w:rPr>
          <w:rFonts w:hint="eastAsia" w:ascii="宋体" w:hAnsi="宋体" w:eastAsia="宋体" w:cs="宋体"/>
          <w:sz w:val="28"/>
          <w:szCs w:val="28"/>
          <w:highlight w:val="none"/>
          <w:u w:val="single"/>
        </w:rPr>
      </w:pPr>
      <w:bookmarkStart w:id="1" w:name="_Hlk38632925"/>
      <w:r>
        <w:rPr>
          <w:rFonts w:hint="eastAsia" w:ascii="宋体" w:hAnsi="宋体" w:eastAsia="宋体" w:cs="宋体"/>
          <w:sz w:val="28"/>
          <w:szCs w:val="28"/>
          <w:highlight w:val="none"/>
          <w:u w:val="single"/>
        </w:rPr>
        <w:t>上述条款中的付款时间，</w:t>
      </w:r>
      <w:r>
        <w:rPr>
          <w:rFonts w:hint="eastAsia" w:ascii="宋体" w:hAnsi="宋体" w:eastAsia="宋体" w:cs="宋体"/>
          <w:b/>
          <w:bCs/>
          <w:sz w:val="28"/>
          <w:szCs w:val="28"/>
          <w:highlight w:val="none"/>
          <w:u w:val="single"/>
        </w:rPr>
        <w:t>均是指甲方为向财政申请支付而办理申请手续的时间，而非指实际付款时间，具体付款时间以财政拨款时间为准，若因财政审批或财政支付程序原因导致支付迟延的，不属甲方违约。乙方对此无异议。</w:t>
      </w:r>
      <w:bookmarkEnd w:id="1"/>
    </w:p>
    <w:p>
      <w:pPr>
        <w:spacing w:line="360" w:lineRule="auto"/>
        <w:ind w:firstLine="573"/>
        <w:rPr>
          <w:rFonts w:hint="eastAsia" w:ascii="宋体" w:hAnsi="宋体" w:eastAsia="宋体" w:cs="宋体"/>
          <w:sz w:val="28"/>
          <w:szCs w:val="28"/>
          <w:highlight w:val="none"/>
        </w:rPr>
      </w:pPr>
      <w:r>
        <w:rPr>
          <w:rFonts w:hint="eastAsia" w:ascii="宋体" w:hAnsi="宋体" w:eastAsia="宋体" w:cs="宋体"/>
          <w:sz w:val="28"/>
          <w:szCs w:val="28"/>
          <w:highlight w:val="none"/>
        </w:rPr>
        <w:t>乙方开户银行名称、地址和帐号为：</w:t>
      </w:r>
    </w:p>
    <w:p>
      <w:pPr>
        <w:spacing w:line="360" w:lineRule="auto"/>
        <w:ind w:firstLine="560" w:firstLineChars="200"/>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户名：</w:t>
      </w:r>
      <w:r>
        <w:rPr>
          <w:rFonts w:hint="eastAsia" w:ascii="宋体" w:hAnsi="宋体" w:eastAsia="宋体" w:cs="宋体"/>
          <w:sz w:val="28"/>
          <w:szCs w:val="28"/>
          <w:highlight w:val="none"/>
          <w:u w:val="single"/>
        </w:rPr>
        <w:t xml:space="preserve">              </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开户银行：</w:t>
      </w:r>
      <w:r>
        <w:rPr>
          <w:rFonts w:hint="eastAsia" w:ascii="宋体" w:hAnsi="宋体" w:eastAsia="宋体" w:cs="宋体"/>
          <w:sz w:val="28"/>
          <w:szCs w:val="28"/>
          <w:highlight w:val="none"/>
          <w:u w:val="single"/>
        </w:rPr>
        <w:t xml:space="preserve">           </w:t>
      </w:r>
    </w:p>
    <w:p>
      <w:pPr>
        <w:spacing w:line="360" w:lineRule="auto"/>
        <w:ind w:firstLine="560" w:firstLineChars="200"/>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帐号：</w:t>
      </w:r>
      <w:r>
        <w:rPr>
          <w:rFonts w:hint="eastAsia" w:ascii="宋体" w:hAnsi="宋体" w:eastAsia="宋体" w:cs="宋体"/>
          <w:sz w:val="28"/>
          <w:szCs w:val="28"/>
          <w:highlight w:val="none"/>
          <w:u w:val="single"/>
        </w:rPr>
        <w:t xml:space="preserve">                  </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地址：</w:t>
      </w:r>
      <w:r>
        <w:rPr>
          <w:rFonts w:hint="eastAsia" w:ascii="宋体" w:hAnsi="宋体" w:eastAsia="宋体" w:cs="宋体"/>
          <w:sz w:val="28"/>
          <w:szCs w:val="28"/>
          <w:highlight w:val="none"/>
          <w:u w:val="single"/>
        </w:rPr>
        <w:t xml:space="preserve">                  </w:t>
      </w:r>
    </w:p>
    <w:p>
      <w:pPr>
        <w:spacing w:line="360" w:lineRule="auto"/>
        <w:ind w:firstLine="562" w:firstLineChars="200"/>
        <w:rPr>
          <w:rFonts w:hint="eastAsia" w:ascii="宋体" w:hAnsi="宋体" w:eastAsia="宋体" w:cs="宋体"/>
          <w:sz w:val="28"/>
          <w:szCs w:val="28"/>
          <w:highlight w:val="none"/>
        </w:rPr>
      </w:pPr>
      <w:r>
        <w:rPr>
          <w:rFonts w:hint="eastAsia" w:ascii="宋体" w:hAnsi="宋体" w:eastAsia="宋体" w:cs="宋体"/>
          <w:b/>
          <w:bCs/>
          <w:sz w:val="28"/>
          <w:szCs w:val="28"/>
          <w:highlight w:val="none"/>
        </w:rPr>
        <w:t>第五条</w:t>
      </w:r>
      <w:r>
        <w:rPr>
          <w:rFonts w:hint="eastAsia" w:ascii="宋体" w:hAnsi="宋体" w:eastAsia="宋体" w:cs="宋体"/>
          <w:sz w:val="28"/>
          <w:szCs w:val="28"/>
          <w:highlight w:val="none"/>
        </w:rPr>
        <w:t xml:space="preserve"> 双方确定因履行本合同应遵守的保密义务如下：</w:t>
      </w:r>
    </w:p>
    <w:p>
      <w:pPr>
        <w:ind w:firstLine="570"/>
        <w:rPr>
          <w:rFonts w:hint="eastAsia" w:ascii="宋体" w:hAnsi="宋体" w:eastAsia="宋体" w:cs="宋体"/>
          <w:highlight w:val="none"/>
        </w:rPr>
      </w:pPr>
      <w:r>
        <w:rPr>
          <w:rFonts w:hint="eastAsia" w:ascii="宋体" w:hAnsi="宋体" w:eastAsia="宋体" w:cs="宋体"/>
          <w:sz w:val="28"/>
          <w:szCs w:val="28"/>
          <w:highlight w:val="none"/>
        </w:rPr>
        <w:t>甲、乙双方均对对方提供的技术情报和资料承担保密义务，甲方对乙方提供的技术情报和资料享有使用权。</w:t>
      </w:r>
    </w:p>
    <w:p>
      <w:pPr>
        <w:spacing w:line="360" w:lineRule="auto"/>
        <w:ind w:firstLine="573"/>
        <w:rPr>
          <w:rFonts w:hint="eastAsia" w:ascii="宋体" w:hAnsi="宋体" w:eastAsia="宋体" w:cs="宋体"/>
          <w:sz w:val="28"/>
          <w:szCs w:val="28"/>
          <w:highlight w:val="none"/>
        </w:rPr>
      </w:pPr>
      <w:r>
        <w:rPr>
          <w:rFonts w:hint="eastAsia" w:ascii="宋体" w:hAnsi="宋体" w:eastAsia="宋体" w:cs="宋体"/>
          <w:b/>
          <w:bCs/>
          <w:sz w:val="28"/>
          <w:szCs w:val="28"/>
          <w:highlight w:val="none"/>
        </w:rPr>
        <w:t>第六条</w:t>
      </w:r>
      <w:r>
        <w:rPr>
          <w:rFonts w:hint="eastAsia" w:ascii="宋体" w:hAnsi="宋体" w:eastAsia="宋体" w:cs="宋体"/>
          <w:sz w:val="28"/>
          <w:szCs w:val="28"/>
          <w:highlight w:val="none"/>
        </w:rPr>
        <w:t xml:space="preserve"> 本合同的变更必须由双方协商一致，并以书面形式确定。但有下列情形的，一方可以向另一方提出变更合同权利与义务的请求，另一方应当在</w:t>
      </w:r>
      <w:r>
        <w:rPr>
          <w:rFonts w:hint="eastAsia" w:ascii="宋体" w:hAnsi="宋体" w:eastAsia="宋体" w:cs="宋体"/>
          <w:sz w:val="28"/>
          <w:szCs w:val="28"/>
          <w:highlight w:val="none"/>
          <w:u w:val="single"/>
        </w:rPr>
        <w:t>7</w:t>
      </w:r>
      <w:r>
        <w:rPr>
          <w:rFonts w:hint="eastAsia" w:ascii="宋体" w:hAnsi="宋体" w:eastAsia="宋体" w:cs="宋体"/>
          <w:sz w:val="28"/>
          <w:szCs w:val="28"/>
          <w:highlight w:val="none"/>
        </w:rPr>
        <w:t>日内予以答复；逾期未予以答复的，视为同意：</w:t>
      </w:r>
    </w:p>
    <w:p>
      <w:pPr>
        <w:spacing w:line="360" w:lineRule="auto"/>
        <w:ind w:firstLine="573"/>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 xml:space="preserve">1. </w:t>
      </w:r>
      <w:r>
        <w:rPr>
          <w:rFonts w:hint="eastAsia" w:ascii="宋体" w:hAnsi="宋体" w:eastAsia="宋体" w:cs="宋体"/>
          <w:sz w:val="28"/>
          <w:szCs w:val="28"/>
          <w:highlight w:val="none"/>
          <w:u w:val="single"/>
        </w:rPr>
        <w:t>由于不可抗力；</w:t>
      </w:r>
    </w:p>
    <w:p>
      <w:pPr>
        <w:spacing w:line="360" w:lineRule="auto"/>
        <w:ind w:firstLine="573"/>
        <w:rPr>
          <w:rFonts w:hint="eastAsia" w:ascii="宋体" w:hAnsi="宋体" w:eastAsia="宋体" w:cs="宋体"/>
          <w:sz w:val="28"/>
          <w:szCs w:val="28"/>
          <w:highlight w:val="none"/>
        </w:rPr>
      </w:pPr>
      <w:r>
        <w:rPr>
          <w:rFonts w:hint="eastAsia" w:ascii="宋体" w:hAnsi="宋体" w:eastAsia="宋体" w:cs="宋体"/>
          <w:b/>
          <w:bCs/>
          <w:sz w:val="28"/>
          <w:szCs w:val="28"/>
          <w:highlight w:val="none"/>
        </w:rPr>
        <w:t>第七条</w:t>
      </w:r>
      <w:r>
        <w:rPr>
          <w:rFonts w:hint="eastAsia" w:ascii="宋体" w:hAnsi="宋体" w:eastAsia="宋体" w:cs="宋体"/>
          <w:sz w:val="28"/>
          <w:szCs w:val="28"/>
          <w:highlight w:val="none"/>
        </w:rPr>
        <w:t xml:space="preserve"> 双方确定，按以下标准和方式对乙方提交的技术咨询工作成果进行验收：</w:t>
      </w:r>
    </w:p>
    <w:p>
      <w:pPr>
        <w:spacing w:line="360" w:lineRule="auto"/>
        <w:ind w:left="420" w:leftChars="200"/>
        <w:jc w:val="lef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1. 乙方完成技术咨询工作成果的形式及时间：</w:t>
      </w:r>
      <w:r>
        <w:rPr>
          <w:rFonts w:hint="eastAsia" w:ascii="宋体" w:hAnsi="宋体" w:eastAsia="宋体" w:cs="宋体"/>
          <w:sz w:val="28"/>
          <w:szCs w:val="28"/>
          <w:highlight w:val="none"/>
          <w:u w:val="single"/>
        </w:rPr>
        <w:t>乙方应在本合同签订之日起</w:t>
      </w:r>
    </w:p>
    <w:p>
      <w:pPr>
        <w:pStyle w:val="2"/>
        <w:spacing w:line="360" w:lineRule="auto"/>
        <w:rPr>
          <w:rFonts w:hint="eastAsia" w:ascii="宋体" w:hAnsi="宋体" w:eastAsia="宋体" w:cs="宋体"/>
          <w:kern w:val="2"/>
          <w:sz w:val="28"/>
          <w:szCs w:val="28"/>
          <w:highlight w:val="none"/>
          <w:u w:val="single"/>
          <w:lang w:val="en-US" w:eastAsia="zh-CN" w:bidi="ar-SA"/>
        </w:rPr>
      </w:pPr>
      <w:r>
        <w:rPr>
          <w:rFonts w:hint="eastAsia" w:ascii="宋体" w:hAnsi="宋体" w:eastAsia="宋体" w:cs="宋体"/>
          <w:sz w:val="28"/>
          <w:szCs w:val="28"/>
          <w:highlight w:val="none"/>
          <w:u w:val="single"/>
          <w:lang w:val="en-US" w:eastAsia="zh-CN"/>
        </w:rPr>
        <w:t>1</w:t>
      </w:r>
      <w:r>
        <w:rPr>
          <w:rFonts w:hint="eastAsia" w:ascii="宋体" w:hAnsi="宋体" w:eastAsia="宋体" w:cs="宋体"/>
          <w:sz w:val="28"/>
          <w:szCs w:val="28"/>
          <w:highlight w:val="none"/>
          <w:u w:val="single"/>
        </w:rPr>
        <w:t>0日内向</w:t>
      </w:r>
      <w:r>
        <w:rPr>
          <w:rFonts w:hint="eastAsia" w:ascii="宋体" w:hAnsi="宋体" w:eastAsia="宋体" w:cs="宋体"/>
          <w:sz w:val="28"/>
          <w:szCs w:val="28"/>
          <w:highlight w:val="none"/>
          <w:u w:val="single"/>
          <w:lang w:eastAsia="zh-CN"/>
        </w:rPr>
        <w:t>按</w:t>
      </w:r>
      <w:r>
        <w:rPr>
          <w:rFonts w:hint="eastAsia" w:ascii="宋体" w:hAnsi="宋体" w:eastAsia="宋体" w:cs="宋体"/>
          <w:sz w:val="28"/>
          <w:szCs w:val="28"/>
          <w:highlight w:val="none"/>
          <w:u w:val="single"/>
        </w:rPr>
        <w:t>甲方</w:t>
      </w:r>
      <w:r>
        <w:rPr>
          <w:rFonts w:hint="eastAsia" w:ascii="宋体" w:hAnsi="宋体" w:eastAsia="宋体" w:cs="宋体"/>
          <w:sz w:val="28"/>
          <w:szCs w:val="28"/>
          <w:highlight w:val="none"/>
          <w:u w:val="single"/>
          <w:lang w:eastAsia="zh-CN"/>
        </w:rPr>
        <w:t>要求</w:t>
      </w:r>
      <w:r>
        <w:rPr>
          <w:rFonts w:hint="eastAsia" w:ascii="宋体" w:hAnsi="宋体" w:eastAsia="宋体" w:cs="宋体"/>
          <w:sz w:val="28"/>
          <w:szCs w:val="28"/>
          <w:highlight w:val="none"/>
          <w:u w:val="single"/>
        </w:rPr>
        <w:t>提交项目可行性研究报告纸质版</w:t>
      </w:r>
      <w:r>
        <w:rPr>
          <w:rFonts w:hint="eastAsia" w:ascii="宋体" w:hAnsi="宋体" w:eastAsia="宋体" w:cs="宋体"/>
          <w:sz w:val="28"/>
          <w:szCs w:val="28"/>
          <w:highlight w:val="none"/>
          <w:u w:val="single"/>
          <w:lang w:eastAsia="zh-CN"/>
        </w:rPr>
        <w:t>及</w:t>
      </w:r>
      <w:r>
        <w:rPr>
          <w:rFonts w:hint="eastAsia" w:ascii="宋体" w:hAnsi="宋体" w:eastAsia="宋体" w:cs="宋体"/>
          <w:sz w:val="28"/>
          <w:szCs w:val="28"/>
          <w:highlight w:val="none"/>
          <w:u w:val="single"/>
        </w:rPr>
        <w:t>电子版</w:t>
      </w:r>
      <w:r>
        <w:rPr>
          <w:rFonts w:hint="eastAsia" w:ascii="宋体" w:hAnsi="宋体" w:eastAsia="宋体" w:cs="宋体"/>
          <w:sz w:val="28"/>
          <w:szCs w:val="28"/>
          <w:highlight w:val="none"/>
          <w:u w:val="single"/>
          <w:lang w:eastAsia="zh-CN"/>
        </w:rPr>
        <w:t>。</w:t>
      </w:r>
      <w:r>
        <w:rPr>
          <w:rFonts w:hint="eastAsia" w:ascii="宋体" w:hAnsi="宋体" w:eastAsia="宋体" w:cs="宋体"/>
          <w:kern w:val="2"/>
          <w:sz w:val="28"/>
          <w:szCs w:val="28"/>
          <w:highlight w:val="none"/>
          <w:u w:val="single"/>
          <w:lang w:val="en-US" w:eastAsia="zh-CN" w:bidi="ar-SA"/>
        </w:rPr>
        <w:t>有关部门进行评审后5个日历天内完成工程项目可行性研究报告的修改。期限结束后，若发现可行性研究报告仍需修改、调整，</w:t>
      </w:r>
      <w:r>
        <w:rPr>
          <w:rFonts w:hint="eastAsia" w:ascii="宋体" w:hAnsi="宋体" w:cs="宋体"/>
          <w:kern w:val="2"/>
          <w:sz w:val="28"/>
          <w:szCs w:val="28"/>
          <w:highlight w:val="none"/>
          <w:u w:val="single"/>
          <w:lang w:val="en-US" w:eastAsia="zh-CN" w:bidi="ar-SA"/>
        </w:rPr>
        <w:t>乙方</w:t>
      </w:r>
      <w:r>
        <w:rPr>
          <w:rFonts w:hint="eastAsia" w:ascii="宋体" w:hAnsi="宋体" w:eastAsia="宋体" w:cs="宋体"/>
          <w:kern w:val="2"/>
          <w:sz w:val="28"/>
          <w:szCs w:val="28"/>
          <w:highlight w:val="none"/>
          <w:u w:val="single"/>
          <w:lang w:val="en-US" w:eastAsia="zh-CN" w:bidi="ar-SA"/>
        </w:rPr>
        <w:t>单位应继续提供有关服务。</w:t>
      </w:r>
    </w:p>
    <w:p>
      <w:pPr>
        <w:spacing w:line="360" w:lineRule="auto"/>
        <w:ind w:firstLine="570"/>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2. 技术咨询工作成果的验收标准：</w:t>
      </w:r>
      <w:r>
        <w:rPr>
          <w:rFonts w:hint="eastAsia" w:ascii="宋体" w:hAnsi="宋体" w:eastAsia="宋体" w:cs="宋体"/>
          <w:sz w:val="28"/>
          <w:szCs w:val="28"/>
          <w:highlight w:val="none"/>
          <w:u w:val="single"/>
        </w:rPr>
        <w:t>按国家现行的规范、规定、技术条例的要求进行验收。</w:t>
      </w:r>
    </w:p>
    <w:p>
      <w:pPr>
        <w:spacing w:line="360" w:lineRule="auto"/>
        <w:ind w:firstLine="570"/>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3. 技术咨询工作成果的验收方法：</w:t>
      </w:r>
      <w:r>
        <w:rPr>
          <w:rFonts w:hint="eastAsia" w:ascii="宋体" w:hAnsi="宋体" w:eastAsia="宋体" w:cs="宋体"/>
          <w:sz w:val="28"/>
          <w:szCs w:val="28"/>
          <w:highlight w:val="none"/>
          <w:u w:val="single"/>
        </w:rPr>
        <w:t>可行性研究报告完成后，由乙方协助甲方送相关部门报告。</w:t>
      </w:r>
    </w:p>
    <w:p>
      <w:pPr>
        <w:spacing w:line="360" w:lineRule="auto"/>
        <w:ind w:firstLine="570"/>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4. 验收的时间和地点：</w:t>
      </w:r>
      <w:r>
        <w:rPr>
          <w:rFonts w:hint="eastAsia" w:ascii="宋体" w:hAnsi="宋体" w:eastAsia="宋体" w:cs="宋体"/>
          <w:sz w:val="28"/>
          <w:szCs w:val="28"/>
          <w:highlight w:val="none"/>
          <w:u w:val="single"/>
        </w:rPr>
        <w:t>甲方收到可行性研究报告时确定。</w:t>
      </w:r>
    </w:p>
    <w:p>
      <w:pPr>
        <w:spacing w:line="360" w:lineRule="auto"/>
        <w:ind w:firstLine="561"/>
        <w:rPr>
          <w:rFonts w:hint="eastAsia" w:ascii="宋体" w:hAnsi="宋体" w:eastAsia="宋体" w:cs="宋体"/>
          <w:sz w:val="28"/>
          <w:szCs w:val="28"/>
          <w:highlight w:val="none"/>
        </w:rPr>
      </w:pPr>
      <w:r>
        <w:rPr>
          <w:rFonts w:hint="eastAsia" w:ascii="宋体" w:hAnsi="宋体" w:eastAsia="宋体" w:cs="宋体"/>
          <w:b/>
          <w:bCs/>
          <w:sz w:val="28"/>
          <w:szCs w:val="28"/>
          <w:highlight w:val="none"/>
        </w:rPr>
        <w:t>第八条</w:t>
      </w:r>
      <w:r>
        <w:rPr>
          <w:rFonts w:hint="eastAsia" w:ascii="宋体" w:hAnsi="宋体" w:eastAsia="宋体" w:cs="宋体"/>
          <w:sz w:val="28"/>
          <w:szCs w:val="28"/>
          <w:highlight w:val="none"/>
        </w:rPr>
        <w:t xml:space="preserve"> 违约责任：</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1.乙方未能按本合同规定的时间完工的，从逾期之日起每日按本合同总价</w:t>
      </w:r>
      <w:r>
        <w:rPr>
          <w:rFonts w:hint="eastAsia" w:ascii="宋体" w:hAnsi="宋体" w:eastAsia="宋体" w:cs="宋体"/>
          <w:sz w:val="28"/>
          <w:szCs w:val="28"/>
          <w:highlight w:val="none"/>
          <w:u w:val="single"/>
        </w:rPr>
        <w:t>2‰</w:t>
      </w:r>
      <w:r>
        <w:rPr>
          <w:rFonts w:hint="eastAsia" w:ascii="宋体" w:hAnsi="宋体" w:eastAsia="宋体" w:cs="宋体"/>
          <w:sz w:val="28"/>
          <w:szCs w:val="28"/>
          <w:highlight w:val="none"/>
        </w:rPr>
        <w:t>的数额向甲方支付违约金。如延误超过</w:t>
      </w:r>
      <w:r>
        <w:rPr>
          <w:rFonts w:hint="eastAsia" w:ascii="宋体" w:hAnsi="宋体" w:eastAsia="宋体" w:cs="宋体"/>
          <w:sz w:val="28"/>
          <w:szCs w:val="28"/>
          <w:highlight w:val="none"/>
          <w:u w:val="single"/>
        </w:rPr>
        <w:t>10</w:t>
      </w:r>
      <w:r>
        <w:rPr>
          <w:rFonts w:hint="eastAsia" w:ascii="宋体" w:hAnsi="宋体" w:eastAsia="宋体" w:cs="宋体"/>
          <w:sz w:val="28"/>
          <w:szCs w:val="28"/>
          <w:highlight w:val="none"/>
        </w:rPr>
        <w:t>日仍未完工的，甲方有权解除合同并不予支付任何费用，并有权要求乙方支付合同总价</w:t>
      </w:r>
      <w:r>
        <w:rPr>
          <w:rFonts w:hint="eastAsia" w:ascii="宋体" w:hAnsi="宋体" w:eastAsia="宋体" w:cs="宋体"/>
          <w:sz w:val="28"/>
          <w:szCs w:val="28"/>
          <w:highlight w:val="none"/>
          <w:u w:val="single"/>
        </w:rPr>
        <w:t>20%</w:t>
      </w:r>
      <w:r>
        <w:rPr>
          <w:rFonts w:hint="eastAsia" w:ascii="宋体" w:hAnsi="宋体" w:eastAsia="宋体" w:cs="宋体"/>
          <w:sz w:val="28"/>
          <w:szCs w:val="28"/>
          <w:highlight w:val="none"/>
        </w:rPr>
        <w:t>的款项作为违约金。此外，乙方还应退还已收的全部费用。</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2.</w:t>
      </w:r>
      <w:bookmarkStart w:id="2" w:name="_Hlk41563911"/>
      <w:bookmarkStart w:id="3" w:name="_Hlk41563966"/>
      <w:r>
        <w:rPr>
          <w:rFonts w:hint="eastAsia" w:ascii="宋体" w:hAnsi="宋体" w:eastAsia="宋体" w:cs="宋体"/>
          <w:sz w:val="28"/>
          <w:szCs w:val="28"/>
          <w:highlight w:val="none"/>
        </w:rPr>
        <w:t>乙方提供的工作成果文件质量不合格</w:t>
      </w:r>
      <w:bookmarkEnd w:id="2"/>
      <w:r>
        <w:rPr>
          <w:rFonts w:hint="eastAsia" w:ascii="宋体" w:hAnsi="宋体" w:eastAsia="宋体" w:cs="宋体"/>
          <w:sz w:val="28"/>
          <w:szCs w:val="28"/>
          <w:highlight w:val="none"/>
        </w:rPr>
        <w:t>，应支付合同总价</w:t>
      </w:r>
      <w:r>
        <w:rPr>
          <w:rFonts w:hint="eastAsia" w:ascii="宋体" w:hAnsi="宋体" w:eastAsia="宋体" w:cs="宋体"/>
          <w:sz w:val="28"/>
          <w:szCs w:val="28"/>
          <w:highlight w:val="none"/>
          <w:u w:val="single"/>
        </w:rPr>
        <w:t xml:space="preserve">20 </w:t>
      </w:r>
      <w:r>
        <w:rPr>
          <w:rFonts w:hint="eastAsia" w:ascii="宋体" w:hAnsi="宋体" w:eastAsia="宋体" w:cs="宋体"/>
          <w:sz w:val="28"/>
          <w:szCs w:val="28"/>
          <w:highlight w:val="none"/>
        </w:rPr>
        <w:t>%的违约金，并且在</w:t>
      </w:r>
      <w:r>
        <w:rPr>
          <w:rFonts w:hint="eastAsia" w:ascii="宋体" w:hAnsi="宋体" w:eastAsia="宋体" w:cs="宋体"/>
          <w:sz w:val="28"/>
          <w:szCs w:val="28"/>
          <w:highlight w:val="none"/>
          <w:u w:val="single"/>
        </w:rPr>
        <w:t xml:space="preserve"> 10 </w:t>
      </w:r>
      <w:r>
        <w:rPr>
          <w:rFonts w:hint="eastAsia" w:ascii="宋体" w:hAnsi="宋体" w:eastAsia="宋体" w:cs="宋体"/>
          <w:sz w:val="28"/>
          <w:szCs w:val="28"/>
          <w:highlight w:val="none"/>
        </w:rPr>
        <w:t>天内无偿补充完善至质量合格；若乙方无能力补充完善或期满仍未能补充完善完毕，甲方有权单方解除本合同并不予支付任何费用，且有权另行委托其他单位完成，该补充完善的费用由乙方全部承担。</w:t>
      </w:r>
      <w:bookmarkEnd w:id="3"/>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3.乙方无正当理由不履行本协议时，甲方有权单方解除本合同，乙方除应退还甲方已付给乙方的所有费用，还应向甲方支付本合同暂定总价金额的</w:t>
      </w:r>
      <w:r>
        <w:rPr>
          <w:rFonts w:hint="eastAsia" w:ascii="宋体" w:hAnsi="宋体" w:eastAsia="宋体" w:cs="宋体"/>
          <w:sz w:val="28"/>
          <w:szCs w:val="28"/>
          <w:highlight w:val="none"/>
          <w:u w:val="single"/>
        </w:rPr>
        <w:t>20%</w:t>
      </w:r>
      <w:r>
        <w:rPr>
          <w:rFonts w:hint="eastAsia" w:ascii="宋体" w:hAnsi="宋体" w:eastAsia="宋体" w:cs="宋体"/>
          <w:sz w:val="28"/>
          <w:szCs w:val="28"/>
          <w:highlight w:val="none"/>
        </w:rPr>
        <w:t>作为违约金。</w:t>
      </w:r>
    </w:p>
    <w:p>
      <w:pPr>
        <w:spacing w:line="360" w:lineRule="auto"/>
        <w:ind w:firstLine="540"/>
        <w:rPr>
          <w:rFonts w:hint="eastAsia" w:ascii="宋体" w:hAnsi="宋体" w:eastAsia="宋体" w:cs="宋体"/>
          <w:sz w:val="28"/>
          <w:szCs w:val="28"/>
          <w:highlight w:val="none"/>
        </w:rPr>
      </w:pPr>
      <w:r>
        <w:rPr>
          <w:rFonts w:hint="eastAsia" w:ascii="宋体" w:hAnsi="宋体" w:eastAsia="宋体" w:cs="宋体"/>
          <w:b/>
          <w:bCs/>
          <w:sz w:val="28"/>
          <w:szCs w:val="28"/>
          <w:highlight w:val="none"/>
        </w:rPr>
        <w:t>第九条</w:t>
      </w:r>
      <w:r>
        <w:rPr>
          <w:rFonts w:hint="eastAsia" w:ascii="宋体" w:hAnsi="宋体" w:eastAsia="宋体" w:cs="宋体"/>
          <w:sz w:val="28"/>
          <w:szCs w:val="28"/>
          <w:highlight w:val="none"/>
        </w:rPr>
        <w:t xml:space="preserve"> 双方确定，甲方按照乙方符合本合同编写标准和方式完成的工作成果作出决策并予以实施所造成的损失，按以下第</w:t>
      </w:r>
      <w:r>
        <w:rPr>
          <w:rFonts w:hint="eastAsia" w:ascii="宋体" w:hAnsi="宋体" w:eastAsia="宋体" w:cs="宋体"/>
          <w:sz w:val="28"/>
          <w:szCs w:val="28"/>
          <w:highlight w:val="none"/>
          <w:u w:val="single"/>
        </w:rPr>
        <w:t xml:space="preserve"> 2 </w:t>
      </w:r>
      <w:r>
        <w:rPr>
          <w:rFonts w:hint="eastAsia" w:ascii="宋体" w:hAnsi="宋体" w:eastAsia="宋体" w:cs="宋体"/>
          <w:sz w:val="28"/>
          <w:szCs w:val="28"/>
          <w:highlight w:val="none"/>
        </w:rPr>
        <w:t xml:space="preserve">种方式处理： </w:t>
      </w:r>
    </w:p>
    <w:p>
      <w:pPr>
        <w:numPr>
          <w:ilvl w:val="0"/>
          <w:numId w:val="1"/>
        </w:num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乙方不承担责任。</w:t>
      </w:r>
    </w:p>
    <w:p>
      <w:pPr>
        <w:numPr>
          <w:ilvl w:val="0"/>
          <w:numId w:val="1"/>
        </w:numPr>
        <w:tabs>
          <w:tab w:val="left" w:pos="0"/>
          <w:tab w:val="clear" w:pos="900"/>
        </w:tabs>
        <w:spacing w:line="360" w:lineRule="auto"/>
        <w:ind w:left="0" w:firstLine="540"/>
        <w:rPr>
          <w:rFonts w:hint="eastAsia" w:ascii="宋体" w:hAnsi="宋体" w:eastAsia="宋体" w:cs="宋体"/>
          <w:sz w:val="28"/>
          <w:szCs w:val="28"/>
          <w:highlight w:val="none"/>
        </w:rPr>
      </w:pPr>
      <w:r>
        <w:rPr>
          <w:rFonts w:hint="eastAsia" w:ascii="宋体" w:hAnsi="宋体" w:eastAsia="宋体" w:cs="宋体"/>
          <w:sz w:val="28"/>
          <w:szCs w:val="28"/>
          <w:highlight w:val="none"/>
        </w:rPr>
        <w:t>乙方承担责任。</w:t>
      </w:r>
      <w:r>
        <w:rPr>
          <w:rFonts w:hint="eastAsia" w:cs="宋体"/>
          <w:sz w:val="28"/>
          <w:szCs w:val="28"/>
          <w:highlight w:val="none"/>
        </w:rPr>
        <w:t>具体承担方式为免收相应部分咨询费。</w:t>
      </w:r>
    </w:p>
    <w:p>
      <w:pPr>
        <w:spacing w:line="360" w:lineRule="auto"/>
        <w:ind w:firstLine="540"/>
        <w:rPr>
          <w:rFonts w:hint="eastAsia" w:ascii="宋体" w:hAnsi="宋体" w:eastAsia="宋体" w:cs="宋体"/>
          <w:sz w:val="28"/>
          <w:szCs w:val="28"/>
          <w:highlight w:val="none"/>
        </w:rPr>
      </w:pPr>
      <w:r>
        <w:rPr>
          <w:rFonts w:hint="eastAsia" w:ascii="宋体" w:hAnsi="宋体" w:eastAsia="宋体" w:cs="宋体"/>
          <w:b/>
          <w:bCs/>
          <w:sz w:val="28"/>
          <w:szCs w:val="28"/>
          <w:highlight w:val="none"/>
        </w:rPr>
        <w:t>第十条</w:t>
      </w:r>
      <w:r>
        <w:rPr>
          <w:rFonts w:hint="eastAsia" w:ascii="宋体" w:hAnsi="宋体" w:eastAsia="宋体" w:cs="宋体"/>
          <w:sz w:val="28"/>
          <w:szCs w:val="28"/>
          <w:highlight w:val="none"/>
        </w:rPr>
        <w:t xml:space="preserve"> 双方确定：                 </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 本项目可行性研究报告署名权归乙方所有，版权归甲方所有；乙方未经甲方许可，不得擅自使用或者向任何第三方透露本次项目有关的资料和数据。</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2. 乙方应保证本项目的技术、服务或其任何一部分不会产生因第三方提出侵犯其专利权、商标权或其他知识产权而引起的法律和经济纠纷；如因非甲方资料原因造成第三方提出其专利权、商标权或其他知识产权的侵权之诉，则一切法律责任由乙方承担。因此而导致甲方承担了责任的，</w:t>
      </w:r>
      <w:bookmarkStart w:id="4" w:name="_Hlk41564660"/>
      <w:r>
        <w:rPr>
          <w:rFonts w:hint="eastAsia" w:ascii="宋体" w:hAnsi="宋体" w:eastAsia="宋体" w:cs="宋体"/>
          <w:sz w:val="28"/>
          <w:szCs w:val="28"/>
          <w:highlight w:val="none"/>
        </w:rPr>
        <w:t>甲方有权向乙方追偿，并且甲方因追偿而支付的律师费、差旅费、财产保全担保费等由乙方承担</w:t>
      </w:r>
      <w:bookmarkEnd w:id="4"/>
      <w:r>
        <w:rPr>
          <w:rFonts w:hint="eastAsia" w:ascii="宋体" w:hAnsi="宋体" w:eastAsia="宋体" w:cs="宋体"/>
          <w:sz w:val="28"/>
          <w:szCs w:val="28"/>
          <w:highlight w:val="none"/>
        </w:rPr>
        <w:t>。</w:t>
      </w:r>
    </w:p>
    <w:p>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3. 甲方利用乙方提交的技术咨询工作成果所完成的新的技术成果，归甲方所有。</w:t>
      </w:r>
    </w:p>
    <w:p>
      <w:pPr>
        <w:spacing w:line="360" w:lineRule="auto"/>
        <w:ind w:firstLine="570"/>
        <w:rPr>
          <w:rFonts w:hint="eastAsia" w:ascii="宋体" w:hAnsi="宋体" w:eastAsia="宋体" w:cs="宋体"/>
          <w:sz w:val="28"/>
          <w:szCs w:val="28"/>
          <w:highlight w:val="none"/>
        </w:rPr>
      </w:pPr>
      <w:r>
        <w:rPr>
          <w:rFonts w:hint="eastAsia" w:ascii="宋体" w:hAnsi="宋体" w:eastAsia="宋体" w:cs="宋体"/>
          <w:color w:val="000000"/>
          <w:sz w:val="28"/>
          <w:szCs w:val="28"/>
          <w:highlight w:val="none"/>
        </w:rPr>
        <w:t xml:space="preserve">4. </w:t>
      </w:r>
      <w:r>
        <w:rPr>
          <w:rFonts w:hint="eastAsia" w:ascii="宋体" w:hAnsi="宋体" w:eastAsia="宋体" w:cs="宋体"/>
          <w:sz w:val="28"/>
          <w:szCs w:val="28"/>
          <w:highlight w:val="none"/>
        </w:rPr>
        <w:t>如在项目实施期间，因政策变化、计划调整及其它不可抗力等原因，造成本项目停建、缓建，则乙方必须接受甲方要求终止服务，并应积极配合甲方做好善后工作，按已完成工作量占合同工作量比例结清服务费，并且不能要求额外费用及任何形式补偿。</w:t>
      </w:r>
    </w:p>
    <w:p>
      <w:pPr>
        <w:spacing w:line="360" w:lineRule="auto"/>
        <w:ind w:firstLine="570"/>
        <w:rPr>
          <w:rFonts w:hint="eastAsia" w:ascii="宋体" w:hAnsi="宋体" w:eastAsia="宋体" w:cs="宋体"/>
          <w:sz w:val="28"/>
          <w:szCs w:val="28"/>
          <w:highlight w:val="none"/>
        </w:rPr>
      </w:pPr>
      <w:r>
        <w:rPr>
          <w:rFonts w:hint="eastAsia" w:ascii="宋体" w:hAnsi="宋体" w:eastAsia="宋体" w:cs="宋体"/>
          <w:b/>
          <w:bCs/>
          <w:sz w:val="28"/>
          <w:szCs w:val="28"/>
          <w:highlight w:val="none"/>
        </w:rPr>
        <w:t>第十一条</w:t>
      </w:r>
      <w:r>
        <w:rPr>
          <w:rFonts w:hint="eastAsia" w:ascii="宋体" w:hAnsi="宋体" w:eastAsia="宋体" w:cs="宋体"/>
          <w:sz w:val="28"/>
          <w:szCs w:val="28"/>
          <w:highlight w:val="none"/>
        </w:rPr>
        <w:t xml:space="preserve"> 双方确定，在本合同有效期内，甲方指定</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为甲方项目联系人，乙方指定</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为乙方项目联系人。项目联系人承担以下责任：</w:t>
      </w:r>
    </w:p>
    <w:p>
      <w:pPr>
        <w:pStyle w:val="9"/>
        <w:spacing w:line="360" w:lineRule="auto"/>
        <w:ind w:firstLine="560" w:firstLineChars="200"/>
        <w:rPr>
          <w:rFonts w:hint="eastAsia" w:ascii="宋体" w:hAnsi="宋体" w:eastAsia="宋体" w:cs="宋体"/>
          <w:highlight w:val="none"/>
        </w:rPr>
      </w:pPr>
      <w:r>
        <w:rPr>
          <w:rFonts w:hint="eastAsia" w:ascii="宋体" w:hAnsi="宋体" w:eastAsia="宋体" w:cs="宋体"/>
          <w:highlight w:val="none"/>
        </w:rPr>
        <w:t>1.本项目联系的有关事宜；</w:t>
      </w:r>
    </w:p>
    <w:p>
      <w:pPr>
        <w:pStyle w:val="9"/>
        <w:spacing w:line="360" w:lineRule="auto"/>
        <w:ind w:firstLine="560" w:firstLineChars="200"/>
        <w:rPr>
          <w:rFonts w:hint="eastAsia" w:ascii="宋体" w:hAnsi="宋体" w:eastAsia="宋体" w:cs="宋体"/>
          <w:highlight w:val="none"/>
        </w:rPr>
      </w:pPr>
      <w:r>
        <w:rPr>
          <w:rFonts w:hint="eastAsia" w:ascii="宋体" w:hAnsi="宋体" w:eastAsia="宋体" w:cs="宋体"/>
          <w:highlight w:val="none"/>
        </w:rPr>
        <w:t>2.跟进项目进度；</w:t>
      </w:r>
    </w:p>
    <w:p>
      <w:pPr>
        <w:pStyle w:val="9"/>
        <w:spacing w:line="360" w:lineRule="auto"/>
        <w:ind w:firstLine="560" w:firstLineChars="200"/>
        <w:rPr>
          <w:rFonts w:hint="eastAsia" w:ascii="宋体" w:hAnsi="宋体" w:eastAsia="宋体" w:cs="宋体"/>
          <w:highlight w:val="none"/>
        </w:rPr>
      </w:pPr>
      <w:r>
        <w:rPr>
          <w:rFonts w:hint="eastAsia" w:ascii="宋体" w:hAnsi="宋体" w:eastAsia="宋体" w:cs="宋体"/>
          <w:highlight w:val="none"/>
        </w:rPr>
        <w:t>3.解决实际进程中出现的问题，并进行联络和沟通。</w:t>
      </w:r>
    </w:p>
    <w:p>
      <w:pPr>
        <w:pStyle w:val="9"/>
        <w:spacing w:line="360" w:lineRule="auto"/>
        <w:ind w:firstLine="570"/>
        <w:rPr>
          <w:rFonts w:hint="eastAsia" w:ascii="宋体" w:hAnsi="宋体" w:eastAsia="宋体" w:cs="宋体"/>
          <w:highlight w:val="none"/>
        </w:rPr>
      </w:pPr>
      <w:r>
        <w:rPr>
          <w:rFonts w:hint="eastAsia" w:ascii="宋体" w:hAnsi="宋体" w:eastAsia="宋体" w:cs="宋体"/>
          <w:highlight w:val="none"/>
        </w:rPr>
        <w:t>一方变更项目联系人的，应当及时以书面形式通知另一方。未及时通知并影响本合同履行或造成损失的，应承担相应的责任。</w:t>
      </w:r>
    </w:p>
    <w:p>
      <w:pPr>
        <w:pStyle w:val="9"/>
        <w:spacing w:line="360" w:lineRule="auto"/>
        <w:ind w:firstLine="570"/>
        <w:rPr>
          <w:rFonts w:hint="eastAsia" w:ascii="宋体" w:hAnsi="宋体" w:eastAsia="宋体" w:cs="宋体"/>
          <w:highlight w:val="none"/>
        </w:rPr>
      </w:pPr>
      <w:r>
        <w:rPr>
          <w:rFonts w:hint="eastAsia" w:ascii="宋体" w:hAnsi="宋体" w:eastAsia="宋体" w:cs="宋体"/>
          <w:b/>
          <w:bCs/>
          <w:highlight w:val="none"/>
        </w:rPr>
        <w:t>第十二条</w:t>
      </w:r>
      <w:r>
        <w:rPr>
          <w:rFonts w:hint="eastAsia" w:ascii="宋体" w:hAnsi="宋体" w:eastAsia="宋体" w:cs="宋体"/>
          <w:highlight w:val="none"/>
        </w:rPr>
        <w:t xml:space="preserve"> 双方确定，出现下列情形，致使本合同的履行成为不必要或不可能的，可以解除本合同：</w:t>
      </w:r>
    </w:p>
    <w:p>
      <w:pPr>
        <w:pStyle w:val="9"/>
        <w:spacing w:line="360" w:lineRule="auto"/>
        <w:ind w:firstLine="570"/>
        <w:rPr>
          <w:rFonts w:hint="eastAsia" w:ascii="宋体" w:hAnsi="宋体" w:eastAsia="宋体" w:cs="宋体"/>
          <w:highlight w:val="none"/>
        </w:rPr>
      </w:pPr>
      <w:r>
        <w:rPr>
          <w:rFonts w:hint="eastAsia" w:ascii="宋体" w:hAnsi="宋体" w:eastAsia="宋体" w:cs="宋体"/>
          <w:highlight w:val="none"/>
        </w:rPr>
        <w:t xml:space="preserve">1. </w:t>
      </w:r>
      <w:r>
        <w:rPr>
          <w:rFonts w:hint="eastAsia" w:ascii="宋体" w:hAnsi="宋体" w:eastAsia="宋体" w:cs="宋体"/>
          <w:highlight w:val="none"/>
          <w:u w:val="single"/>
        </w:rPr>
        <w:t>发生不可抗力。</w:t>
      </w:r>
    </w:p>
    <w:p>
      <w:pPr>
        <w:pStyle w:val="9"/>
        <w:spacing w:line="360" w:lineRule="auto"/>
        <w:ind w:firstLine="570"/>
        <w:rPr>
          <w:rFonts w:hint="eastAsia" w:ascii="宋体" w:hAnsi="宋体" w:eastAsia="宋体" w:cs="宋体"/>
          <w:highlight w:val="none"/>
        </w:rPr>
      </w:pPr>
      <w:r>
        <w:rPr>
          <w:rFonts w:hint="eastAsia" w:ascii="宋体" w:hAnsi="宋体" w:eastAsia="宋体" w:cs="宋体"/>
          <w:b/>
          <w:highlight w:val="none"/>
        </w:rPr>
        <w:t>第十三条</w:t>
      </w:r>
      <w:r>
        <w:rPr>
          <w:rFonts w:hint="eastAsia" w:ascii="宋体" w:hAnsi="宋体" w:eastAsia="宋体" w:cs="宋体"/>
          <w:highlight w:val="none"/>
        </w:rPr>
        <w:t xml:space="preserve"> 双方因履行本合同而发生的争议，应协商、调解解决。协商、调解不成的，双方同意向甲方所在地人民法院提起诉讼。</w:t>
      </w:r>
    </w:p>
    <w:p>
      <w:pPr>
        <w:pStyle w:val="9"/>
        <w:spacing w:line="360" w:lineRule="auto"/>
        <w:ind w:firstLine="570"/>
        <w:rPr>
          <w:rFonts w:hint="eastAsia" w:ascii="宋体" w:hAnsi="宋体" w:eastAsia="宋体" w:cs="宋体"/>
          <w:highlight w:val="none"/>
        </w:rPr>
      </w:pPr>
      <w:r>
        <w:rPr>
          <w:rFonts w:hint="eastAsia" w:ascii="宋体" w:hAnsi="宋体" w:eastAsia="宋体" w:cs="宋体"/>
          <w:b/>
          <w:bCs/>
          <w:highlight w:val="none"/>
        </w:rPr>
        <w:t>第十四条</w:t>
      </w:r>
      <w:r>
        <w:rPr>
          <w:rFonts w:hint="eastAsia" w:ascii="宋体" w:hAnsi="宋体" w:eastAsia="宋体" w:cs="宋体"/>
          <w:highlight w:val="none"/>
        </w:rPr>
        <w:t xml:space="preserve"> 与履行本合同有关的下列文件，经双方以可行性研究报告</w:t>
      </w:r>
      <w:r>
        <w:rPr>
          <w:rFonts w:hint="eastAsia" w:ascii="宋体" w:hAnsi="宋体" w:eastAsia="宋体" w:cs="宋体"/>
          <w:highlight w:val="none"/>
          <w:u w:val="single"/>
          <w:lang w:val="en-US" w:eastAsia="zh-CN"/>
        </w:rPr>
        <w:t>成交通知书</w:t>
      </w:r>
      <w:r>
        <w:rPr>
          <w:rFonts w:hint="eastAsia" w:ascii="宋体" w:hAnsi="宋体" w:eastAsia="宋体" w:cs="宋体"/>
          <w:highlight w:val="none"/>
          <w:u w:val="single"/>
        </w:rPr>
        <w:t>认可</w:t>
      </w:r>
      <w:r>
        <w:rPr>
          <w:rFonts w:hint="eastAsia" w:ascii="宋体" w:hAnsi="宋体" w:eastAsia="宋体" w:cs="宋体"/>
          <w:highlight w:val="none"/>
        </w:rPr>
        <w:t>方式确认后，为本合同的组成部分：</w:t>
      </w:r>
    </w:p>
    <w:p>
      <w:pPr>
        <w:pStyle w:val="9"/>
        <w:numPr>
          <w:ilvl w:val="0"/>
          <w:numId w:val="2"/>
        </w:numPr>
        <w:spacing w:line="360" w:lineRule="auto"/>
        <w:rPr>
          <w:rFonts w:hint="eastAsia" w:ascii="宋体" w:hAnsi="宋体" w:eastAsia="宋体" w:cs="宋体"/>
          <w:highlight w:val="none"/>
          <w:u w:val="single"/>
        </w:rPr>
      </w:pPr>
      <w:r>
        <w:rPr>
          <w:rFonts w:hint="eastAsia" w:ascii="宋体" w:hAnsi="宋体" w:eastAsia="宋体" w:cs="宋体"/>
          <w:highlight w:val="none"/>
          <w:u w:val="single"/>
        </w:rPr>
        <w:t>甲方委托乙方的编制可行性研究报告成交通知；</w:t>
      </w:r>
    </w:p>
    <w:p>
      <w:pPr>
        <w:pStyle w:val="9"/>
        <w:spacing w:line="360" w:lineRule="auto"/>
        <w:ind w:firstLine="570"/>
        <w:rPr>
          <w:rFonts w:hint="eastAsia" w:ascii="宋体" w:hAnsi="宋体" w:eastAsia="宋体" w:cs="宋体"/>
          <w:highlight w:val="none"/>
        </w:rPr>
      </w:pPr>
      <w:r>
        <w:rPr>
          <w:rFonts w:hint="eastAsia" w:ascii="宋体" w:hAnsi="宋体" w:eastAsia="宋体" w:cs="宋体"/>
          <w:b/>
          <w:bCs/>
          <w:highlight w:val="none"/>
        </w:rPr>
        <w:t>第十五条</w:t>
      </w:r>
      <w:r>
        <w:rPr>
          <w:rFonts w:hint="eastAsia" w:ascii="宋体" w:hAnsi="宋体" w:eastAsia="宋体" w:cs="宋体"/>
          <w:highlight w:val="none"/>
        </w:rPr>
        <w:t xml:space="preserve"> 双方约定本合同其他相关事项为：</w:t>
      </w:r>
    </w:p>
    <w:p>
      <w:pPr>
        <w:pStyle w:val="9"/>
        <w:numPr>
          <w:ilvl w:val="0"/>
          <w:numId w:val="3"/>
        </w:numPr>
        <w:spacing w:line="360" w:lineRule="auto"/>
        <w:ind w:left="560"/>
        <w:rPr>
          <w:rFonts w:hint="eastAsia" w:ascii="宋体" w:hAnsi="宋体" w:eastAsia="宋体" w:cs="宋体"/>
          <w:highlight w:val="none"/>
          <w:u w:val="single"/>
        </w:rPr>
      </w:pPr>
      <w:r>
        <w:rPr>
          <w:rFonts w:hint="eastAsia" w:ascii="宋体" w:hAnsi="宋体" w:eastAsia="宋体" w:cs="宋体"/>
          <w:highlight w:val="none"/>
          <w:u w:val="single"/>
        </w:rPr>
        <w:t>本合同未尽事宜由双方协商确定。</w:t>
      </w:r>
    </w:p>
    <w:p>
      <w:pPr>
        <w:pStyle w:val="9"/>
        <w:spacing w:line="360" w:lineRule="auto"/>
        <w:ind w:firstLine="570"/>
        <w:rPr>
          <w:rFonts w:hint="eastAsia" w:ascii="宋体" w:hAnsi="宋体" w:eastAsia="宋体" w:cs="宋体"/>
          <w:highlight w:val="none"/>
        </w:rPr>
      </w:pPr>
      <w:r>
        <w:rPr>
          <w:rFonts w:hint="eastAsia" w:ascii="宋体" w:hAnsi="宋体" w:eastAsia="宋体" w:cs="宋体"/>
          <w:b/>
          <w:bCs/>
          <w:highlight w:val="none"/>
        </w:rPr>
        <w:t>第十六条</w:t>
      </w:r>
      <w:r>
        <w:rPr>
          <w:rFonts w:hint="eastAsia" w:ascii="宋体" w:hAnsi="宋体" w:eastAsia="宋体" w:cs="宋体"/>
          <w:highlight w:val="none"/>
        </w:rPr>
        <w:t xml:space="preserve"> 本合同一式</w:t>
      </w:r>
      <w:r>
        <w:rPr>
          <w:rFonts w:hint="eastAsia" w:ascii="宋体" w:hAnsi="宋体" w:eastAsia="宋体" w:cs="宋体"/>
          <w:highlight w:val="none"/>
          <w:u w:val="single"/>
        </w:rPr>
        <w:t xml:space="preserve"> </w:t>
      </w:r>
      <w:r>
        <w:rPr>
          <w:rFonts w:hint="eastAsia" w:ascii="宋体" w:hAnsi="宋体" w:eastAsia="宋体" w:cs="宋体"/>
          <w:highlight w:val="none"/>
          <w:u w:val="single"/>
          <w:lang w:val="en-US" w:eastAsia="zh-CN"/>
        </w:rPr>
        <w:t>八</w:t>
      </w:r>
      <w:r>
        <w:rPr>
          <w:rFonts w:hint="eastAsia" w:ascii="宋体" w:hAnsi="宋体" w:eastAsia="宋体" w:cs="宋体"/>
          <w:highlight w:val="none"/>
          <w:u w:val="single"/>
        </w:rPr>
        <w:t xml:space="preserve"> </w:t>
      </w:r>
      <w:r>
        <w:rPr>
          <w:rFonts w:hint="eastAsia" w:ascii="宋体" w:hAnsi="宋体" w:eastAsia="宋体" w:cs="宋体"/>
          <w:highlight w:val="none"/>
        </w:rPr>
        <w:t>份，其中甲方</w:t>
      </w:r>
      <w:r>
        <w:rPr>
          <w:rFonts w:hint="eastAsia" w:ascii="宋体" w:hAnsi="宋体" w:eastAsia="宋体" w:cs="宋体"/>
          <w:highlight w:val="none"/>
          <w:u w:val="single"/>
        </w:rPr>
        <w:t xml:space="preserve"> </w:t>
      </w:r>
      <w:r>
        <w:rPr>
          <w:rFonts w:hint="eastAsia" w:ascii="宋体" w:hAnsi="宋体" w:eastAsia="宋体" w:cs="宋体"/>
          <w:highlight w:val="none"/>
          <w:u w:val="single"/>
          <w:lang w:val="en-US" w:eastAsia="zh-CN"/>
        </w:rPr>
        <w:t>四</w:t>
      </w:r>
      <w:r>
        <w:rPr>
          <w:rFonts w:hint="eastAsia" w:ascii="宋体" w:hAnsi="宋体" w:eastAsia="宋体" w:cs="宋体"/>
          <w:highlight w:val="none"/>
          <w:u w:val="single"/>
        </w:rPr>
        <w:t xml:space="preserve"> </w:t>
      </w:r>
      <w:r>
        <w:rPr>
          <w:rFonts w:hint="eastAsia" w:ascii="宋体" w:hAnsi="宋体" w:eastAsia="宋体" w:cs="宋体"/>
          <w:highlight w:val="none"/>
        </w:rPr>
        <w:t>份，乙方</w:t>
      </w:r>
      <w:r>
        <w:rPr>
          <w:rFonts w:hint="eastAsia" w:ascii="宋体" w:hAnsi="宋体" w:eastAsia="宋体" w:cs="宋体"/>
          <w:highlight w:val="none"/>
          <w:u w:val="single"/>
        </w:rPr>
        <w:t xml:space="preserve"> </w:t>
      </w:r>
      <w:r>
        <w:rPr>
          <w:rFonts w:hint="eastAsia" w:ascii="宋体" w:hAnsi="宋体" w:eastAsia="宋体" w:cs="宋体"/>
          <w:highlight w:val="none"/>
          <w:u w:val="single"/>
          <w:lang w:val="en-US" w:eastAsia="zh-CN"/>
        </w:rPr>
        <w:t>四</w:t>
      </w:r>
      <w:r>
        <w:rPr>
          <w:rFonts w:hint="eastAsia" w:ascii="宋体" w:hAnsi="宋体" w:eastAsia="宋体" w:cs="宋体"/>
          <w:highlight w:val="none"/>
          <w:u w:val="single"/>
        </w:rPr>
        <w:t xml:space="preserve"> </w:t>
      </w:r>
      <w:r>
        <w:rPr>
          <w:rFonts w:hint="eastAsia" w:ascii="宋体" w:hAnsi="宋体" w:eastAsia="宋体" w:cs="宋体"/>
          <w:highlight w:val="none"/>
        </w:rPr>
        <w:t>份，具有同等法律效力。</w:t>
      </w:r>
    </w:p>
    <w:p>
      <w:pPr>
        <w:pStyle w:val="9"/>
        <w:spacing w:line="360" w:lineRule="auto"/>
        <w:ind w:firstLine="570"/>
        <w:rPr>
          <w:rFonts w:hint="eastAsia" w:ascii="宋体" w:hAnsi="宋体" w:eastAsia="宋体" w:cs="宋体"/>
          <w:highlight w:val="none"/>
        </w:rPr>
      </w:pPr>
      <w:r>
        <w:rPr>
          <w:rFonts w:hint="eastAsia" w:ascii="宋体" w:hAnsi="宋体" w:eastAsia="宋体" w:cs="宋体"/>
          <w:b/>
          <w:bCs/>
          <w:highlight w:val="none"/>
        </w:rPr>
        <w:t>第十七条</w:t>
      </w:r>
      <w:r>
        <w:rPr>
          <w:rFonts w:hint="eastAsia" w:ascii="宋体" w:hAnsi="宋体" w:eastAsia="宋体" w:cs="宋体"/>
          <w:highlight w:val="none"/>
        </w:rPr>
        <w:t xml:space="preserve"> 本合同经双方签字盖章后生效，双方合同义务完成后失效。</w:t>
      </w:r>
    </w:p>
    <w:p>
      <w:pPr>
        <w:pStyle w:val="9"/>
        <w:spacing w:line="360" w:lineRule="auto"/>
        <w:ind w:firstLine="570"/>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附件：1.广州市荔湾区历史文化街区改造工作内容</w:t>
      </w:r>
    </w:p>
    <w:p>
      <w:pPr>
        <w:pStyle w:val="9"/>
        <w:spacing w:line="360" w:lineRule="auto"/>
        <w:ind w:firstLine="570"/>
        <w:rPr>
          <w:rFonts w:hint="default" w:ascii="宋体" w:hAnsi="宋体" w:eastAsia="宋体" w:cs="宋体"/>
          <w:b/>
          <w:bCs/>
          <w:highlight w:val="none"/>
          <w:lang w:val="en-US" w:eastAsia="zh-CN"/>
        </w:rPr>
      </w:pPr>
      <w:r>
        <w:rPr>
          <w:rFonts w:hint="eastAsia" w:ascii="宋体" w:hAnsi="宋体" w:eastAsia="宋体" w:cs="宋体"/>
          <w:b/>
          <w:bCs/>
          <w:highlight w:val="none"/>
          <w:lang w:val="en-US" w:eastAsia="zh-CN"/>
        </w:rPr>
        <w:t xml:space="preserve">      2.廉政合同</w:t>
      </w:r>
    </w:p>
    <w:p>
      <w:pPr>
        <w:pStyle w:val="9"/>
        <w:spacing w:line="360" w:lineRule="auto"/>
        <w:ind w:firstLine="570"/>
        <w:rPr>
          <w:rFonts w:hint="eastAsia" w:ascii="宋体" w:hAnsi="宋体" w:eastAsia="宋体" w:cs="宋体"/>
          <w:highlight w:val="none"/>
        </w:rPr>
      </w:pPr>
      <w:r>
        <w:rPr>
          <w:rFonts w:hint="eastAsia" w:ascii="宋体" w:hAnsi="宋体" w:eastAsia="宋体" w:cs="宋体"/>
          <w:highlight w:val="none"/>
        </w:rPr>
        <w:t>（以下无正文）</w:t>
      </w:r>
    </w:p>
    <w:p>
      <w:pPr>
        <w:pStyle w:val="9"/>
        <w:spacing w:line="360" w:lineRule="auto"/>
        <w:rPr>
          <w:rFonts w:hint="eastAsia" w:ascii="宋体" w:hAnsi="宋体" w:eastAsia="宋体" w:cs="宋体"/>
          <w:highlight w:val="none"/>
        </w:rPr>
      </w:pPr>
    </w:p>
    <w:p>
      <w:pPr>
        <w:pStyle w:val="9"/>
        <w:spacing w:line="360" w:lineRule="auto"/>
        <w:jc w:val="left"/>
        <w:rPr>
          <w:rFonts w:hint="eastAsia" w:ascii="宋体" w:hAnsi="宋体" w:eastAsia="宋体" w:cs="宋体"/>
          <w:highlight w:val="none"/>
        </w:rPr>
      </w:pPr>
      <w:r>
        <w:rPr>
          <w:rFonts w:hint="eastAsia" w:ascii="宋体" w:hAnsi="宋体" w:eastAsia="宋体" w:cs="宋体"/>
          <w:highlight w:val="none"/>
        </w:rPr>
        <w:t xml:space="preserve">甲方（盖章）：                      乙方（盖章）：                                          </w:t>
      </w:r>
    </w:p>
    <w:p>
      <w:pPr>
        <w:pStyle w:val="9"/>
        <w:spacing w:before="240" w:line="360" w:lineRule="auto"/>
        <w:rPr>
          <w:rFonts w:hint="eastAsia" w:ascii="宋体" w:hAnsi="宋体" w:eastAsia="宋体" w:cs="宋体"/>
          <w:highlight w:val="none"/>
        </w:rPr>
      </w:pPr>
      <w:r>
        <w:rPr>
          <w:rFonts w:hint="eastAsia" w:ascii="宋体" w:hAnsi="宋体" w:eastAsia="宋体" w:cs="宋体"/>
          <w:highlight w:val="none"/>
        </w:rPr>
        <w:t xml:space="preserve">法定代表人（签名或盖章）：          法定代表人（签名或盖章）：    </w:t>
      </w:r>
    </w:p>
    <w:p>
      <w:pPr>
        <w:pStyle w:val="9"/>
        <w:spacing w:before="240" w:line="360" w:lineRule="auto"/>
        <w:rPr>
          <w:rFonts w:hint="eastAsia" w:ascii="宋体" w:hAnsi="宋体" w:eastAsia="宋体" w:cs="宋体"/>
          <w:highlight w:val="none"/>
        </w:rPr>
      </w:pPr>
      <w:r>
        <w:rPr>
          <w:rFonts w:hint="eastAsia" w:ascii="宋体" w:hAnsi="宋体" w:eastAsia="宋体" w:cs="宋体"/>
          <w:highlight w:val="none"/>
        </w:rPr>
        <w:t>代理人：                            代理人：</w:t>
      </w:r>
    </w:p>
    <w:p>
      <w:pPr>
        <w:pStyle w:val="9"/>
        <w:spacing w:before="240" w:line="360" w:lineRule="auto"/>
        <w:rPr>
          <w:rFonts w:hint="eastAsia" w:ascii="宋体" w:hAnsi="宋体" w:eastAsia="宋体" w:cs="宋体"/>
          <w:highlight w:val="none"/>
        </w:rPr>
      </w:pPr>
      <w:r>
        <w:rPr>
          <w:rFonts w:hint="eastAsia" w:ascii="宋体" w:hAnsi="宋体" w:eastAsia="宋体" w:cs="宋体"/>
          <w:highlight w:val="none"/>
        </w:rPr>
        <w:t>联系电话：                          联系电话：</w:t>
      </w:r>
    </w:p>
    <w:p>
      <w:pPr>
        <w:pStyle w:val="9"/>
        <w:spacing w:before="240" w:line="360" w:lineRule="auto"/>
        <w:rPr>
          <w:rFonts w:hint="eastAsia" w:ascii="宋体" w:hAnsi="宋体" w:eastAsia="宋体" w:cs="宋体"/>
          <w:highlight w:val="none"/>
        </w:rPr>
      </w:pPr>
      <w:r>
        <w:rPr>
          <w:rFonts w:hint="eastAsia" w:ascii="宋体" w:hAnsi="宋体" w:eastAsia="宋体" w:cs="宋体"/>
          <w:highlight w:val="none"/>
        </w:rPr>
        <w:t>地址：                              地址：</w:t>
      </w:r>
    </w:p>
    <w:p>
      <w:pPr>
        <w:pStyle w:val="9"/>
        <w:spacing w:before="240" w:line="360" w:lineRule="auto"/>
        <w:rPr>
          <w:rFonts w:hint="eastAsia" w:ascii="宋体" w:hAnsi="宋体" w:eastAsia="宋体" w:cs="宋体"/>
          <w:highlight w:val="none"/>
        </w:rPr>
      </w:pPr>
      <w:r>
        <w:rPr>
          <w:rFonts w:hint="eastAsia" w:ascii="宋体" w:hAnsi="宋体" w:eastAsia="宋体" w:cs="宋体"/>
          <w:highlight w:val="none"/>
        </w:rPr>
        <w:t>时间：2022年  月  日               时间：2022年   月   日</w:t>
      </w:r>
    </w:p>
    <w:p>
      <w:pPr>
        <w:pStyle w:val="2"/>
        <w:rPr>
          <w:rFonts w:hint="eastAsia" w:ascii="宋体" w:hAnsi="宋体" w:eastAsia="宋体" w:cs="宋体"/>
          <w:color w:val="333333"/>
          <w:kern w:val="0"/>
          <w:sz w:val="24"/>
          <w:szCs w:val="24"/>
          <w:highlight w:val="none"/>
        </w:rPr>
      </w:pPr>
    </w:p>
    <w:p>
      <w:pPr>
        <w:pStyle w:val="2"/>
        <w:rPr>
          <w:rFonts w:hint="eastAsia" w:ascii="宋体" w:hAnsi="宋体" w:eastAsia="宋体" w:cs="宋体"/>
          <w:color w:val="333333"/>
          <w:kern w:val="0"/>
          <w:sz w:val="24"/>
          <w:szCs w:val="24"/>
          <w:highlight w:val="none"/>
        </w:rPr>
      </w:pPr>
    </w:p>
    <w:p>
      <w:pPr>
        <w:pStyle w:val="2"/>
        <w:rPr>
          <w:rFonts w:hint="eastAsia" w:ascii="宋体" w:hAnsi="宋体" w:eastAsia="宋体" w:cs="宋体"/>
          <w:color w:val="333333"/>
          <w:kern w:val="0"/>
          <w:sz w:val="24"/>
          <w:szCs w:val="24"/>
          <w:highlight w:val="none"/>
        </w:rPr>
      </w:pPr>
    </w:p>
    <w:p>
      <w:pPr>
        <w:jc w:val="both"/>
        <w:rPr>
          <w:rFonts w:hint="eastAsia" w:ascii="方正小标宋简体" w:hAnsi="方正小标宋简体" w:eastAsia="方正小标宋简体" w:cs="方正小标宋简体"/>
          <w:sz w:val="28"/>
          <w:szCs w:val="28"/>
          <w:highlight w:val="none"/>
          <w:lang w:val="en-US" w:eastAsia="zh-CN"/>
        </w:rPr>
      </w:pPr>
      <w:r>
        <w:rPr>
          <w:rFonts w:hint="eastAsia" w:ascii="宋体" w:hAnsi="宋体"/>
          <w:b w:val="0"/>
          <w:sz w:val="36"/>
          <w:szCs w:val="36"/>
          <w:highlight w:val="none"/>
        </w:rPr>
        <w:br w:type="page"/>
      </w:r>
      <w:r>
        <w:rPr>
          <w:rFonts w:hint="eastAsia" w:ascii="方正小标宋简体" w:hAnsi="方正小标宋简体" w:eastAsia="方正小标宋简体" w:cs="方正小标宋简体"/>
          <w:sz w:val="28"/>
          <w:szCs w:val="28"/>
          <w:highlight w:val="none"/>
          <w:lang w:val="en-US" w:eastAsia="zh-CN"/>
        </w:rPr>
        <w:t>附件1：</w:t>
      </w:r>
    </w:p>
    <w:p>
      <w:pPr>
        <w:jc w:val="center"/>
        <w:rPr>
          <w:rFonts w:hint="default"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广州市荔湾区历史文化街区改造工作内容</w:t>
      </w:r>
    </w:p>
    <w:p>
      <w:pPr>
        <w:numPr>
          <w:ilvl w:val="0"/>
          <w:numId w:val="0"/>
        </w:numPr>
        <w:spacing w:line="360" w:lineRule="auto"/>
        <w:rPr>
          <w:rFonts w:asciiTheme="minorEastAsia" w:hAnsiTheme="minorEastAsia" w:cstheme="minorEastAsia"/>
          <w:b/>
          <w:bCs/>
          <w:sz w:val="24"/>
          <w:highlight w:val="none"/>
        </w:rPr>
      </w:pPr>
    </w:p>
    <w:tbl>
      <w:tblPr>
        <w:tblStyle w:val="19"/>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6"/>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913" w:type="dxa"/>
            <w:tcMar>
              <w:left w:w="57" w:type="dxa"/>
              <w:right w:w="57" w:type="dxa"/>
            </w:tcMar>
            <w:vAlign w:val="center"/>
          </w:tcPr>
          <w:p>
            <w:pPr>
              <w:autoSpaceDE w:val="0"/>
              <w:autoSpaceDN w:val="0"/>
              <w:adjustRightInd w:val="0"/>
              <w:spacing w:line="280" w:lineRule="exact"/>
              <w:jc w:val="center"/>
              <w:rPr>
                <w:rFonts w:ascii="黑体" w:hAnsi="黑体" w:eastAsia="黑体" w:cs="黑体"/>
                <w:bCs/>
                <w:sz w:val="20"/>
                <w:szCs w:val="20"/>
                <w:highlight w:val="none"/>
              </w:rPr>
            </w:pPr>
            <w:r>
              <w:rPr>
                <w:rFonts w:hint="eastAsia" w:ascii="黑体" w:hAnsi="黑体" w:eastAsia="黑体" w:cs="黑体"/>
                <w:bCs/>
                <w:sz w:val="20"/>
                <w:szCs w:val="20"/>
                <w:highlight w:val="none"/>
              </w:rPr>
              <w:t>序号</w:t>
            </w:r>
          </w:p>
        </w:tc>
        <w:tc>
          <w:tcPr>
            <w:tcW w:w="916" w:type="dxa"/>
            <w:tcMar>
              <w:top w:w="28" w:type="dxa"/>
              <w:left w:w="57" w:type="dxa"/>
              <w:bottom w:w="28" w:type="dxa"/>
              <w:right w:w="57" w:type="dxa"/>
            </w:tcMar>
            <w:vAlign w:val="center"/>
          </w:tcPr>
          <w:p>
            <w:pPr>
              <w:autoSpaceDE w:val="0"/>
              <w:autoSpaceDN w:val="0"/>
              <w:adjustRightInd w:val="0"/>
              <w:spacing w:line="280" w:lineRule="exact"/>
              <w:jc w:val="center"/>
              <w:rPr>
                <w:rFonts w:ascii="黑体" w:hAnsi="黑体" w:eastAsia="黑体" w:cs="黑体"/>
                <w:bCs/>
                <w:sz w:val="20"/>
                <w:szCs w:val="20"/>
                <w:highlight w:val="none"/>
              </w:rPr>
            </w:pPr>
            <w:r>
              <w:rPr>
                <w:rFonts w:hint="eastAsia" w:ascii="黑体" w:hAnsi="黑体" w:eastAsia="黑体" w:cs="黑体"/>
                <w:bCs/>
                <w:sz w:val="20"/>
                <w:szCs w:val="20"/>
                <w:highlight w:val="none"/>
              </w:rPr>
              <w:t>类别</w:t>
            </w:r>
          </w:p>
        </w:tc>
        <w:tc>
          <w:tcPr>
            <w:tcW w:w="6675" w:type="dxa"/>
            <w:tcMar>
              <w:top w:w="28" w:type="dxa"/>
              <w:left w:w="57" w:type="dxa"/>
              <w:bottom w:w="28" w:type="dxa"/>
              <w:right w:w="57" w:type="dxa"/>
            </w:tcMar>
            <w:vAlign w:val="center"/>
          </w:tcPr>
          <w:p>
            <w:pPr>
              <w:autoSpaceDE w:val="0"/>
              <w:autoSpaceDN w:val="0"/>
              <w:adjustRightInd w:val="0"/>
              <w:spacing w:line="280" w:lineRule="exact"/>
              <w:jc w:val="center"/>
              <w:rPr>
                <w:rFonts w:ascii="黑体" w:hAnsi="黑体" w:eastAsia="黑体" w:cs="黑体"/>
                <w:bCs/>
                <w:sz w:val="20"/>
                <w:szCs w:val="20"/>
                <w:highlight w:val="none"/>
              </w:rPr>
            </w:pPr>
            <w:r>
              <w:rPr>
                <w:rFonts w:hint="eastAsia" w:ascii="黑体" w:hAnsi="黑体" w:eastAsia="黑体" w:cs="黑体"/>
                <w:bCs/>
                <w:sz w:val="20"/>
                <w:szCs w:val="20"/>
                <w:highlight w:val="none"/>
              </w:rPr>
              <w:t>项  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restart"/>
            <w:tcMar>
              <w:top w:w="28" w:type="dxa"/>
              <w:left w:w="28" w:type="dxa"/>
              <w:bottom w:w="28" w:type="dxa"/>
              <w:right w:w="28" w:type="dxa"/>
            </w:tcMar>
            <w:vAlign w:val="center"/>
          </w:tcPr>
          <w:p>
            <w:pPr>
              <w:spacing w:line="280" w:lineRule="exact"/>
              <w:jc w:val="center"/>
              <w:rPr>
                <w:sz w:val="18"/>
                <w:szCs w:val="21"/>
                <w:highlight w:val="none"/>
              </w:rPr>
            </w:pPr>
            <w:r>
              <w:rPr>
                <w:rFonts w:hint="eastAsia"/>
                <w:sz w:val="18"/>
                <w:szCs w:val="21"/>
                <w:highlight w:val="none"/>
              </w:rPr>
              <w:t>基</w:t>
            </w:r>
          </w:p>
          <w:p>
            <w:pPr>
              <w:spacing w:line="280" w:lineRule="exact"/>
              <w:jc w:val="center"/>
              <w:rPr>
                <w:sz w:val="18"/>
                <w:szCs w:val="21"/>
                <w:highlight w:val="none"/>
              </w:rPr>
            </w:pPr>
            <w:r>
              <w:rPr>
                <w:rFonts w:hint="eastAsia"/>
                <w:sz w:val="18"/>
                <w:szCs w:val="21"/>
                <w:highlight w:val="none"/>
              </w:rPr>
              <w:t>础</w:t>
            </w:r>
          </w:p>
          <w:p>
            <w:pPr>
              <w:spacing w:line="280" w:lineRule="exact"/>
              <w:jc w:val="center"/>
              <w:rPr>
                <w:rFonts w:ascii="Times New Roman" w:hAnsi="Times New Roman"/>
                <w:sz w:val="20"/>
                <w:szCs w:val="20"/>
                <w:highlight w:val="none"/>
              </w:rPr>
            </w:pPr>
            <w:r>
              <w:rPr>
                <w:rFonts w:hint="eastAsia"/>
                <w:sz w:val="18"/>
                <w:szCs w:val="21"/>
                <w:highlight w:val="none"/>
              </w:rPr>
              <w:t>类</w:t>
            </w:r>
          </w:p>
        </w:tc>
        <w:tc>
          <w:tcPr>
            <w:tcW w:w="6675" w:type="dxa"/>
            <w:tcMar>
              <w:top w:w="28" w:type="dxa"/>
              <w:left w:w="28" w:type="dxa"/>
              <w:bottom w:w="28" w:type="dxa"/>
              <w:right w:w="28" w:type="dxa"/>
            </w:tcMar>
            <w:vAlign w:val="center"/>
          </w:tcPr>
          <w:p>
            <w:pPr>
              <w:spacing w:line="280" w:lineRule="exact"/>
              <w:rPr>
                <w:rFonts w:ascii="Times New Roman"/>
                <w:sz w:val="20"/>
                <w:szCs w:val="20"/>
                <w:highlight w:val="none"/>
              </w:rPr>
            </w:pPr>
            <w:r>
              <w:rPr>
                <w:rFonts w:hint="eastAsia" w:ascii="Times New Roman"/>
                <w:sz w:val="20"/>
                <w:szCs w:val="20"/>
                <w:highlight w:val="none"/>
              </w:rPr>
              <w:t>维修安装楼栋门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spacing w:line="280" w:lineRule="exact"/>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sz w:val="20"/>
                <w:szCs w:val="20"/>
                <w:highlight w:val="none"/>
              </w:rPr>
            </w:pPr>
            <w:r>
              <w:rPr>
                <w:rFonts w:hint="eastAsia" w:ascii="Times New Roman"/>
                <w:sz w:val="20"/>
                <w:szCs w:val="20"/>
                <w:highlight w:val="none"/>
              </w:rPr>
              <w:t>维修安装楼栋门对讲系统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sz w:val="20"/>
                <w:szCs w:val="20"/>
                <w:highlight w:val="none"/>
              </w:rPr>
            </w:pPr>
            <w:r>
              <w:rPr>
                <w:rFonts w:hint="eastAsia" w:ascii="Times New Roman"/>
                <w:sz w:val="20"/>
                <w:szCs w:val="20"/>
                <w:highlight w:val="none"/>
              </w:rPr>
              <w:t>维修安装楼道照明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spacing w:line="280" w:lineRule="exact"/>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sz w:val="20"/>
                <w:szCs w:val="20"/>
                <w:highlight w:val="none"/>
              </w:rPr>
            </w:pPr>
            <w:r>
              <w:rPr>
                <w:rFonts w:hint="eastAsia" w:ascii="Times New Roman"/>
                <w:sz w:val="20"/>
                <w:szCs w:val="20"/>
                <w:highlight w:val="none"/>
              </w:rPr>
              <w:t>粉刷楼道（含墙面零星抹灰）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spacing w:line="280" w:lineRule="exact"/>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sz w:val="20"/>
                <w:szCs w:val="20"/>
                <w:highlight w:val="none"/>
              </w:rPr>
            </w:pPr>
            <w:r>
              <w:rPr>
                <w:rFonts w:hint="eastAsia" w:ascii="Times New Roman"/>
                <w:sz w:val="20"/>
                <w:szCs w:val="20"/>
                <w:highlight w:val="none"/>
              </w:rPr>
              <w:t>整治楼栋三线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spacing w:line="280" w:lineRule="exact"/>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sz w:val="20"/>
                <w:szCs w:val="20"/>
                <w:highlight w:val="none"/>
              </w:rPr>
            </w:pPr>
            <w:r>
              <w:rPr>
                <w:rFonts w:hint="eastAsia" w:ascii="Times New Roman"/>
                <w:sz w:val="20"/>
                <w:szCs w:val="20"/>
                <w:highlight w:val="none"/>
              </w:rPr>
              <w:t>出入口适老设施及无障碍改造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spacing w:line="280" w:lineRule="exact"/>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sz w:val="20"/>
                <w:szCs w:val="20"/>
                <w:highlight w:val="none"/>
              </w:rPr>
            </w:pPr>
            <w:r>
              <w:rPr>
                <w:rFonts w:hint="eastAsia" w:ascii="Times New Roman"/>
                <w:sz w:val="20"/>
                <w:szCs w:val="20"/>
                <w:highlight w:val="none"/>
              </w:rPr>
              <w:t>修复屋面防水层（含烟道、上人孔、雨蓬刚性防水）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spacing w:line="280" w:lineRule="exact"/>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sz w:val="20"/>
                <w:szCs w:val="20"/>
                <w:highlight w:val="none"/>
              </w:rPr>
            </w:pPr>
            <w:r>
              <w:rPr>
                <w:rFonts w:hint="eastAsia" w:ascii="Times New Roman"/>
                <w:sz w:val="20"/>
                <w:szCs w:val="20"/>
                <w:highlight w:val="none"/>
              </w:rPr>
              <w:t>维修改造楼栋消防设施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spacing w:line="280" w:lineRule="exact"/>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hAnsi="宋体"/>
                <w:sz w:val="20"/>
                <w:szCs w:val="20"/>
                <w:highlight w:val="none"/>
              </w:rPr>
            </w:pPr>
            <w:r>
              <w:rPr>
                <w:rFonts w:hint="eastAsia" w:ascii="Times New Roman" w:hAnsi="宋体"/>
                <w:sz w:val="20"/>
                <w:szCs w:val="20"/>
                <w:highlight w:val="none"/>
              </w:rPr>
              <w:t>规范整理楼栋电气设施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spacing w:line="280" w:lineRule="exact"/>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sz w:val="20"/>
                <w:szCs w:val="20"/>
                <w:highlight w:val="none"/>
              </w:rPr>
            </w:pPr>
            <w:r>
              <w:rPr>
                <w:rFonts w:hint="eastAsia" w:ascii="Times New Roman"/>
                <w:sz w:val="20"/>
                <w:szCs w:val="20"/>
                <w:highlight w:val="none"/>
              </w:rPr>
              <w:t>维修更换楼栋供水设施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spacing w:line="280" w:lineRule="exact"/>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sz w:val="20"/>
                <w:szCs w:val="20"/>
                <w:highlight w:val="none"/>
              </w:rPr>
            </w:pPr>
            <w:r>
              <w:rPr>
                <w:rFonts w:hint="eastAsia" w:ascii="Times New Roman"/>
                <w:sz w:val="20"/>
                <w:szCs w:val="20"/>
                <w:highlight w:val="none"/>
              </w:rPr>
              <w:t>维修、改造、增设楼内排水管道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spacing w:line="280" w:lineRule="exact"/>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sz w:val="20"/>
                <w:szCs w:val="20"/>
                <w:highlight w:val="none"/>
              </w:rPr>
            </w:pPr>
            <w:r>
              <w:rPr>
                <w:rFonts w:hint="eastAsia" w:ascii="Times New Roman"/>
                <w:sz w:val="20"/>
                <w:szCs w:val="20"/>
                <w:highlight w:val="none"/>
              </w:rPr>
              <w:t>清疏、维修化粪池及排污卧管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spacing w:line="280" w:lineRule="exact"/>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hAnsi="Times New Roman"/>
                <w:sz w:val="20"/>
                <w:szCs w:val="20"/>
                <w:highlight w:val="none"/>
              </w:rPr>
            </w:pPr>
            <w:r>
              <w:rPr>
                <w:rFonts w:hint="eastAsia" w:ascii="Times New Roman" w:hAnsi="Times New Roman"/>
                <w:sz w:val="20"/>
                <w:szCs w:val="20"/>
                <w:highlight w:val="none"/>
              </w:rPr>
              <w:t>维修更换公用采光窗（含拆除）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spacing w:line="280" w:lineRule="exact"/>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sz w:val="20"/>
                <w:szCs w:val="20"/>
                <w:highlight w:val="none"/>
              </w:rPr>
            </w:pPr>
            <w:r>
              <w:rPr>
                <w:rFonts w:hint="eastAsia" w:ascii="Times New Roman"/>
                <w:sz w:val="20"/>
                <w:szCs w:val="20"/>
                <w:highlight w:val="none"/>
              </w:rPr>
              <w:t>维修房屋户外构造构件（含檐口、阳台栏板、入口挑檐、肋脚、散水等）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spacing w:line="280" w:lineRule="exact"/>
              <w:jc w:val="center"/>
              <w:rPr>
                <w:rFonts w:asci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sz w:val="20"/>
                <w:szCs w:val="20"/>
                <w:highlight w:val="none"/>
              </w:rPr>
            </w:pPr>
            <w:r>
              <w:rPr>
                <w:rFonts w:hint="eastAsia" w:ascii="Times New Roman"/>
                <w:sz w:val="20"/>
                <w:szCs w:val="20"/>
                <w:highlight w:val="none"/>
              </w:rPr>
              <w:t>防盗网整治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spacing w:line="280" w:lineRule="exact"/>
              <w:jc w:val="center"/>
              <w:rPr>
                <w:sz w:val="16"/>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hAnsi="Times New Roman"/>
                <w:sz w:val="20"/>
                <w:szCs w:val="20"/>
                <w:highlight w:val="none"/>
              </w:rPr>
            </w:pPr>
            <w:r>
              <w:rPr>
                <w:rFonts w:hint="eastAsia" w:ascii="Times New Roman" w:hAnsi="Times New Roman"/>
                <w:sz w:val="20"/>
                <w:szCs w:val="20"/>
                <w:highlight w:val="none"/>
              </w:rPr>
              <w:t>外立面整饰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spacing w:line="280" w:lineRule="exact"/>
              <w:jc w:val="center"/>
              <w:rPr>
                <w:rFonts w:asci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hAnsi="Times New Roman"/>
                <w:sz w:val="20"/>
                <w:szCs w:val="20"/>
                <w:highlight w:val="none"/>
              </w:rPr>
            </w:pPr>
            <w:r>
              <w:rPr>
                <w:rFonts w:hint="eastAsia" w:ascii="Times New Roman" w:hAnsi="Times New Roman"/>
                <w:sz w:val="20"/>
                <w:szCs w:val="20"/>
                <w:highlight w:val="none"/>
              </w:rPr>
              <w:t>安装一户一水表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spacing w:line="280" w:lineRule="exact"/>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hAnsi="Times New Roman"/>
                <w:sz w:val="20"/>
                <w:szCs w:val="20"/>
                <w:highlight w:val="none"/>
              </w:rPr>
            </w:pPr>
            <w:r>
              <w:rPr>
                <w:rFonts w:hint="eastAsia" w:ascii="Times New Roman" w:hAnsi="Times New Roman"/>
                <w:sz w:val="20"/>
                <w:szCs w:val="20"/>
                <w:highlight w:val="none"/>
              </w:rPr>
              <w:t>安装一户一电表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spacing w:line="280" w:lineRule="exact"/>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hAnsi="Times New Roman"/>
                <w:sz w:val="20"/>
                <w:szCs w:val="20"/>
                <w:highlight w:val="none"/>
              </w:rPr>
            </w:pPr>
            <w:r>
              <w:rPr>
                <w:rFonts w:hint="eastAsia" w:ascii="Times New Roman" w:hAnsi="Times New Roman"/>
                <w:sz w:val="20"/>
                <w:szCs w:val="20"/>
                <w:highlight w:val="none"/>
              </w:rPr>
              <w:t>管道燃气入户改造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spacing w:line="280" w:lineRule="exact"/>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hAnsi="Times New Roman"/>
                <w:sz w:val="20"/>
                <w:szCs w:val="20"/>
                <w:highlight w:val="none"/>
              </w:rPr>
            </w:pPr>
            <w:r>
              <w:rPr>
                <w:rFonts w:hint="eastAsia" w:ascii="Times New Roman" w:hAnsi="Times New Roman"/>
                <w:sz w:val="20"/>
                <w:szCs w:val="20"/>
                <w:highlight w:val="none"/>
              </w:rPr>
              <w:t>维修小区围墙（含清水墙拆砌、混水墙拆砌抹灰、油漆更换围墙栏杆）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hAnsi="Times New Roman"/>
                <w:sz w:val="20"/>
                <w:szCs w:val="20"/>
                <w:highlight w:val="none"/>
              </w:rPr>
            </w:pPr>
            <w:r>
              <w:rPr>
                <w:rFonts w:hint="eastAsia" w:ascii="Times New Roman" w:hAnsi="Times New Roman"/>
                <w:sz w:val="20"/>
                <w:szCs w:val="20"/>
                <w:highlight w:val="none"/>
              </w:rPr>
              <w:t>小区公共“三线”整治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hAnsi="Times New Roman"/>
                <w:sz w:val="20"/>
                <w:szCs w:val="20"/>
                <w:highlight w:val="none"/>
              </w:rPr>
            </w:pPr>
            <w:r>
              <w:rPr>
                <w:rFonts w:hint="eastAsia" w:ascii="Times New Roman" w:hAnsi="Times New Roman"/>
                <w:sz w:val="20"/>
                <w:szCs w:val="20"/>
                <w:highlight w:val="none"/>
              </w:rPr>
              <w:t>维修改造小区室外消防通道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hAnsi="Times New Roman"/>
                <w:sz w:val="20"/>
                <w:szCs w:val="20"/>
                <w:highlight w:val="none"/>
              </w:rPr>
            </w:pPr>
            <w:r>
              <w:rPr>
                <w:rFonts w:hint="eastAsia" w:ascii="Times New Roman" w:hAnsi="Times New Roman"/>
                <w:sz w:val="20"/>
                <w:szCs w:val="20"/>
                <w:highlight w:val="none"/>
              </w:rPr>
              <w:t>维修改造小区室外消防设施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hAnsi="Times New Roman"/>
                <w:sz w:val="20"/>
                <w:szCs w:val="20"/>
                <w:highlight w:val="none"/>
              </w:rPr>
            </w:pPr>
            <w:r>
              <w:rPr>
                <w:rFonts w:hint="eastAsia" w:ascii="Times New Roman" w:hAnsi="Times New Roman"/>
                <w:sz w:val="20"/>
                <w:szCs w:val="20"/>
                <w:highlight w:val="none"/>
              </w:rPr>
              <w:t>疏通、更换小区排水管网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hAnsi="Times New Roman"/>
                <w:sz w:val="20"/>
                <w:szCs w:val="20"/>
                <w:highlight w:val="none"/>
              </w:rPr>
            </w:pPr>
            <w:r>
              <w:rPr>
                <w:rFonts w:hint="eastAsia" w:ascii="Times New Roman" w:hAnsi="Times New Roman"/>
                <w:sz w:val="20"/>
                <w:szCs w:val="20"/>
                <w:highlight w:val="none"/>
              </w:rPr>
              <w:t>公共空间雨污分流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hAnsi="Times New Roman"/>
                <w:sz w:val="20"/>
                <w:szCs w:val="20"/>
                <w:highlight w:val="none"/>
              </w:rPr>
            </w:pPr>
            <w:r>
              <w:rPr>
                <w:rFonts w:hint="eastAsia" w:ascii="Times New Roman" w:hAnsi="Times New Roman"/>
                <w:sz w:val="20"/>
                <w:szCs w:val="20"/>
                <w:highlight w:val="none"/>
              </w:rPr>
              <w:t>维修更换小区供水管网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hAnsi="Times New Roman"/>
                <w:sz w:val="20"/>
                <w:szCs w:val="20"/>
                <w:highlight w:val="none"/>
              </w:rPr>
            </w:pPr>
            <w:r>
              <w:rPr>
                <w:rFonts w:hint="eastAsia" w:ascii="Times New Roman" w:hAnsi="Times New Roman"/>
                <w:sz w:val="20"/>
                <w:szCs w:val="20"/>
                <w:highlight w:val="none"/>
              </w:rPr>
              <w:t>维修改造供电设施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hAnsi="Times New Roman"/>
                <w:sz w:val="20"/>
                <w:szCs w:val="20"/>
                <w:highlight w:val="none"/>
              </w:rPr>
            </w:pPr>
            <w:r>
              <w:rPr>
                <w:rFonts w:hint="eastAsia" w:ascii="Times New Roman" w:hAnsi="Times New Roman"/>
                <w:sz w:val="20"/>
                <w:szCs w:val="20"/>
                <w:highlight w:val="none"/>
              </w:rPr>
              <w:t>安装小区照明设施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restart"/>
            <w:tcMar>
              <w:top w:w="28" w:type="dxa"/>
              <w:left w:w="28" w:type="dxa"/>
              <w:bottom w:w="28" w:type="dxa"/>
              <w:right w:w="28" w:type="dxa"/>
            </w:tcMar>
            <w:vAlign w:val="center"/>
          </w:tcPr>
          <w:p>
            <w:pPr>
              <w:spacing w:line="280" w:lineRule="exact"/>
              <w:jc w:val="center"/>
              <w:rPr>
                <w:sz w:val="18"/>
                <w:szCs w:val="21"/>
                <w:highlight w:val="none"/>
              </w:rPr>
            </w:pPr>
            <w:r>
              <w:rPr>
                <w:rFonts w:hint="eastAsia"/>
                <w:sz w:val="18"/>
                <w:szCs w:val="21"/>
                <w:highlight w:val="none"/>
              </w:rPr>
              <w:t>基</w:t>
            </w:r>
          </w:p>
          <w:p>
            <w:pPr>
              <w:spacing w:line="280" w:lineRule="exact"/>
              <w:jc w:val="center"/>
              <w:rPr>
                <w:sz w:val="18"/>
                <w:szCs w:val="21"/>
                <w:highlight w:val="none"/>
              </w:rPr>
            </w:pPr>
            <w:r>
              <w:rPr>
                <w:rFonts w:hint="eastAsia"/>
                <w:sz w:val="18"/>
                <w:szCs w:val="21"/>
                <w:highlight w:val="none"/>
              </w:rPr>
              <w:t>础</w:t>
            </w:r>
          </w:p>
          <w:p>
            <w:pPr>
              <w:autoSpaceDE w:val="0"/>
              <w:autoSpaceDN w:val="0"/>
              <w:adjustRightInd w:val="0"/>
              <w:spacing w:line="280" w:lineRule="exact"/>
              <w:ind w:hanging="2"/>
              <w:jc w:val="center"/>
              <w:rPr>
                <w:rFonts w:ascii="Times New Roman" w:hAnsi="Times New Roman"/>
                <w:sz w:val="20"/>
                <w:szCs w:val="20"/>
                <w:highlight w:val="none"/>
              </w:rPr>
            </w:pPr>
            <w:r>
              <w:rPr>
                <w:rFonts w:hint="eastAsia"/>
                <w:sz w:val="18"/>
                <w:szCs w:val="21"/>
                <w:highlight w:val="none"/>
              </w:rPr>
              <w:t>类</w:t>
            </w:r>
          </w:p>
        </w:tc>
        <w:tc>
          <w:tcPr>
            <w:tcW w:w="6675" w:type="dxa"/>
            <w:tcMar>
              <w:top w:w="28" w:type="dxa"/>
              <w:left w:w="28" w:type="dxa"/>
              <w:bottom w:w="28" w:type="dxa"/>
              <w:right w:w="28" w:type="dxa"/>
            </w:tcMar>
            <w:vAlign w:val="center"/>
          </w:tcPr>
          <w:p>
            <w:pPr>
              <w:spacing w:line="280" w:lineRule="exact"/>
              <w:rPr>
                <w:rFonts w:ascii="Times New Roman" w:hAnsi="Times New Roman"/>
                <w:sz w:val="20"/>
                <w:szCs w:val="20"/>
                <w:highlight w:val="none"/>
              </w:rPr>
            </w:pPr>
            <w:r>
              <w:rPr>
                <w:rFonts w:hint="eastAsia" w:ascii="Times New Roman" w:hAnsi="Times New Roman"/>
                <w:sz w:val="20"/>
                <w:szCs w:val="20"/>
                <w:highlight w:val="none"/>
              </w:rPr>
              <w:t>维修小区道路及楼间破损甬路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hAnsi="Times New Roman"/>
                <w:sz w:val="20"/>
                <w:szCs w:val="20"/>
                <w:highlight w:val="none"/>
              </w:rPr>
            </w:pPr>
            <w:r>
              <w:rPr>
                <w:rFonts w:hint="eastAsia" w:ascii="Times New Roman" w:hAnsi="Times New Roman"/>
                <w:sz w:val="20"/>
                <w:szCs w:val="20"/>
                <w:highlight w:val="none"/>
              </w:rPr>
              <w:t>规范垃圾分类及收运点设置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hAnsi="Times New Roman"/>
                <w:sz w:val="20"/>
                <w:szCs w:val="20"/>
                <w:highlight w:val="none"/>
              </w:rPr>
            </w:pPr>
            <w:r>
              <w:rPr>
                <w:rFonts w:hint="eastAsia" w:ascii="Times New Roman" w:hAnsi="Times New Roman"/>
                <w:sz w:val="20"/>
                <w:szCs w:val="20"/>
                <w:highlight w:val="none"/>
              </w:rPr>
              <w:t>安装小区视频监控系统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hAnsi="Times New Roman"/>
                <w:sz w:val="20"/>
                <w:szCs w:val="20"/>
                <w:highlight w:val="none"/>
              </w:rPr>
            </w:pPr>
            <w:r>
              <w:rPr>
                <w:rFonts w:hint="eastAsia" w:ascii="Times New Roman" w:hAnsi="Times New Roman"/>
                <w:sz w:val="20"/>
                <w:szCs w:val="20"/>
                <w:highlight w:val="none"/>
              </w:rPr>
              <w:t>建设步行系统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hAnsi="Times New Roman"/>
                <w:sz w:val="20"/>
                <w:szCs w:val="20"/>
                <w:highlight w:val="none"/>
              </w:rPr>
            </w:pPr>
            <w:r>
              <w:rPr>
                <w:rFonts w:hint="eastAsia" w:ascii="Times New Roman" w:hAnsi="Times New Roman"/>
                <w:sz w:val="20"/>
                <w:szCs w:val="20"/>
                <w:highlight w:val="none"/>
              </w:rPr>
              <w:t>维修完善人行安全设施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restart"/>
            <w:tcMar>
              <w:top w:w="28" w:type="dxa"/>
              <w:left w:w="28" w:type="dxa"/>
              <w:bottom w:w="28" w:type="dxa"/>
              <w:right w:w="28" w:type="dxa"/>
            </w:tcMar>
            <w:vAlign w:val="center"/>
          </w:tcPr>
          <w:p>
            <w:pPr>
              <w:spacing w:line="280" w:lineRule="exact"/>
              <w:jc w:val="center"/>
              <w:rPr>
                <w:rFonts w:ascii="Times New Roman" w:hAnsi="Times New Roman"/>
                <w:sz w:val="20"/>
                <w:szCs w:val="20"/>
                <w:highlight w:val="none"/>
              </w:rPr>
            </w:pPr>
            <w:r>
              <w:rPr>
                <w:rFonts w:hint="eastAsia" w:ascii="Times New Roman" w:hAnsi="Times New Roman"/>
                <w:sz w:val="20"/>
                <w:szCs w:val="20"/>
                <w:highlight w:val="none"/>
              </w:rPr>
              <w:t>完</w:t>
            </w:r>
          </w:p>
          <w:p>
            <w:pPr>
              <w:spacing w:line="280" w:lineRule="exact"/>
              <w:jc w:val="center"/>
              <w:rPr>
                <w:rFonts w:ascii="Times New Roman" w:hAnsi="Times New Roman"/>
                <w:sz w:val="20"/>
                <w:szCs w:val="20"/>
                <w:highlight w:val="none"/>
              </w:rPr>
            </w:pPr>
            <w:r>
              <w:rPr>
                <w:rFonts w:hint="eastAsia" w:ascii="Times New Roman" w:hAnsi="Times New Roman"/>
                <w:sz w:val="20"/>
                <w:szCs w:val="20"/>
                <w:highlight w:val="none"/>
              </w:rPr>
              <w:t>善</w:t>
            </w:r>
          </w:p>
          <w:p>
            <w:pPr>
              <w:spacing w:line="280" w:lineRule="exact"/>
              <w:jc w:val="center"/>
              <w:rPr>
                <w:rFonts w:ascii="Times New Roman" w:hAnsi="Times New Roman"/>
                <w:sz w:val="20"/>
                <w:szCs w:val="20"/>
                <w:highlight w:val="none"/>
              </w:rPr>
            </w:pPr>
            <w:r>
              <w:rPr>
                <w:rFonts w:hint="eastAsia" w:ascii="Times New Roman" w:hAnsi="Times New Roman"/>
                <w:sz w:val="20"/>
                <w:szCs w:val="20"/>
                <w:highlight w:val="none"/>
              </w:rPr>
              <w:t>类</w:t>
            </w:r>
          </w:p>
        </w:tc>
        <w:tc>
          <w:tcPr>
            <w:tcW w:w="6675" w:type="dxa"/>
            <w:tcMar>
              <w:top w:w="28" w:type="dxa"/>
              <w:left w:w="28" w:type="dxa"/>
              <w:bottom w:w="28" w:type="dxa"/>
              <w:right w:w="28" w:type="dxa"/>
            </w:tcMar>
            <w:vAlign w:val="center"/>
          </w:tcPr>
          <w:p>
            <w:pPr>
              <w:spacing w:line="280" w:lineRule="exact"/>
              <w:rPr>
                <w:rFonts w:ascii="Times New Roman" w:hAnsi="Times New Roman"/>
                <w:sz w:val="20"/>
                <w:szCs w:val="20"/>
                <w:highlight w:val="none"/>
              </w:rPr>
            </w:pPr>
            <w:r>
              <w:rPr>
                <w:rFonts w:hint="eastAsia" w:ascii="Times New Roman" w:hAnsi="Times New Roman"/>
                <w:sz w:val="20"/>
                <w:szCs w:val="20"/>
                <w:highlight w:val="none"/>
              </w:rPr>
              <w:t>完善小区公共空间无障碍设施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spacing w:line="280" w:lineRule="exact"/>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hAnsi="Times New Roman"/>
                <w:sz w:val="20"/>
                <w:szCs w:val="20"/>
                <w:highlight w:val="none"/>
              </w:rPr>
            </w:pPr>
            <w:r>
              <w:rPr>
                <w:rFonts w:hint="eastAsia" w:ascii="Times New Roman" w:hAnsi="Times New Roman"/>
                <w:sz w:val="20"/>
                <w:szCs w:val="20"/>
                <w:highlight w:val="none"/>
              </w:rPr>
              <w:t>维修遮阳棚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hAnsi="Times New Roman"/>
                <w:sz w:val="20"/>
                <w:szCs w:val="20"/>
                <w:highlight w:val="none"/>
              </w:rPr>
            </w:pPr>
            <w:r>
              <w:rPr>
                <w:rFonts w:hint="eastAsia" w:ascii="Times New Roman" w:hAnsi="Times New Roman"/>
                <w:sz w:val="20"/>
                <w:szCs w:val="20"/>
                <w:highlight w:val="none"/>
              </w:rPr>
              <w:t>维修统一空调机位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hAnsi="Times New Roman"/>
                <w:sz w:val="20"/>
                <w:szCs w:val="20"/>
                <w:highlight w:val="none"/>
              </w:rPr>
            </w:pPr>
            <w:r>
              <w:rPr>
                <w:rFonts w:hint="eastAsia" w:ascii="Times New Roman" w:hAnsi="Times New Roman"/>
                <w:sz w:val="20"/>
                <w:szCs w:val="20"/>
                <w:highlight w:val="none"/>
              </w:rPr>
              <w:t>更新补建信报箱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hAnsi="Times New Roman"/>
                <w:sz w:val="20"/>
                <w:szCs w:val="20"/>
                <w:highlight w:val="none"/>
              </w:rPr>
            </w:pPr>
            <w:r>
              <w:rPr>
                <w:rFonts w:hint="eastAsia" w:ascii="Times New Roman" w:hAnsi="Times New Roman"/>
                <w:sz w:val="20"/>
                <w:szCs w:val="20"/>
                <w:highlight w:val="none"/>
              </w:rPr>
              <w:t>加装电梯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hAnsi="Times New Roman"/>
                <w:sz w:val="20"/>
                <w:szCs w:val="20"/>
                <w:highlight w:val="none"/>
              </w:rPr>
            </w:pPr>
            <w:r>
              <w:rPr>
                <w:rFonts w:hint="eastAsia" w:ascii="Times New Roman" w:hAnsi="Times New Roman"/>
                <w:sz w:val="20"/>
                <w:szCs w:val="20"/>
                <w:highlight w:val="none"/>
              </w:rPr>
              <w:t>建筑节能改造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sz w:val="16"/>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hAnsi="Times New Roman"/>
                <w:sz w:val="20"/>
                <w:szCs w:val="20"/>
                <w:highlight w:val="none"/>
              </w:rPr>
            </w:pPr>
            <w:r>
              <w:rPr>
                <w:rFonts w:hint="eastAsia" w:ascii="Times New Roman" w:hAnsi="Times New Roman"/>
                <w:sz w:val="20"/>
                <w:szCs w:val="20"/>
                <w:highlight w:val="none"/>
              </w:rPr>
              <w:t>楼体绿化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hAnsi="Times New Roman"/>
                <w:sz w:val="20"/>
                <w:szCs w:val="20"/>
                <w:highlight w:val="none"/>
              </w:rPr>
            </w:pPr>
            <w:r>
              <w:rPr>
                <w:rFonts w:hint="eastAsia" w:ascii="Times New Roman" w:hAnsi="Times New Roman"/>
                <w:sz w:val="20"/>
                <w:szCs w:val="20"/>
                <w:highlight w:val="none"/>
              </w:rPr>
              <w:t>维修更新小区照明设施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hAnsi="Times New Roman"/>
                <w:sz w:val="20"/>
                <w:szCs w:val="20"/>
                <w:highlight w:val="none"/>
              </w:rPr>
            </w:pPr>
            <w:r>
              <w:rPr>
                <w:rFonts w:hint="eastAsia" w:ascii="Times New Roman" w:hAnsi="Times New Roman"/>
                <w:sz w:val="20"/>
                <w:szCs w:val="20"/>
                <w:highlight w:val="none"/>
              </w:rPr>
              <w:t>建设小区公共空间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hAnsi="Times New Roman"/>
                <w:sz w:val="20"/>
                <w:szCs w:val="20"/>
                <w:highlight w:val="none"/>
              </w:rPr>
            </w:pPr>
            <w:r>
              <w:rPr>
                <w:rFonts w:hint="eastAsia" w:ascii="Times New Roman" w:hAnsi="Times New Roman"/>
                <w:sz w:val="20"/>
                <w:szCs w:val="20"/>
                <w:highlight w:val="none"/>
              </w:rPr>
              <w:t>修缮小区入口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hAnsi="Times New Roman"/>
                <w:sz w:val="20"/>
                <w:szCs w:val="20"/>
                <w:highlight w:val="none"/>
              </w:rPr>
            </w:pPr>
            <w:r>
              <w:rPr>
                <w:rFonts w:hint="eastAsia" w:ascii="Times New Roman" w:hAnsi="Times New Roman"/>
                <w:sz w:val="20"/>
                <w:szCs w:val="20"/>
                <w:highlight w:val="none"/>
              </w:rPr>
              <w:t>提升小区景观品质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hAnsi="Times New Roman"/>
                <w:sz w:val="20"/>
                <w:szCs w:val="20"/>
                <w:highlight w:val="none"/>
              </w:rPr>
            </w:pPr>
            <w:r>
              <w:rPr>
                <w:rFonts w:hint="eastAsia" w:ascii="Times New Roman" w:hAnsi="Times New Roman"/>
                <w:sz w:val="20"/>
                <w:szCs w:val="20"/>
                <w:highlight w:val="none"/>
              </w:rPr>
              <w:t>设置儿童娱乐设施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hAnsi="Times New Roman"/>
                <w:sz w:val="20"/>
                <w:szCs w:val="20"/>
                <w:highlight w:val="none"/>
              </w:rPr>
            </w:pPr>
            <w:r>
              <w:rPr>
                <w:rFonts w:hint="eastAsia" w:ascii="Times New Roman" w:hAnsi="Times New Roman"/>
                <w:sz w:val="20"/>
                <w:szCs w:val="20"/>
                <w:highlight w:val="none"/>
              </w:rPr>
              <w:t>拆除违法建筑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hAnsi="Times New Roman"/>
                <w:sz w:val="20"/>
                <w:szCs w:val="20"/>
                <w:highlight w:val="none"/>
              </w:rPr>
            </w:pPr>
            <w:r>
              <w:rPr>
                <w:rFonts w:hint="eastAsia" w:ascii="Times New Roman" w:hAnsi="Times New Roman"/>
                <w:sz w:val="20"/>
                <w:szCs w:val="20"/>
                <w:highlight w:val="none"/>
              </w:rPr>
              <w:t>设置充电桩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hAnsi="Times New Roman"/>
                <w:sz w:val="20"/>
                <w:szCs w:val="20"/>
                <w:highlight w:val="none"/>
              </w:rPr>
            </w:pPr>
            <w:r>
              <w:rPr>
                <w:rFonts w:hint="eastAsia" w:ascii="Times New Roman" w:hAnsi="Times New Roman"/>
                <w:sz w:val="20"/>
                <w:szCs w:val="20"/>
                <w:highlight w:val="none"/>
              </w:rPr>
              <w:t>配建非机动车停车位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hAnsi="Times New Roman"/>
                <w:sz w:val="20"/>
                <w:szCs w:val="20"/>
                <w:highlight w:val="none"/>
              </w:rPr>
            </w:pPr>
            <w:r>
              <w:rPr>
                <w:rFonts w:hint="eastAsia" w:ascii="Times New Roman" w:hAnsi="Times New Roman"/>
                <w:sz w:val="20"/>
                <w:szCs w:val="20"/>
                <w:highlight w:val="none"/>
              </w:rPr>
              <w:t>设置机动车泊位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hAnsi="Times New Roman"/>
                <w:sz w:val="20"/>
                <w:szCs w:val="20"/>
                <w:highlight w:val="none"/>
              </w:rPr>
            </w:pPr>
            <w:r>
              <w:rPr>
                <w:rFonts w:hint="eastAsia" w:ascii="Times New Roman" w:hAnsi="Times New Roman"/>
                <w:sz w:val="20"/>
                <w:szCs w:val="20"/>
                <w:highlight w:val="none"/>
              </w:rPr>
              <w:t>建立文化长廊、宣传栏、电子信息牌等设施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hAnsi="Times New Roman"/>
                <w:sz w:val="20"/>
                <w:szCs w:val="20"/>
                <w:highlight w:val="none"/>
              </w:rPr>
            </w:pPr>
            <w:r>
              <w:rPr>
                <w:rFonts w:hint="eastAsia" w:ascii="Times New Roman" w:hAnsi="Times New Roman"/>
                <w:sz w:val="20"/>
                <w:szCs w:val="20"/>
                <w:highlight w:val="none"/>
              </w:rPr>
              <w:t>设置信息标识系统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hAnsi="Times New Roman"/>
                <w:sz w:val="20"/>
                <w:szCs w:val="20"/>
                <w:highlight w:val="none"/>
              </w:rPr>
            </w:pPr>
            <w:r>
              <w:rPr>
                <w:rFonts w:hint="eastAsia" w:ascii="Times New Roman" w:hAnsi="Times New Roman"/>
                <w:sz w:val="20"/>
                <w:szCs w:val="20"/>
                <w:highlight w:val="none"/>
              </w:rPr>
              <w:t>设置公共晾晒设施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hAnsi="Times New Roman"/>
                <w:sz w:val="20"/>
                <w:szCs w:val="20"/>
                <w:highlight w:val="none"/>
              </w:rPr>
            </w:pPr>
            <w:r>
              <w:rPr>
                <w:rFonts w:hint="eastAsia" w:ascii="Times New Roman" w:hAnsi="Times New Roman"/>
                <w:sz w:val="20"/>
                <w:szCs w:val="20"/>
                <w:highlight w:val="none"/>
              </w:rPr>
              <w:t>提升小区绿化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hAnsi="Times New Roman"/>
                <w:sz w:val="20"/>
                <w:szCs w:val="20"/>
                <w:highlight w:val="none"/>
              </w:rPr>
            </w:pPr>
            <w:r>
              <w:rPr>
                <w:rFonts w:hint="eastAsia" w:ascii="Times New Roman" w:hAnsi="Times New Roman"/>
                <w:sz w:val="20"/>
                <w:szCs w:val="20"/>
                <w:highlight w:val="none"/>
              </w:rPr>
              <w:t>设置快递服务设施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restart"/>
            <w:tcMar>
              <w:top w:w="28" w:type="dxa"/>
              <w:left w:w="28" w:type="dxa"/>
              <w:bottom w:w="28" w:type="dxa"/>
              <w:right w:w="28" w:type="dxa"/>
            </w:tcMar>
            <w:vAlign w:val="center"/>
          </w:tcPr>
          <w:p>
            <w:pPr>
              <w:spacing w:line="280" w:lineRule="exact"/>
              <w:jc w:val="center"/>
              <w:rPr>
                <w:rFonts w:ascii="Times New Roman" w:hAnsi="Times New Roman"/>
                <w:sz w:val="20"/>
                <w:szCs w:val="20"/>
                <w:highlight w:val="none"/>
              </w:rPr>
            </w:pPr>
            <w:r>
              <w:rPr>
                <w:rFonts w:hint="eastAsia" w:ascii="Times New Roman" w:hAnsi="Times New Roman"/>
                <w:sz w:val="20"/>
                <w:szCs w:val="20"/>
                <w:highlight w:val="none"/>
              </w:rPr>
              <w:t>提</w:t>
            </w:r>
          </w:p>
          <w:p>
            <w:pPr>
              <w:spacing w:line="280" w:lineRule="exact"/>
              <w:jc w:val="center"/>
              <w:rPr>
                <w:rFonts w:ascii="Times New Roman" w:hAnsi="Times New Roman"/>
                <w:sz w:val="20"/>
                <w:szCs w:val="20"/>
                <w:highlight w:val="none"/>
              </w:rPr>
            </w:pPr>
            <w:r>
              <w:rPr>
                <w:rFonts w:hint="eastAsia" w:ascii="Times New Roman" w:hAnsi="Times New Roman"/>
                <w:sz w:val="20"/>
                <w:szCs w:val="20"/>
                <w:highlight w:val="none"/>
              </w:rPr>
              <w:t>升</w:t>
            </w:r>
          </w:p>
          <w:p>
            <w:pPr>
              <w:spacing w:line="280" w:lineRule="exact"/>
              <w:jc w:val="center"/>
              <w:rPr>
                <w:rFonts w:ascii="Times New Roman" w:hAnsi="Times New Roman"/>
                <w:sz w:val="20"/>
                <w:szCs w:val="20"/>
                <w:highlight w:val="none"/>
              </w:rPr>
            </w:pPr>
            <w:r>
              <w:rPr>
                <w:rFonts w:hint="eastAsia" w:ascii="Times New Roman" w:hAnsi="Times New Roman"/>
                <w:sz w:val="20"/>
                <w:szCs w:val="20"/>
                <w:highlight w:val="none"/>
              </w:rPr>
              <w:t>类</w:t>
            </w:r>
          </w:p>
        </w:tc>
        <w:tc>
          <w:tcPr>
            <w:tcW w:w="6675" w:type="dxa"/>
            <w:tcMar>
              <w:top w:w="28" w:type="dxa"/>
              <w:left w:w="28" w:type="dxa"/>
              <w:bottom w:w="28" w:type="dxa"/>
              <w:right w:w="28" w:type="dxa"/>
            </w:tcMar>
            <w:vAlign w:val="center"/>
          </w:tcPr>
          <w:p>
            <w:pPr>
              <w:spacing w:line="280" w:lineRule="exact"/>
              <w:rPr>
                <w:rFonts w:ascii="Times New Roman" w:hAnsi="Times New Roman"/>
                <w:sz w:val="20"/>
                <w:szCs w:val="20"/>
                <w:highlight w:val="none"/>
              </w:rPr>
            </w:pPr>
            <w:r>
              <w:rPr>
                <w:rFonts w:hint="eastAsia" w:ascii="Times New Roman" w:hAnsi="Times New Roman"/>
                <w:sz w:val="20"/>
                <w:szCs w:val="20"/>
                <w:highlight w:val="none"/>
              </w:rPr>
              <w:t>合理配置公共空间公共服务设施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spacing w:line="280" w:lineRule="exact"/>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hAnsi="Times New Roman"/>
                <w:sz w:val="20"/>
                <w:szCs w:val="20"/>
                <w:highlight w:val="none"/>
              </w:rPr>
            </w:pPr>
            <w:r>
              <w:rPr>
                <w:rFonts w:hint="eastAsia" w:ascii="Times New Roman" w:hAnsi="Times New Roman"/>
                <w:sz w:val="20"/>
                <w:szCs w:val="20"/>
                <w:highlight w:val="none"/>
              </w:rPr>
              <w:t>危房治理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spacing w:line="280" w:lineRule="exact"/>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hAnsi="Times New Roman"/>
                <w:sz w:val="20"/>
                <w:szCs w:val="20"/>
                <w:highlight w:val="none"/>
              </w:rPr>
            </w:pPr>
            <w:r>
              <w:rPr>
                <w:rFonts w:hint="eastAsia" w:ascii="Times New Roman" w:hAnsi="Times New Roman"/>
                <w:sz w:val="20"/>
                <w:szCs w:val="20"/>
                <w:highlight w:val="none"/>
              </w:rPr>
              <w:t>设置急救设施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hAnsi="Times New Roman"/>
                <w:sz w:val="20"/>
                <w:szCs w:val="20"/>
                <w:highlight w:val="none"/>
              </w:rPr>
            </w:pPr>
            <w:r>
              <w:rPr>
                <w:rFonts w:hint="eastAsia" w:ascii="Times New Roman" w:hAnsi="Times New Roman"/>
                <w:sz w:val="20"/>
                <w:szCs w:val="20"/>
                <w:highlight w:val="none"/>
              </w:rPr>
              <w:t>建设智慧社区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hAnsi="Times New Roman"/>
                <w:sz w:val="20"/>
                <w:szCs w:val="20"/>
                <w:highlight w:val="none"/>
              </w:rPr>
            </w:pPr>
            <w:r>
              <w:rPr>
                <w:rFonts w:hint="eastAsia" w:ascii="Times New Roman" w:hAnsi="Times New Roman"/>
                <w:sz w:val="20"/>
                <w:szCs w:val="20"/>
                <w:highlight w:val="none"/>
              </w:rPr>
              <w:t>建设海绵城市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ascii="Times New Roman" w:hAnsi="Times New Roman"/>
                <w:sz w:val="20"/>
                <w:szCs w:val="20"/>
                <w:highlight w:val="none"/>
              </w:rPr>
            </w:pPr>
            <w:r>
              <w:rPr>
                <w:rFonts w:hint="eastAsia" w:ascii="Times New Roman" w:hAnsi="Times New Roman"/>
                <w:sz w:val="20"/>
                <w:szCs w:val="20"/>
                <w:highlight w:val="none"/>
              </w:rPr>
              <w:t>完善规范物业管理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restart"/>
            <w:tcMar>
              <w:top w:w="28" w:type="dxa"/>
              <w:left w:w="28" w:type="dxa"/>
              <w:bottom w:w="28" w:type="dxa"/>
              <w:right w:w="28" w:type="dxa"/>
            </w:tcMar>
            <w:vAlign w:val="center"/>
          </w:tcPr>
          <w:p>
            <w:pPr>
              <w:spacing w:line="280" w:lineRule="exact"/>
              <w:jc w:val="center"/>
              <w:rPr>
                <w:sz w:val="18"/>
                <w:szCs w:val="21"/>
                <w:highlight w:val="none"/>
              </w:rPr>
            </w:pPr>
            <w:r>
              <w:rPr>
                <w:rFonts w:hint="eastAsia"/>
                <w:sz w:val="18"/>
                <w:szCs w:val="21"/>
                <w:highlight w:val="none"/>
              </w:rPr>
              <w:t>历</w:t>
            </w:r>
          </w:p>
          <w:p>
            <w:pPr>
              <w:spacing w:line="280" w:lineRule="exact"/>
              <w:jc w:val="center"/>
              <w:rPr>
                <w:sz w:val="18"/>
                <w:szCs w:val="21"/>
                <w:highlight w:val="none"/>
              </w:rPr>
            </w:pPr>
            <w:r>
              <w:rPr>
                <w:rFonts w:hint="eastAsia"/>
                <w:sz w:val="18"/>
                <w:szCs w:val="21"/>
                <w:highlight w:val="none"/>
              </w:rPr>
              <w:t>史</w:t>
            </w:r>
          </w:p>
          <w:p>
            <w:pPr>
              <w:spacing w:line="280" w:lineRule="exact"/>
              <w:jc w:val="center"/>
              <w:rPr>
                <w:sz w:val="18"/>
                <w:szCs w:val="21"/>
                <w:highlight w:val="none"/>
              </w:rPr>
            </w:pPr>
            <w:r>
              <w:rPr>
                <w:rFonts w:hint="eastAsia"/>
                <w:sz w:val="18"/>
                <w:szCs w:val="21"/>
                <w:highlight w:val="none"/>
              </w:rPr>
              <w:t>文</w:t>
            </w:r>
          </w:p>
          <w:p>
            <w:pPr>
              <w:spacing w:line="280" w:lineRule="exact"/>
              <w:jc w:val="center"/>
              <w:rPr>
                <w:sz w:val="18"/>
                <w:szCs w:val="21"/>
                <w:highlight w:val="none"/>
              </w:rPr>
            </w:pPr>
            <w:r>
              <w:rPr>
                <w:rFonts w:hint="eastAsia"/>
                <w:sz w:val="18"/>
                <w:szCs w:val="21"/>
                <w:highlight w:val="none"/>
              </w:rPr>
              <w:t>化</w:t>
            </w:r>
          </w:p>
          <w:p>
            <w:pPr>
              <w:spacing w:line="280" w:lineRule="exact"/>
              <w:jc w:val="center"/>
              <w:rPr>
                <w:sz w:val="18"/>
                <w:szCs w:val="21"/>
                <w:highlight w:val="none"/>
              </w:rPr>
            </w:pPr>
            <w:r>
              <w:rPr>
                <w:rFonts w:hint="eastAsia"/>
                <w:sz w:val="18"/>
                <w:szCs w:val="21"/>
                <w:highlight w:val="none"/>
              </w:rPr>
              <w:t>街</w:t>
            </w:r>
          </w:p>
          <w:p>
            <w:pPr>
              <w:spacing w:line="280" w:lineRule="exact"/>
              <w:jc w:val="center"/>
              <w:rPr>
                <w:rFonts w:hint="eastAsia"/>
                <w:sz w:val="18"/>
                <w:szCs w:val="21"/>
                <w:highlight w:val="none"/>
              </w:rPr>
            </w:pPr>
            <w:r>
              <w:rPr>
                <w:rFonts w:hint="eastAsia"/>
                <w:sz w:val="18"/>
                <w:szCs w:val="21"/>
                <w:highlight w:val="none"/>
              </w:rPr>
              <w:t>区</w:t>
            </w:r>
          </w:p>
          <w:p>
            <w:pPr>
              <w:autoSpaceDE w:val="0"/>
              <w:autoSpaceDN w:val="0"/>
              <w:adjustRightInd w:val="0"/>
              <w:spacing w:line="280" w:lineRule="exact"/>
              <w:ind w:hanging="2"/>
              <w:jc w:val="center"/>
              <w:rPr>
                <w:rFonts w:ascii="Times New Roman" w:hAnsi="Times New Roman"/>
                <w:sz w:val="20"/>
                <w:szCs w:val="20"/>
                <w:highlight w:val="none"/>
              </w:rPr>
            </w:pPr>
            <w:r>
              <w:rPr>
                <w:rFonts w:hint="eastAsia"/>
                <w:sz w:val="18"/>
                <w:szCs w:val="21"/>
                <w:highlight w:val="none"/>
              </w:rPr>
              <w:t>类</w:t>
            </w:r>
          </w:p>
        </w:tc>
        <w:tc>
          <w:tcPr>
            <w:tcW w:w="6675" w:type="dxa"/>
            <w:tcMar>
              <w:top w:w="28" w:type="dxa"/>
              <w:left w:w="28" w:type="dxa"/>
              <w:bottom w:w="28" w:type="dxa"/>
              <w:right w:w="28" w:type="dxa"/>
            </w:tcMar>
            <w:vAlign w:val="center"/>
          </w:tcPr>
          <w:p>
            <w:pPr>
              <w:spacing w:line="280" w:lineRule="exact"/>
              <w:rPr>
                <w:rFonts w:hint="eastAsia" w:ascii="Times New Roman" w:hAnsiTheme="minorHAnsi" w:eastAsiaTheme="minorEastAsia" w:cstheme="minorBidi"/>
                <w:kern w:val="2"/>
                <w:sz w:val="20"/>
                <w:szCs w:val="20"/>
                <w:highlight w:val="none"/>
                <w:lang w:val="en-US" w:eastAsia="zh-CN" w:bidi="ar-SA"/>
              </w:rPr>
            </w:pPr>
            <w:r>
              <w:rPr>
                <w:rFonts w:hint="eastAsia" w:ascii="Times New Roman"/>
                <w:sz w:val="20"/>
                <w:szCs w:val="20"/>
                <w:highlight w:val="none"/>
              </w:rPr>
              <w:t>建立历史文化街区内相关保护内容、保护范围及控制要求长期沟通机制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hint="eastAsia" w:ascii="Times New Roman" w:hAnsiTheme="minorHAnsi" w:eastAsiaTheme="minorEastAsia" w:cstheme="minorBidi"/>
                <w:kern w:val="2"/>
                <w:sz w:val="20"/>
                <w:szCs w:val="20"/>
                <w:highlight w:val="none"/>
                <w:lang w:val="en-US" w:eastAsia="zh-CN" w:bidi="ar-SA"/>
              </w:rPr>
            </w:pPr>
            <w:r>
              <w:rPr>
                <w:rFonts w:hint="eastAsia" w:ascii="Times New Roman"/>
                <w:sz w:val="20"/>
                <w:szCs w:val="20"/>
                <w:highlight w:val="none"/>
              </w:rPr>
              <w:t>建立历史文化街区内建（构）筑物保护整治措施长期沟通机制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hint="eastAsia" w:ascii="Times New Roman" w:hAnsiTheme="minorHAnsi" w:eastAsiaTheme="minorEastAsia" w:cstheme="minorBidi"/>
                <w:kern w:val="2"/>
                <w:sz w:val="20"/>
                <w:szCs w:val="20"/>
                <w:highlight w:val="none"/>
                <w:lang w:val="en-US" w:eastAsia="zh-CN" w:bidi="ar-SA"/>
              </w:rPr>
            </w:pPr>
            <w:r>
              <w:rPr>
                <w:rFonts w:hint="eastAsia" w:ascii="Times New Roman"/>
                <w:sz w:val="20"/>
                <w:szCs w:val="20"/>
                <w:highlight w:val="none"/>
              </w:rPr>
              <w:t>建立历史文化街区产业引导管理机制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hint="eastAsia" w:ascii="Times New Roman" w:hAnsiTheme="minorHAnsi" w:eastAsiaTheme="minorEastAsia" w:cstheme="minorBidi"/>
                <w:kern w:val="2"/>
                <w:sz w:val="20"/>
                <w:szCs w:val="20"/>
                <w:highlight w:val="none"/>
                <w:lang w:val="en-US" w:eastAsia="zh-CN" w:bidi="ar-SA"/>
              </w:rPr>
            </w:pPr>
            <w:r>
              <w:rPr>
                <w:rFonts w:hint="eastAsia" w:ascii="Times New Roman"/>
                <w:sz w:val="20"/>
                <w:szCs w:val="20"/>
                <w:highlight w:val="none"/>
              </w:rPr>
              <w:t>对公共界面建筑风貌进行控制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hint="eastAsia" w:ascii="Times New Roman" w:hAnsiTheme="minorHAnsi" w:eastAsiaTheme="minorEastAsia" w:cstheme="minorBidi"/>
                <w:kern w:val="2"/>
                <w:sz w:val="20"/>
                <w:szCs w:val="20"/>
                <w:highlight w:val="none"/>
                <w:lang w:val="en-US" w:eastAsia="zh-CN" w:bidi="ar-SA"/>
              </w:rPr>
            </w:pPr>
            <w:r>
              <w:rPr>
                <w:rFonts w:hint="eastAsia" w:ascii="Times New Roman"/>
                <w:sz w:val="20"/>
                <w:szCs w:val="20"/>
                <w:highlight w:val="none"/>
              </w:rPr>
              <w:t>对有价值的不可移动文物进行相应的修缮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hint="eastAsia" w:ascii="Times New Roman" w:hAnsiTheme="minorHAnsi" w:eastAsiaTheme="minorEastAsia" w:cstheme="minorBidi"/>
                <w:kern w:val="2"/>
                <w:sz w:val="20"/>
                <w:szCs w:val="20"/>
                <w:highlight w:val="none"/>
                <w:lang w:val="en-US" w:eastAsia="zh-CN" w:bidi="ar-SA"/>
              </w:rPr>
            </w:pPr>
            <w:r>
              <w:rPr>
                <w:rFonts w:hint="eastAsia" w:ascii="Times New Roman"/>
                <w:sz w:val="20"/>
                <w:szCs w:val="20"/>
                <w:highlight w:val="none"/>
              </w:rPr>
              <w:t>设置具地域特色的口袋公园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hint="eastAsia" w:ascii="Times New Roman" w:hAnsiTheme="minorHAnsi" w:eastAsiaTheme="minorEastAsia" w:cstheme="minorBidi"/>
                <w:kern w:val="2"/>
                <w:sz w:val="20"/>
                <w:szCs w:val="20"/>
                <w:highlight w:val="none"/>
                <w:lang w:val="en-US" w:eastAsia="zh-CN" w:bidi="ar-SA"/>
              </w:rPr>
            </w:pPr>
            <w:r>
              <w:rPr>
                <w:rFonts w:ascii="Times New Roman"/>
                <w:sz w:val="20"/>
                <w:szCs w:val="20"/>
                <w:highlight w:val="none"/>
              </w:rPr>
              <w:t>设置带历史文化特色标识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hint="eastAsia" w:ascii="Times New Roman" w:hAnsiTheme="minorHAnsi" w:eastAsiaTheme="minorEastAsia" w:cstheme="minorBidi"/>
                <w:kern w:val="2"/>
                <w:sz w:val="20"/>
                <w:szCs w:val="20"/>
                <w:highlight w:val="none"/>
                <w:lang w:val="en-US" w:eastAsia="zh-CN" w:bidi="ar-SA"/>
              </w:rPr>
            </w:pPr>
            <w:r>
              <w:rPr>
                <w:rFonts w:ascii="Times New Roman"/>
                <w:sz w:val="20"/>
                <w:szCs w:val="20"/>
                <w:highlight w:val="none"/>
              </w:rPr>
              <w:t>增加传统街巷照明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hint="eastAsia" w:ascii="Times New Roman" w:hAnsiTheme="minorHAnsi" w:eastAsiaTheme="minorEastAsia" w:cstheme="minorBidi"/>
                <w:kern w:val="2"/>
                <w:sz w:val="20"/>
                <w:szCs w:val="20"/>
                <w:highlight w:val="none"/>
                <w:lang w:val="en-US" w:eastAsia="zh-CN" w:bidi="ar-SA"/>
              </w:rPr>
            </w:pPr>
            <w:r>
              <w:rPr>
                <w:rFonts w:ascii="Times New Roman"/>
                <w:sz w:val="20"/>
                <w:szCs w:val="20"/>
                <w:highlight w:val="none"/>
              </w:rPr>
              <w:t>组织挖掘历史文化街区内建筑背后的历史故事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hint="eastAsia" w:ascii="Times New Roman" w:hAnsi="宋体" w:eastAsiaTheme="minorEastAsia" w:cstheme="minorBidi"/>
                <w:kern w:val="2"/>
                <w:sz w:val="20"/>
                <w:szCs w:val="20"/>
                <w:highlight w:val="none"/>
                <w:lang w:val="en-US" w:eastAsia="zh-CN" w:bidi="ar-SA"/>
              </w:rPr>
            </w:pPr>
            <w:r>
              <w:rPr>
                <w:rFonts w:ascii="Times New Roman"/>
                <w:sz w:val="20"/>
                <w:szCs w:val="20"/>
                <w:highlight w:val="none"/>
              </w:rPr>
              <w:t>设置历史文化街区游览路径，讲述地方故事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hint="eastAsia" w:ascii="Times New Roman" w:hAnsiTheme="minorHAnsi" w:eastAsiaTheme="minorEastAsia" w:cstheme="minorBidi"/>
                <w:kern w:val="2"/>
                <w:sz w:val="20"/>
                <w:szCs w:val="20"/>
                <w:highlight w:val="none"/>
                <w:lang w:val="en-US" w:eastAsia="zh-CN" w:bidi="ar-SA"/>
              </w:rPr>
            </w:pPr>
            <w:r>
              <w:rPr>
                <w:rFonts w:hint="eastAsia" w:ascii="Times New Roman"/>
                <w:sz w:val="20"/>
                <w:szCs w:val="20"/>
                <w:highlight w:val="none"/>
              </w:rPr>
              <w:t>通过公共艺术的方式，介入历史文化街区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hint="eastAsia" w:ascii="Times New Roman" w:hAnsiTheme="minorHAnsi" w:eastAsiaTheme="minorEastAsia" w:cstheme="minorBidi"/>
                <w:kern w:val="2"/>
                <w:sz w:val="20"/>
                <w:szCs w:val="20"/>
                <w:highlight w:val="none"/>
                <w:lang w:val="en-US" w:eastAsia="zh-CN" w:bidi="ar-SA"/>
              </w:rPr>
            </w:pPr>
            <w:r>
              <w:rPr>
                <w:rFonts w:hint="eastAsia" w:ascii="Times New Roman"/>
                <w:sz w:val="20"/>
                <w:szCs w:val="20"/>
                <w:highlight w:val="none"/>
              </w:rPr>
              <w:t>引入多元主体，共同参与历史文化街区保护与活化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hint="eastAsia" w:ascii="Times New Roman" w:hAnsiTheme="minorHAnsi" w:eastAsiaTheme="minorEastAsia" w:cstheme="minorBidi"/>
                <w:kern w:val="2"/>
                <w:sz w:val="20"/>
                <w:szCs w:val="20"/>
                <w:highlight w:val="none"/>
                <w:lang w:val="en-US" w:eastAsia="zh-CN" w:bidi="ar-SA"/>
              </w:rPr>
            </w:pPr>
            <w:r>
              <w:rPr>
                <w:rFonts w:ascii="Times New Roman"/>
                <w:sz w:val="20"/>
                <w:szCs w:val="20"/>
                <w:highlight w:val="none"/>
              </w:rPr>
              <w:t>结合历史文化街区的特色设置相应的推广机制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hint="eastAsia" w:ascii="Times New Roman" w:hAnsiTheme="minorHAnsi" w:eastAsiaTheme="minorEastAsia" w:cstheme="minorBidi"/>
                <w:kern w:val="2"/>
                <w:sz w:val="20"/>
                <w:szCs w:val="20"/>
                <w:highlight w:val="none"/>
                <w:lang w:val="en-US" w:eastAsia="zh-CN" w:bidi="ar-SA"/>
              </w:rPr>
            </w:pPr>
            <w:r>
              <w:rPr>
                <w:rFonts w:ascii="Times New Roman"/>
                <w:sz w:val="20"/>
                <w:szCs w:val="20"/>
                <w:highlight w:val="none"/>
              </w:rPr>
              <w:t>优化历史文化街区交通组织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hint="eastAsia" w:ascii="Times New Roman" w:hAnsi="宋体" w:eastAsiaTheme="minorEastAsia" w:cstheme="minorBidi"/>
                <w:kern w:val="2"/>
                <w:sz w:val="20"/>
                <w:szCs w:val="20"/>
                <w:highlight w:val="none"/>
                <w:lang w:val="en-US" w:eastAsia="zh-CN" w:bidi="ar-SA"/>
              </w:rPr>
            </w:pPr>
            <w:r>
              <w:rPr>
                <w:rFonts w:ascii="Times New Roman" w:hAnsi="宋体"/>
                <w:sz w:val="20"/>
                <w:szCs w:val="20"/>
                <w:highlight w:val="none"/>
              </w:rPr>
              <w:t>优化路权分配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hint="eastAsia" w:ascii="Times New Roman" w:hAnsiTheme="minorHAnsi" w:eastAsiaTheme="minorEastAsia" w:cstheme="minorBidi"/>
                <w:kern w:val="2"/>
                <w:sz w:val="20"/>
                <w:szCs w:val="20"/>
                <w:highlight w:val="none"/>
                <w:lang w:val="en-US" w:eastAsia="zh-CN" w:bidi="ar-SA"/>
              </w:rPr>
            </w:pPr>
            <w:r>
              <w:rPr>
                <w:rFonts w:ascii="Times New Roman" w:hAnsi="宋体"/>
                <w:sz w:val="20"/>
                <w:szCs w:val="20"/>
                <w:highlight w:val="none"/>
              </w:rPr>
              <w:t>建立共享停车设施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hint="eastAsia" w:ascii="Times New Roman" w:hAnsi="宋体" w:eastAsiaTheme="minorEastAsia" w:cstheme="minorBidi"/>
                <w:kern w:val="2"/>
                <w:sz w:val="20"/>
                <w:szCs w:val="20"/>
                <w:highlight w:val="none"/>
                <w:lang w:val="en-US" w:eastAsia="zh-CN" w:bidi="ar-SA"/>
              </w:rPr>
            </w:pPr>
            <w:r>
              <w:rPr>
                <w:rFonts w:hint="eastAsia" w:ascii="Times New Roman"/>
                <w:sz w:val="20"/>
                <w:szCs w:val="20"/>
                <w:highlight w:val="none"/>
              </w:rPr>
              <w:t>适度开放单位设施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hint="eastAsia" w:ascii="Times New Roman" w:hAnsiTheme="minorHAnsi" w:eastAsiaTheme="minorEastAsia" w:cstheme="minorBidi"/>
                <w:kern w:val="2"/>
                <w:sz w:val="20"/>
                <w:szCs w:val="20"/>
                <w:highlight w:val="none"/>
                <w:lang w:val="en-US" w:eastAsia="zh-CN" w:bidi="ar-SA"/>
              </w:rPr>
            </w:pPr>
            <w:r>
              <w:rPr>
                <w:rFonts w:hint="eastAsia" w:ascii="Times New Roman"/>
                <w:sz w:val="20"/>
                <w:szCs w:val="20"/>
                <w:highlight w:val="none"/>
              </w:rPr>
              <w:t>改造补充急需设施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hint="eastAsia" w:ascii="Times New Roman" w:hAnsiTheme="minorHAnsi" w:eastAsiaTheme="minorEastAsia" w:cstheme="minorBidi"/>
                <w:kern w:val="2"/>
                <w:sz w:val="20"/>
                <w:szCs w:val="20"/>
                <w:highlight w:val="none"/>
                <w:lang w:val="en-US" w:eastAsia="zh-CN" w:bidi="ar-SA"/>
              </w:rPr>
            </w:pPr>
            <w:r>
              <w:rPr>
                <w:rFonts w:hint="eastAsia" w:ascii="Times New Roman"/>
                <w:sz w:val="20"/>
                <w:szCs w:val="20"/>
                <w:highlight w:val="none"/>
              </w:rPr>
              <w:t>设置老人日间照料中心、长者饭堂、老人活动室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 w:type="dxa"/>
            <w:vAlign w:val="center"/>
          </w:tcPr>
          <w:p>
            <w:pPr>
              <w:numPr>
                <w:ilvl w:val="0"/>
                <w:numId w:val="4"/>
              </w:numPr>
              <w:autoSpaceDE w:val="0"/>
              <w:autoSpaceDN w:val="0"/>
              <w:adjustRightInd w:val="0"/>
              <w:spacing w:line="280" w:lineRule="exact"/>
              <w:ind w:left="0" w:hanging="2"/>
              <w:jc w:val="center"/>
              <w:rPr>
                <w:rFonts w:ascii="Times New Roman" w:hAnsi="Times New Roman" w:eastAsia="华文仿宋"/>
                <w:sz w:val="20"/>
                <w:szCs w:val="20"/>
                <w:highlight w:val="none"/>
              </w:rPr>
            </w:pPr>
          </w:p>
        </w:tc>
        <w:tc>
          <w:tcPr>
            <w:tcW w:w="916" w:type="dxa"/>
            <w:vMerge w:val="continue"/>
            <w:tcMar>
              <w:top w:w="28" w:type="dxa"/>
              <w:left w:w="28" w:type="dxa"/>
              <w:bottom w:w="28" w:type="dxa"/>
              <w:right w:w="28" w:type="dxa"/>
            </w:tcMar>
            <w:vAlign w:val="center"/>
          </w:tcPr>
          <w:p>
            <w:pPr>
              <w:autoSpaceDE w:val="0"/>
              <w:autoSpaceDN w:val="0"/>
              <w:adjustRightInd w:val="0"/>
              <w:spacing w:line="280" w:lineRule="exact"/>
              <w:ind w:hanging="2"/>
              <w:jc w:val="center"/>
              <w:rPr>
                <w:rFonts w:ascii="Times New Roman" w:hAnsi="Times New Roman"/>
                <w:sz w:val="20"/>
                <w:szCs w:val="20"/>
                <w:highlight w:val="none"/>
              </w:rPr>
            </w:pPr>
          </w:p>
        </w:tc>
        <w:tc>
          <w:tcPr>
            <w:tcW w:w="6675" w:type="dxa"/>
            <w:tcMar>
              <w:top w:w="28" w:type="dxa"/>
              <w:left w:w="28" w:type="dxa"/>
              <w:bottom w:w="28" w:type="dxa"/>
              <w:right w:w="28" w:type="dxa"/>
            </w:tcMar>
            <w:vAlign w:val="center"/>
          </w:tcPr>
          <w:p>
            <w:pPr>
              <w:spacing w:line="280" w:lineRule="exact"/>
              <w:rPr>
                <w:rFonts w:hint="eastAsia" w:ascii="Times New Roman" w:hAnsiTheme="minorHAnsi" w:eastAsiaTheme="minorEastAsia" w:cstheme="minorBidi"/>
                <w:kern w:val="2"/>
                <w:sz w:val="20"/>
                <w:szCs w:val="20"/>
                <w:highlight w:val="none"/>
                <w:lang w:val="en-US" w:eastAsia="zh-CN" w:bidi="ar-SA"/>
              </w:rPr>
            </w:pPr>
            <w:r>
              <w:rPr>
                <w:rFonts w:hint="eastAsia" w:ascii="Times New Roman"/>
                <w:sz w:val="20"/>
                <w:szCs w:val="20"/>
                <w:highlight w:val="none"/>
              </w:rPr>
              <w:t>设置</w:t>
            </w:r>
            <w:r>
              <w:rPr>
                <w:rFonts w:ascii="Times New Roman" w:hAnsi="宋体"/>
                <w:sz w:val="20"/>
                <w:szCs w:val="20"/>
                <w:highlight w:val="none"/>
              </w:rPr>
              <w:t>文化设施、便民服务设施</w:t>
            </w:r>
          </w:p>
        </w:tc>
      </w:tr>
    </w:tbl>
    <w:p>
      <w:pPr>
        <w:spacing w:line="360" w:lineRule="auto"/>
        <w:rPr>
          <w:rFonts w:asciiTheme="minorEastAsia" w:hAnsiTheme="minorEastAsia" w:cstheme="minorEastAsia"/>
          <w:b/>
          <w:bCs/>
          <w:sz w:val="24"/>
          <w:highlight w:val="none"/>
        </w:rPr>
      </w:pPr>
    </w:p>
    <w:p>
      <w:pPr>
        <w:spacing w:line="360" w:lineRule="auto"/>
        <w:rPr>
          <w:rFonts w:hint="eastAsia" w:asciiTheme="minorEastAsia" w:hAnsiTheme="minorEastAsia" w:cstheme="minorEastAsia"/>
          <w:b/>
          <w:bCs/>
          <w:sz w:val="24"/>
          <w:highlight w:val="none"/>
        </w:rPr>
      </w:pPr>
    </w:p>
    <w:p>
      <w:pPr>
        <w:spacing w:line="360" w:lineRule="auto"/>
        <w:jc w:val="center"/>
        <w:rPr>
          <w:rFonts w:asciiTheme="minorEastAsia" w:hAnsiTheme="minorEastAsia" w:cstheme="minorEastAsia"/>
          <w:b/>
          <w:bCs/>
          <w:sz w:val="22"/>
          <w:szCs w:val="22"/>
          <w:highlight w:val="none"/>
        </w:rPr>
      </w:pPr>
    </w:p>
    <w:p>
      <w:pPr>
        <w:spacing w:line="360" w:lineRule="auto"/>
        <w:rPr>
          <w:rFonts w:asciiTheme="minorEastAsia" w:hAnsiTheme="minorEastAsia" w:cstheme="minorEastAsia"/>
          <w:b/>
          <w:bCs/>
          <w:sz w:val="22"/>
          <w:szCs w:val="22"/>
          <w:highlight w:val="none"/>
        </w:rPr>
      </w:pPr>
    </w:p>
    <w:p>
      <w:pPr>
        <w:pStyle w:val="2"/>
        <w:rPr>
          <w:rFonts w:asciiTheme="minorEastAsia" w:hAnsiTheme="minorEastAsia" w:cstheme="minorEastAsia"/>
          <w:color w:val="333333"/>
          <w:kern w:val="0"/>
          <w:sz w:val="24"/>
          <w:szCs w:val="24"/>
          <w:highlight w:val="none"/>
        </w:rPr>
      </w:pPr>
    </w:p>
    <w:p>
      <w:pPr>
        <w:pStyle w:val="4"/>
        <w:keepNext w:val="0"/>
        <w:keepLines w:val="0"/>
        <w:spacing w:before="100" w:beforeAutospacing="1" w:after="100" w:afterAutospacing="1" w:line="360" w:lineRule="auto"/>
        <w:jc w:val="center"/>
        <w:rPr>
          <w:rFonts w:hint="eastAsia" w:ascii="宋体" w:hAnsi="宋体"/>
          <w:b w:val="0"/>
          <w:sz w:val="36"/>
          <w:szCs w:val="36"/>
          <w:highlight w:val="none"/>
        </w:rPr>
      </w:pPr>
    </w:p>
    <w:p>
      <w:pPr>
        <w:pStyle w:val="4"/>
        <w:keepNext w:val="0"/>
        <w:keepLines w:val="0"/>
        <w:spacing w:before="100" w:beforeAutospacing="1" w:after="100" w:afterAutospacing="1" w:line="360" w:lineRule="auto"/>
        <w:jc w:val="center"/>
        <w:rPr>
          <w:rFonts w:hint="eastAsia" w:ascii="宋体" w:hAnsi="宋体"/>
          <w:b w:val="0"/>
          <w:sz w:val="36"/>
          <w:szCs w:val="36"/>
          <w:highlight w:val="none"/>
        </w:rPr>
      </w:pPr>
    </w:p>
    <w:p>
      <w:pPr>
        <w:pStyle w:val="4"/>
        <w:keepNext w:val="0"/>
        <w:keepLines w:val="0"/>
        <w:spacing w:before="100" w:beforeAutospacing="1" w:after="100" w:afterAutospacing="1" w:line="360" w:lineRule="auto"/>
        <w:jc w:val="center"/>
        <w:rPr>
          <w:rFonts w:hint="eastAsia" w:ascii="宋体" w:hAnsi="宋体"/>
          <w:b w:val="0"/>
          <w:sz w:val="36"/>
          <w:szCs w:val="36"/>
          <w:highlight w:val="none"/>
        </w:rPr>
      </w:pPr>
    </w:p>
    <w:p>
      <w:pPr>
        <w:rPr>
          <w:rFonts w:hint="eastAsia" w:ascii="方正小标宋简体" w:hAnsi="方正小标宋简体" w:eastAsia="方正小标宋简体" w:cs="方正小标宋简体"/>
          <w:sz w:val="28"/>
          <w:szCs w:val="28"/>
          <w:highlight w:val="none"/>
          <w:lang w:val="en-US" w:eastAsia="zh-CN"/>
        </w:rPr>
      </w:pPr>
    </w:p>
    <w:p>
      <w:pPr>
        <w:jc w:val="both"/>
        <w:rPr>
          <w:rFonts w:hint="eastAsia" w:ascii="方正小标宋简体" w:hAnsi="方正小标宋简体" w:eastAsia="方正小标宋简体" w:cs="方正小标宋简体"/>
          <w:sz w:val="28"/>
          <w:szCs w:val="28"/>
          <w:highlight w:val="none"/>
          <w:lang w:val="en-US" w:eastAsia="zh-CN"/>
        </w:rPr>
      </w:pPr>
    </w:p>
    <w:p>
      <w:pPr>
        <w:jc w:val="both"/>
        <w:rPr>
          <w:rFonts w:hint="eastAsia" w:ascii="方正小标宋简体" w:hAnsi="方正小标宋简体" w:eastAsia="方正小标宋简体" w:cs="方正小标宋简体"/>
          <w:sz w:val="28"/>
          <w:szCs w:val="28"/>
          <w:highlight w:val="none"/>
          <w:lang w:val="en-US" w:eastAsia="zh-CN"/>
        </w:rPr>
      </w:pPr>
      <w:r>
        <w:rPr>
          <w:rFonts w:hint="eastAsia" w:ascii="方正小标宋简体" w:hAnsi="方正小标宋简体" w:eastAsia="方正小标宋简体" w:cs="方正小标宋简体"/>
          <w:sz w:val="28"/>
          <w:szCs w:val="28"/>
          <w:highlight w:val="none"/>
          <w:lang w:val="en-US" w:eastAsia="zh-CN"/>
        </w:rPr>
        <w:t>附件2：</w:t>
      </w:r>
    </w:p>
    <w:p>
      <w:pPr>
        <w:pStyle w:val="4"/>
        <w:keepNext w:val="0"/>
        <w:keepLines w:val="0"/>
        <w:spacing w:before="100" w:beforeAutospacing="1" w:after="100" w:afterAutospacing="1" w:line="360" w:lineRule="auto"/>
        <w:jc w:val="center"/>
        <w:rPr>
          <w:rFonts w:ascii="仿宋_GB2312" w:eastAsia="仿宋_GB2312"/>
          <w:highlight w:val="none"/>
        </w:rPr>
      </w:pPr>
      <w:r>
        <w:rPr>
          <w:rFonts w:hint="eastAsia" w:ascii="宋体" w:hAnsi="宋体"/>
          <w:b w:val="0"/>
          <w:sz w:val="36"/>
          <w:szCs w:val="36"/>
          <w:highlight w:val="none"/>
        </w:rPr>
        <w:t>廉 政 合 同</w:t>
      </w:r>
    </w:p>
    <w:p>
      <w:pPr>
        <w:spacing w:line="360" w:lineRule="auto"/>
        <w:jc w:val="left"/>
        <w:rPr>
          <w:rFonts w:ascii="宋体" w:hAnsi="宋体" w:cs="宋体"/>
          <w:kern w:val="0"/>
          <w:sz w:val="28"/>
          <w:szCs w:val="28"/>
          <w:highlight w:val="none"/>
          <w:u w:val="single"/>
          <w:lang w:val="zh-CN"/>
        </w:rPr>
      </w:pPr>
      <w:r>
        <w:rPr>
          <w:rFonts w:hint="eastAsia" w:ascii="宋体" w:hAnsi="宋体" w:cs="宋体"/>
          <w:kern w:val="0"/>
          <w:sz w:val="28"/>
          <w:szCs w:val="28"/>
          <w:highlight w:val="none"/>
          <w:lang w:val="zh-CN"/>
        </w:rPr>
        <w:t>甲方：</w:t>
      </w:r>
      <w:r>
        <w:rPr>
          <w:rFonts w:hint="eastAsia" w:ascii="宋体" w:hAnsi="宋体" w:cs="宋体"/>
          <w:kern w:val="0"/>
          <w:sz w:val="28"/>
          <w:szCs w:val="28"/>
          <w:highlight w:val="none"/>
          <w:u w:val="single"/>
          <w:lang w:val="zh-CN"/>
        </w:rPr>
        <w:t>广州市荔湾区</w:t>
      </w:r>
      <w:r>
        <w:rPr>
          <w:rFonts w:hint="eastAsia" w:ascii="宋体" w:hAnsi="宋体" w:cs="宋体"/>
          <w:kern w:val="0"/>
          <w:sz w:val="28"/>
          <w:szCs w:val="28"/>
          <w:highlight w:val="none"/>
          <w:u w:val="single"/>
        </w:rPr>
        <w:t>城市更新建设项目管理管理中心</w:t>
      </w:r>
    </w:p>
    <w:p>
      <w:pPr>
        <w:spacing w:line="360" w:lineRule="auto"/>
        <w:jc w:val="left"/>
        <w:rPr>
          <w:rFonts w:hint="default" w:ascii="宋体" w:hAnsi="宋体" w:eastAsia="宋体" w:cs="宋体"/>
          <w:kern w:val="0"/>
          <w:sz w:val="28"/>
          <w:szCs w:val="28"/>
          <w:highlight w:val="none"/>
          <w:u w:val="single"/>
          <w:lang w:val="en-US" w:eastAsia="zh-CN"/>
        </w:rPr>
      </w:pPr>
      <w:r>
        <w:rPr>
          <w:rFonts w:hint="eastAsia" w:ascii="宋体" w:hAnsi="宋体" w:cs="宋体"/>
          <w:kern w:val="0"/>
          <w:sz w:val="28"/>
          <w:szCs w:val="28"/>
          <w:highlight w:val="none"/>
          <w:lang w:val="zh-CN"/>
        </w:rPr>
        <w:t>乙方：</w:t>
      </w:r>
      <w:r>
        <w:rPr>
          <w:rFonts w:hint="eastAsia" w:ascii="宋体" w:hAnsi="宋体" w:cs="宋体"/>
          <w:kern w:val="0"/>
          <w:sz w:val="28"/>
          <w:szCs w:val="28"/>
          <w:highlight w:val="none"/>
          <w:u w:val="single"/>
          <w:lang w:val="en-US" w:eastAsia="zh-CN"/>
        </w:rPr>
        <w:t xml:space="preserve">                                        </w:t>
      </w:r>
    </w:p>
    <w:p>
      <w:pPr>
        <w:spacing w:line="360" w:lineRule="auto"/>
        <w:ind w:firstLine="560" w:firstLineChars="200"/>
        <w:jc w:val="left"/>
        <w:rPr>
          <w:rFonts w:ascii="宋体" w:hAnsi="宋体"/>
          <w:sz w:val="28"/>
          <w:szCs w:val="28"/>
          <w:highlight w:val="none"/>
        </w:rPr>
      </w:pPr>
      <w:r>
        <w:rPr>
          <w:rFonts w:hint="eastAsia" w:ascii="宋体" w:hAnsi="宋体" w:cs="宋体"/>
          <w:kern w:val="0"/>
          <w:sz w:val="28"/>
          <w:szCs w:val="28"/>
          <w:highlight w:val="none"/>
          <w:lang w:val="zh-CN"/>
        </w:rPr>
        <w:t>根据国家、省有关廉政建设的规定，为做好合同工程的廉政建设，保证工程质量与施工安全，提高建设资金的有效使用和投资效益，合同双方当事人就加强合同工程的廉政建设，订立本合同</w:t>
      </w:r>
      <w:r>
        <w:rPr>
          <w:rFonts w:hint="eastAsia" w:ascii="宋体" w:hAnsi="宋体"/>
          <w:sz w:val="28"/>
          <w:szCs w:val="28"/>
          <w:highlight w:val="none"/>
        </w:rPr>
        <w:t>。</w:t>
      </w:r>
    </w:p>
    <w:p>
      <w:pPr>
        <w:spacing w:line="360" w:lineRule="auto"/>
        <w:ind w:firstLine="562" w:firstLineChars="200"/>
        <w:jc w:val="left"/>
        <w:rPr>
          <w:rFonts w:ascii="宋体" w:hAnsi="宋体"/>
          <w:b/>
          <w:bCs/>
          <w:sz w:val="28"/>
          <w:szCs w:val="28"/>
          <w:highlight w:val="none"/>
        </w:rPr>
      </w:pPr>
      <w:r>
        <w:rPr>
          <w:rFonts w:hint="eastAsia" w:ascii="宋体" w:hAnsi="宋体"/>
          <w:b/>
          <w:bCs/>
          <w:sz w:val="28"/>
          <w:szCs w:val="28"/>
          <w:highlight w:val="none"/>
        </w:rPr>
        <w:t>1  双方权利和义务</w:t>
      </w:r>
    </w:p>
    <w:p>
      <w:pPr>
        <w:spacing w:line="360" w:lineRule="auto"/>
        <w:ind w:firstLine="560" w:firstLineChars="200"/>
        <w:jc w:val="left"/>
        <w:rPr>
          <w:rFonts w:ascii="宋体" w:hAnsi="宋体"/>
          <w:sz w:val="28"/>
          <w:szCs w:val="28"/>
          <w:highlight w:val="none"/>
        </w:rPr>
      </w:pPr>
      <w:r>
        <w:rPr>
          <w:rFonts w:hint="eastAsia" w:ascii="宋体" w:hAnsi="宋体"/>
          <w:sz w:val="28"/>
          <w:szCs w:val="28"/>
          <w:highlight w:val="none"/>
        </w:rPr>
        <w:t>1.1  严格遵守国家、省有关法律法规的规定。</w:t>
      </w:r>
    </w:p>
    <w:p>
      <w:pPr>
        <w:spacing w:line="360" w:lineRule="auto"/>
        <w:ind w:firstLine="560" w:firstLineChars="200"/>
        <w:rPr>
          <w:rFonts w:ascii="宋体" w:hAnsi="宋体"/>
          <w:sz w:val="28"/>
          <w:szCs w:val="28"/>
          <w:highlight w:val="none"/>
        </w:rPr>
      </w:pPr>
      <w:r>
        <w:rPr>
          <w:rFonts w:hint="eastAsia" w:ascii="宋体" w:hAnsi="宋体"/>
          <w:sz w:val="28"/>
          <w:szCs w:val="28"/>
          <w:highlight w:val="none"/>
        </w:rPr>
        <w:t>1.2  严格执行合同工程一切合同文件，自觉按合同办事。</w:t>
      </w:r>
    </w:p>
    <w:p>
      <w:pPr>
        <w:spacing w:line="360" w:lineRule="auto"/>
        <w:ind w:firstLine="560" w:firstLineChars="200"/>
        <w:rPr>
          <w:rFonts w:ascii="宋体" w:hAnsi="宋体"/>
          <w:sz w:val="28"/>
          <w:szCs w:val="28"/>
          <w:highlight w:val="none"/>
        </w:rPr>
      </w:pPr>
      <w:r>
        <w:rPr>
          <w:rFonts w:hint="eastAsia" w:ascii="宋体" w:hAnsi="宋体"/>
          <w:sz w:val="28"/>
          <w:szCs w:val="28"/>
          <w:highlight w:val="none"/>
        </w:rPr>
        <w:t xml:space="preserve">1.3  </w:t>
      </w:r>
      <w:r>
        <w:rPr>
          <w:rFonts w:hint="eastAsia" w:ascii="宋体" w:hAnsi="宋体" w:cs="宋体"/>
          <w:kern w:val="0"/>
          <w:sz w:val="28"/>
          <w:szCs w:val="28"/>
          <w:highlight w:val="none"/>
          <w:lang w:val="zh-CN"/>
        </w:rPr>
        <w:t>合同双方当事人的业务活动应坚持公平、公开、公正和诚信的原则（法律认定的商业</w:t>
      </w:r>
      <w:r>
        <w:rPr>
          <w:rFonts w:ascii="宋体" w:hAnsi="宋体" w:cs="Arial"/>
          <w:kern w:val="0"/>
          <w:sz w:val="28"/>
          <w:szCs w:val="28"/>
          <w:highlight w:val="none"/>
        </w:rPr>
        <w:t xml:space="preserve"> </w:t>
      </w:r>
      <w:r>
        <w:rPr>
          <w:rFonts w:hint="eastAsia" w:ascii="宋体" w:hAnsi="宋体" w:cs="宋体"/>
          <w:kern w:val="0"/>
          <w:sz w:val="28"/>
          <w:szCs w:val="28"/>
          <w:highlight w:val="none"/>
          <w:lang w:val="zh-CN"/>
        </w:rPr>
        <w:t>秘密和合同文件另有规定除外），不得损害国家和集体利益，不得违反工程建设管理规章制度</w:t>
      </w:r>
      <w:r>
        <w:rPr>
          <w:rFonts w:hint="eastAsia" w:ascii="宋体" w:hAnsi="宋体"/>
          <w:sz w:val="28"/>
          <w:szCs w:val="28"/>
          <w:highlight w:val="none"/>
        </w:rPr>
        <w:t>。</w:t>
      </w:r>
    </w:p>
    <w:p>
      <w:pPr>
        <w:spacing w:line="360" w:lineRule="auto"/>
        <w:ind w:firstLine="560" w:firstLineChars="200"/>
        <w:rPr>
          <w:rFonts w:ascii="宋体" w:hAnsi="宋体"/>
          <w:sz w:val="28"/>
          <w:szCs w:val="28"/>
          <w:highlight w:val="none"/>
        </w:rPr>
      </w:pPr>
      <w:r>
        <w:rPr>
          <w:rFonts w:hint="eastAsia" w:ascii="宋体" w:hAnsi="宋体"/>
          <w:sz w:val="28"/>
          <w:szCs w:val="28"/>
          <w:highlight w:val="none"/>
        </w:rPr>
        <w:t>1.4  建立健全廉政制度，开展廉政教育，设立廉政告示牌，公布举报电话，监督并认真查处违法违纪行为。</w:t>
      </w:r>
    </w:p>
    <w:p>
      <w:pPr>
        <w:spacing w:line="360" w:lineRule="auto"/>
        <w:ind w:firstLine="560" w:firstLineChars="200"/>
        <w:rPr>
          <w:rFonts w:ascii="宋体" w:hAnsi="宋体"/>
          <w:sz w:val="28"/>
          <w:szCs w:val="28"/>
          <w:highlight w:val="none"/>
        </w:rPr>
      </w:pPr>
      <w:r>
        <w:rPr>
          <w:rFonts w:hint="eastAsia" w:ascii="宋体" w:hAnsi="宋体"/>
          <w:sz w:val="28"/>
          <w:szCs w:val="28"/>
          <w:highlight w:val="none"/>
        </w:rPr>
        <w:t>1.5  发现对方在业务活动中有违反廉政建设规定的行为，应及时给予提醒和纠正。</w:t>
      </w:r>
    </w:p>
    <w:p>
      <w:pPr>
        <w:spacing w:line="360" w:lineRule="auto"/>
        <w:ind w:firstLine="560" w:firstLineChars="200"/>
        <w:jc w:val="left"/>
        <w:rPr>
          <w:rFonts w:ascii="宋体" w:hAnsi="宋体"/>
          <w:sz w:val="28"/>
          <w:szCs w:val="28"/>
          <w:highlight w:val="none"/>
        </w:rPr>
      </w:pPr>
      <w:r>
        <w:rPr>
          <w:rFonts w:hint="eastAsia" w:ascii="宋体" w:hAnsi="宋体"/>
          <w:sz w:val="28"/>
          <w:szCs w:val="28"/>
          <w:highlight w:val="none"/>
        </w:rPr>
        <w:t>1.6  发现对方严重违反合同的行为，有向其上级部门举报、建议给予处理并要求告知处理结果的权利。</w:t>
      </w:r>
    </w:p>
    <w:p>
      <w:pPr>
        <w:spacing w:line="360" w:lineRule="auto"/>
        <w:ind w:firstLine="560" w:firstLineChars="200"/>
        <w:jc w:val="left"/>
        <w:rPr>
          <w:rFonts w:ascii="宋体" w:hAnsi="宋体"/>
          <w:sz w:val="28"/>
          <w:szCs w:val="28"/>
          <w:highlight w:val="none"/>
        </w:rPr>
      </w:pPr>
      <w:r>
        <w:rPr>
          <w:rFonts w:hint="eastAsia" w:ascii="宋体" w:hAnsi="宋体"/>
          <w:sz w:val="28"/>
          <w:szCs w:val="28"/>
          <w:highlight w:val="none"/>
        </w:rPr>
        <w:t>1.6  发现对方严重违反合同的行为，有向其上级部门举报、建议给予处理并要求告知处理结果的权利。</w:t>
      </w:r>
    </w:p>
    <w:p>
      <w:pPr>
        <w:spacing w:line="360" w:lineRule="auto"/>
        <w:ind w:firstLine="562" w:firstLineChars="200"/>
        <w:jc w:val="left"/>
        <w:rPr>
          <w:rFonts w:ascii="宋体" w:hAnsi="宋体"/>
          <w:b/>
          <w:bCs/>
          <w:sz w:val="28"/>
          <w:szCs w:val="28"/>
          <w:highlight w:val="none"/>
        </w:rPr>
      </w:pPr>
      <w:r>
        <w:rPr>
          <w:rFonts w:hint="eastAsia" w:ascii="宋体" w:hAnsi="宋体"/>
          <w:b/>
          <w:bCs/>
          <w:sz w:val="28"/>
          <w:szCs w:val="28"/>
          <w:highlight w:val="none"/>
        </w:rPr>
        <w:t>2  甲方义务</w:t>
      </w:r>
    </w:p>
    <w:p>
      <w:pPr>
        <w:spacing w:line="360" w:lineRule="auto"/>
        <w:ind w:firstLine="560" w:firstLineChars="200"/>
        <w:jc w:val="left"/>
        <w:rPr>
          <w:rFonts w:ascii="宋体" w:hAnsi="宋体"/>
          <w:sz w:val="28"/>
          <w:szCs w:val="28"/>
          <w:highlight w:val="none"/>
        </w:rPr>
      </w:pPr>
      <w:r>
        <w:rPr>
          <w:rFonts w:hint="eastAsia" w:ascii="宋体" w:hAnsi="宋体"/>
          <w:sz w:val="28"/>
          <w:szCs w:val="28"/>
          <w:highlight w:val="none"/>
        </w:rPr>
        <w:t>2.1  甲方及其工作人员不得索要或接受乙方的礼金、有价证券和贵重物品，不得在乙方报销任何应由甲方或工作人员个人支付的费用等。</w:t>
      </w:r>
    </w:p>
    <w:p>
      <w:pPr>
        <w:spacing w:line="360" w:lineRule="auto"/>
        <w:ind w:firstLine="560" w:firstLineChars="200"/>
        <w:rPr>
          <w:rFonts w:ascii="宋体" w:hAnsi="宋体"/>
          <w:sz w:val="28"/>
          <w:szCs w:val="28"/>
          <w:highlight w:val="none"/>
        </w:rPr>
      </w:pPr>
      <w:r>
        <w:rPr>
          <w:rFonts w:hint="eastAsia" w:ascii="宋体" w:hAnsi="宋体"/>
          <w:sz w:val="28"/>
          <w:szCs w:val="28"/>
          <w:highlight w:val="none"/>
        </w:rPr>
        <w:t xml:space="preserve">2.2  甲方及其工作人员不得接受乙方安排的包括工作餐在内的任何宴请，不得参与乙方安排的KTV、打高尔夫、出入私人会所等任何娱乐活动；不得接受乙方提供的通讯工具、交通工具和高档办公用品等。 </w:t>
      </w:r>
    </w:p>
    <w:p>
      <w:pPr>
        <w:spacing w:line="360" w:lineRule="auto"/>
        <w:ind w:firstLine="560" w:firstLineChars="200"/>
        <w:rPr>
          <w:rFonts w:ascii="宋体" w:hAnsi="宋体"/>
          <w:sz w:val="28"/>
          <w:szCs w:val="28"/>
          <w:highlight w:val="none"/>
        </w:rPr>
      </w:pPr>
      <w:r>
        <w:rPr>
          <w:rFonts w:hint="eastAsia" w:ascii="宋体" w:hAnsi="宋体"/>
          <w:sz w:val="28"/>
          <w:szCs w:val="28"/>
          <w:highlight w:val="none"/>
        </w:rPr>
        <w:t>2.3  甲方及其工作人员不得要求或者接受乙方为其住房装修、婚丧嫁娶活动、配偶子女的工作安排以及出国出境、旅游等提供方便等。</w:t>
      </w:r>
    </w:p>
    <w:p>
      <w:pPr>
        <w:spacing w:line="360" w:lineRule="auto"/>
        <w:ind w:firstLine="560" w:firstLineChars="200"/>
        <w:rPr>
          <w:rFonts w:ascii="宋体" w:hAnsi="宋体"/>
          <w:sz w:val="28"/>
          <w:szCs w:val="28"/>
          <w:highlight w:val="none"/>
        </w:rPr>
      </w:pPr>
      <w:r>
        <w:rPr>
          <w:rFonts w:hint="eastAsia" w:ascii="宋体" w:hAnsi="宋体"/>
          <w:sz w:val="28"/>
          <w:szCs w:val="28"/>
          <w:highlight w:val="none"/>
        </w:rPr>
        <w:t>2.4 甲方</w:t>
      </w:r>
      <w:r>
        <w:rPr>
          <w:rFonts w:hint="eastAsia" w:ascii="宋体" w:hAnsi="宋体" w:cs="宋体"/>
          <w:kern w:val="0"/>
          <w:sz w:val="28"/>
          <w:szCs w:val="28"/>
          <w:highlight w:val="none"/>
          <w:lang w:val="zh-CN"/>
        </w:rPr>
        <w:t>及其工作人员要秉公办事，不准营私舞弊，不准利用职权私自为合同工程安排施工队伍，也不得从事与合同工程有关的各种有偿中介活动</w:t>
      </w:r>
      <w:r>
        <w:rPr>
          <w:rFonts w:hint="eastAsia" w:ascii="宋体" w:hAnsi="宋体"/>
          <w:sz w:val="28"/>
          <w:szCs w:val="28"/>
          <w:highlight w:val="none"/>
        </w:rPr>
        <w:t>。</w:t>
      </w:r>
    </w:p>
    <w:p>
      <w:pPr>
        <w:spacing w:line="360" w:lineRule="auto"/>
        <w:ind w:firstLine="560" w:firstLineChars="200"/>
        <w:rPr>
          <w:rFonts w:ascii="宋体" w:hAnsi="宋体"/>
          <w:sz w:val="28"/>
          <w:szCs w:val="28"/>
          <w:highlight w:val="none"/>
        </w:rPr>
      </w:pPr>
      <w:r>
        <w:rPr>
          <w:rFonts w:hint="eastAsia" w:ascii="宋体" w:hAnsi="宋体"/>
          <w:sz w:val="28"/>
          <w:szCs w:val="28"/>
          <w:highlight w:val="none"/>
        </w:rPr>
        <w:t>2.5  甲方</w:t>
      </w:r>
      <w:r>
        <w:rPr>
          <w:rFonts w:hint="eastAsia" w:ascii="宋体" w:hAnsi="宋体" w:cs="宋体"/>
          <w:kern w:val="0"/>
          <w:sz w:val="28"/>
          <w:szCs w:val="28"/>
          <w:highlight w:val="none"/>
          <w:lang w:val="zh-CN"/>
        </w:rPr>
        <w:t>及其工作人员（含其配偶、子女）不得从事与合同工程有关的材料和工程设备供应、工程分包、劳务等经济活动</w:t>
      </w:r>
      <w:r>
        <w:rPr>
          <w:rFonts w:hint="eastAsia" w:ascii="宋体" w:hAnsi="宋体"/>
          <w:sz w:val="28"/>
          <w:szCs w:val="28"/>
          <w:highlight w:val="none"/>
        </w:rPr>
        <w:t>。</w:t>
      </w:r>
    </w:p>
    <w:p>
      <w:pPr>
        <w:spacing w:line="360" w:lineRule="auto"/>
        <w:ind w:firstLine="562" w:firstLineChars="200"/>
        <w:rPr>
          <w:rFonts w:ascii="宋体" w:hAnsi="宋体"/>
          <w:b/>
          <w:bCs/>
          <w:sz w:val="28"/>
          <w:szCs w:val="28"/>
          <w:highlight w:val="none"/>
        </w:rPr>
      </w:pPr>
      <w:r>
        <w:rPr>
          <w:rFonts w:hint="eastAsia" w:ascii="宋体" w:hAnsi="宋体"/>
          <w:b/>
          <w:bCs/>
          <w:sz w:val="28"/>
          <w:szCs w:val="28"/>
          <w:highlight w:val="none"/>
        </w:rPr>
        <w:t>3  乙方义务</w:t>
      </w:r>
    </w:p>
    <w:p>
      <w:pPr>
        <w:spacing w:line="360" w:lineRule="auto"/>
        <w:ind w:firstLine="560" w:firstLineChars="200"/>
        <w:rPr>
          <w:rFonts w:ascii="宋体" w:hAnsi="宋体"/>
          <w:sz w:val="28"/>
          <w:szCs w:val="28"/>
          <w:highlight w:val="none"/>
        </w:rPr>
      </w:pPr>
      <w:r>
        <w:rPr>
          <w:rFonts w:hint="eastAsia" w:ascii="宋体" w:hAnsi="宋体"/>
          <w:sz w:val="28"/>
          <w:szCs w:val="28"/>
          <w:highlight w:val="none"/>
        </w:rPr>
        <w:t>3.1  乙方不得以任何理由向甲方及其工作人员行贿或馈赠礼金、有价证券、贵重礼品。</w:t>
      </w:r>
    </w:p>
    <w:p>
      <w:pPr>
        <w:spacing w:line="360" w:lineRule="auto"/>
        <w:ind w:firstLine="560" w:firstLineChars="200"/>
        <w:rPr>
          <w:rFonts w:ascii="宋体" w:hAnsi="宋体"/>
          <w:sz w:val="28"/>
          <w:szCs w:val="28"/>
          <w:highlight w:val="none"/>
        </w:rPr>
      </w:pPr>
      <w:r>
        <w:rPr>
          <w:rFonts w:hint="eastAsia" w:ascii="宋体" w:hAnsi="宋体"/>
          <w:sz w:val="28"/>
          <w:szCs w:val="28"/>
          <w:highlight w:val="none"/>
        </w:rPr>
        <w:t>3.2  乙方不得以任何名义为甲方及其工作人员报销应由甲方或工作人员个人支付的任何费用。</w:t>
      </w:r>
    </w:p>
    <w:p>
      <w:pPr>
        <w:spacing w:line="360" w:lineRule="auto"/>
        <w:ind w:firstLine="560" w:firstLineChars="200"/>
        <w:rPr>
          <w:rFonts w:ascii="宋体" w:hAnsi="宋体"/>
          <w:sz w:val="28"/>
          <w:szCs w:val="28"/>
          <w:highlight w:val="none"/>
        </w:rPr>
      </w:pPr>
      <w:r>
        <w:rPr>
          <w:rFonts w:hint="eastAsia" w:ascii="宋体" w:hAnsi="宋体"/>
          <w:sz w:val="28"/>
          <w:szCs w:val="28"/>
          <w:highlight w:val="none"/>
        </w:rPr>
        <w:t>3.3  乙方不得以任何理由安排甲方及其工作人员参加宴请及娱乐活动。</w:t>
      </w:r>
    </w:p>
    <w:p>
      <w:pPr>
        <w:spacing w:line="360" w:lineRule="auto"/>
        <w:ind w:firstLine="560" w:firstLineChars="200"/>
        <w:rPr>
          <w:rFonts w:ascii="宋体" w:hAnsi="宋体"/>
          <w:sz w:val="28"/>
          <w:szCs w:val="28"/>
          <w:highlight w:val="none"/>
        </w:rPr>
      </w:pPr>
      <w:r>
        <w:rPr>
          <w:rFonts w:hint="eastAsia" w:ascii="宋体" w:hAnsi="宋体"/>
          <w:sz w:val="28"/>
          <w:szCs w:val="28"/>
          <w:highlight w:val="none"/>
        </w:rPr>
        <w:t>3.4  乙方不得为甲方和个人购置或提供通讯工具、交通工具和高档办公用品等。</w:t>
      </w:r>
    </w:p>
    <w:p>
      <w:pPr>
        <w:spacing w:line="360" w:lineRule="auto"/>
        <w:ind w:firstLine="560" w:firstLineChars="200"/>
        <w:rPr>
          <w:rFonts w:ascii="宋体" w:hAnsi="宋体"/>
          <w:sz w:val="28"/>
          <w:szCs w:val="28"/>
          <w:highlight w:val="none"/>
        </w:rPr>
      </w:pPr>
      <w:r>
        <w:rPr>
          <w:rFonts w:hint="eastAsia" w:ascii="宋体" w:hAnsi="宋体"/>
          <w:sz w:val="28"/>
          <w:szCs w:val="28"/>
          <w:highlight w:val="none"/>
        </w:rPr>
        <w:t>3.5  乙方</w:t>
      </w:r>
      <w:r>
        <w:rPr>
          <w:rFonts w:hint="eastAsia" w:ascii="宋体" w:hAnsi="宋体" w:cs="宋体"/>
          <w:kern w:val="0"/>
          <w:sz w:val="28"/>
          <w:szCs w:val="28"/>
          <w:highlight w:val="none"/>
          <w:lang w:val="zh-CN"/>
        </w:rPr>
        <w:t>不得为</w:t>
      </w:r>
      <w:r>
        <w:rPr>
          <w:rFonts w:hint="eastAsia" w:ascii="宋体" w:hAnsi="宋体"/>
          <w:sz w:val="28"/>
          <w:szCs w:val="28"/>
          <w:highlight w:val="none"/>
        </w:rPr>
        <w:t>甲方</w:t>
      </w:r>
      <w:r>
        <w:rPr>
          <w:rFonts w:hint="eastAsia" w:ascii="宋体" w:hAnsi="宋体" w:cs="宋体"/>
          <w:kern w:val="0"/>
          <w:sz w:val="28"/>
          <w:szCs w:val="28"/>
          <w:highlight w:val="none"/>
          <w:lang w:val="zh-CN"/>
        </w:rPr>
        <w:t>及其工作人员的住房装修、婚丧嫁娶活动、配偶子女工作安排以及出国出境、旅游等提供方便。</w:t>
      </w:r>
    </w:p>
    <w:p>
      <w:pPr>
        <w:tabs>
          <w:tab w:val="left" w:pos="900"/>
        </w:tabs>
        <w:spacing w:line="360" w:lineRule="auto"/>
        <w:ind w:firstLine="562" w:firstLineChars="200"/>
        <w:rPr>
          <w:rFonts w:ascii="宋体" w:hAnsi="宋体"/>
          <w:b/>
          <w:bCs/>
          <w:sz w:val="28"/>
          <w:szCs w:val="28"/>
          <w:highlight w:val="none"/>
        </w:rPr>
      </w:pPr>
      <w:r>
        <w:rPr>
          <w:rFonts w:hint="eastAsia" w:ascii="宋体" w:hAnsi="宋体"/>
          <w:b/>
          <w:bCs/>
          <w:sz w:val="28"/>
          <w:szCs w:val="28"/>
          <w:highlight w:val="none"/>
        </w:rPr>
        <w:t>4  违约责任</w:t>
      </w:r>
    </w:p>
    <w:p>
      <w:pPr>
        <w:spacing w:line="360" w:lineRule="auto"/>
        <w:ind w:firstLine="560" w:firstLineChars="200"/>
        <w:rPr>
          <w:rFonts w:ascii="宋体" w:hAnsi="宋体"/>
          <w:sz w:val="28"/>
          <w:szCs w:val="28"/>
          <w:highlight w:val="none"/>
        </w:rPr>
      </w:pPr>
      <w:r>
        <w:rPr>
          <w:rFonts w:hint="eastAsia" w:ascii="宋体" w:hAnsi="宋体"/>
          <w:sz w:val="28"/>
          <w:szCs w:val="28"/>
          <w:highlight w:val="none"/>
        </w:rPr>
        <w:t>4.1  甲方及其工作人员违反本合同第1条和第2条规定，应依据有关规定给予廉政建设规定的处分；涉嫌犯罪的，移交司法机关追究刑事责任；给甲方造成经济损失的，应予赔偿。</w:t>
      </w:r>
    </w:p>
    <w:p>
      <w:pPr>
        <w:spacing w:line="360" w:lineRule="auto"/>
        <w:ind w:firstLine="560" w:firstLineChars="200"/>
        <w:rPr>
          <w:rFonts w:ascii="宋体" w:hAnsi="宋体"/>
          <w:sz w:val="28"/>
          <w:szCs w:val="28"/>
          <w:highlight w:val="none"/>
        </w:rPr>
      </w:pPr>
      <w:r>
        <w:rPr>
          <w:rFonts w:hint="eastAsia" w:ascii="宋体" w:hAnsi="宋体"/>
          <w:sz w:val="28"/>
          <w:szCs w:val="28"/>
          <w:highlight w:val="none"/>
        </w:rPr>
        <w:t>4.2  乙方</w:t>
      </w:r>
      <w:r>
        <w:rPr>
          <w:rFonts w:hint="eastAsia" w:ascii="宋体" w:hAnsi="宋体" w:cs="宋体"/>
          <w:kern w:val="0"/>
          <w:sz w:val="28"/>
          <w:szCs w:val="28"/>
          <w:highlight w:val="none"/>
          <w:lang w:val="zh-CN"/>
        </w:rPr>
        <w:t>及其工作人员违反本合同第</w:t>
      </w:r>
      <w:r>
        <w:rPr>
          <w:rFonts w:ascii="宋体" w:hAnsi="宋体"/>
          <w:kern w:val="0"/>
          <w:sz w:val="28"/>
          <w:szCs w:val="28"/>
          <w:highlight w:val="none"/>
        </w:rPr>
        <w:t xml:space="preserve"> 1</w:t>
      </w:r>
      <w:r>
        <w:rPr>
          <w:rFonts w:ascii="宋体" w:hAnsi="宋体" w:cs="Arial"/>
          <w:kern w:val="0"/>
          <w:sz w:val="28"/>
          <w:szCs w:val="28"/>
          <w:highlight w:val="none"/>
        </w:rPr>
        <w:t xml:space="preserve"> </w:t>
      </w:r>
      <w:r>
        <w:rPr>
          <w:rFonts w:hint="eastAsia" w:ascii="宋体" w:hAnsi="宋体" w:cs="宋体"/>
          <w:kern w:val="0"/>
          <w:sz w:val="28"/>
          <w:szCs w:val="28"/>
          <w:highlight w:val="none"/>
          <w:lang w:val="zh-CN"/>
        </w:rPr>
        <w:t>条和第</w:t>
      </w:r>
      <w:r>
        <w:rPr>
          <w:rFonts w:ascii="宋体" w:hAnsi="宋体"/>
          <w:kern w:val="0"/>
          <w:sz w:val="28"/>
          <w:szCs w:val="28"/>
          <w:highlight w:val="none"/>
        </w:rPr>
        <w:t xml:space="preserve"> 3</w:t>
      </w:r>
      <w:r>
        <w:rPr>
          <w:rFonts w:ascii="宋体" w:hAnsi="宋体" w:cs="Arial"/>
          <w:kern w:val="0"/>
          <w:sz w:val="28"/>
          <w:szCs w:val="28"/>
          <w:highlight w:val="none"/>
        </w:rPr>
        <w:t xml:space="preserve"> </w:t>
      </w:r>
      <w:r>
        <w:rPr>
          <w:rFonts w:hint="eastAsia" w:ascii="宋体" w:hAnsi="宋体" w:cs="宋体"/>
          <w:kern w:val="0"/>
          <w:sz w:val="28"/>
          <w:szCs w:val="28"/>
          <w:highlight w:val="none"/>
          <w:lang w:val="zh-CN"/>
        </w:rPr>
        <w:t>条规定，应按照廉政建设的有关规定给予处分；情节严重的，给予</w:t>
      </w:r>
      <w:r>
        <w:rPr>
          <w:rFonts w:hint="eastAsia" w:ascii="宋体" w:hAnsi="宋体"/>
          <w:sz w:val="28"/>
          <w:szCs w:val="28"/>
          <w:highlight w:val="none"/>
        </w:rPr>
        <w:t>乙方</w:t>
      </w:r>
      <w:r>
        <w:rPr>
          <w:rFonts w:ascii="宋体" w:hAnsi="宋体" w:cs="Arial"/>
          <w:kern w:val="0"/>
          <w:sz w:val="28"/>
          <w:szCs w:val="28"/>
          <w:highlight w:val="none"/>
        </w:rPr>
        <w:t xml:space="preserve"> 1</w:t>
      </w:r>
      <w:r>
        <w:rPr>
          <w:rFonts w:hint="eastAsia" w:ascii="宋体" w:hAnsi="宋体" w:cs="宋体"/>
          <w:kern w:val="0"/>
          <w:sz w:val="28"/>
          <w:szCs w:val="28"/>
          <w:highlight w:val="none"/>
          <w:lang w:val="zh-CN"/>
        </w:rPr>
        <w:t>～</w:t>
      </w:r>
      <w:r>
        <w:rPr>
          <w:rFonts w:ascii="宋体" w:hAnsi="宋体"/>
          <w:kern w:val="0"/>
          <w:sz w:val="28"/>
          <w:szCs w:val="28"/>
          <w:highlight w:val="none"/>
        </w:rPr>
        <w:t>3</w:t>
      </w:r>
      <w:r>
        <w:rPr>
          <w:rFonts w:ascii="宋体" w:hAnsi="宋体" w:cs="Arial"/>
          <w:kern w:val="0"/>
          <w:sz w:val="28"/>
          <w:szCs w:val="28"/>
          <w:highlight w:val="none"/>
        </w:rPr>
        <w:t xml:space="preserve"> </w:t>
      </w:r>
      <w:r>
        <w:rPr>
          <w:rFonts w:hint="eastAsia" w:ascii="宋体" w:hAnsi="宋体" w:cs="宋体"/>
          <w:kern w:val="0"/>
          <w:sz w:val="28"/>
          <w:szCs w:val="28"/>
          <w:highlight w:val="none"/>
          <w:lang w:val="zh-CN"/>
        </w:rPr>
        <w:t>年内不得进入工程建设市场的处罚；涉嫌犯罪的，移交司法机关追究刑事责任；给</w:t>
      </w:r>
      <w:r>
        <w:rPr>
          <w:rFonts w:hint="eastAsia" w:ascii="宋体" w:hAnsi="宋体"/>
          <w:sz w:val="28"/>
          <w:szCs w:val="28"/>
          <w:highlight w:val="none"/>
        </w:rPr>
        <w:t>甲方</w:t>
      </w:r>
      <w:r>
        <w:rPr>
          <w:rFonts w:hint="eastAsia" w:ascii="宋体" w:hAnsi="宋体" w:cs="宋体"/>
          <w:kern w:val="0"/>
          <w:sz w:val="28"/>
          <w:szCs w:val="28"/>
          <w:highlight w:val="none"/>
          <w:lang w:val="zh-CN"/>
        </w:rPr>
        <w:t>造成损失的，应予赔偿；</w:t>
      </w:r>
    </w:p>
    <w:p>
      <w:pPr>
        <w:widowControl/>
        <w:numPr>
          <w:ilvl w:val="0"/>
          <w:numId w:val="5"/>
        </w:numPr>
        <w:spacing w:line="360" w:lineRule="auto"/>
        <w:jc w:val="left"/>
        <w:rPr>
          <w:rFonts w:ascii="宋体" w:hAnsi="宋体"/>
          <w:b/>
          <w:bCs/>
          <w:sz w:val="28"/>
          <w:szCs w:val="28"/>
          <w:highlight w:val="none"/>
        </w:rPr>
      </w:pPr>
      <w:r>
        <w:rPr>
          <w:rFonts w:hint="eastAsia" w:ascii="宋体" w:hAnsi="宋体"/>
          <w:b/>
          <w:bCs/>
          <w:sz w:val="28"/>
          <w:szCs w:val="28"/>
          <w:highlight w:val="none"/>
        </w:rPr>
        <w:t>双方约定</w:t>
      </w:r>
    </w:p>
    <w:p>
      <w:pPr>
        <w:spacing w:line="360" w:lineRule="auto"/>
        <w:ind w:firstLine="560" w:firstLineChars="200"/>
        <w:rPr>
          <w:rFonts w:hint="eastAsia" w:ascii="宋体" w:hAnsi="宋体" w:cs="宋体"/>
          <w:kern w:val="0"/>
          <w:sz w:val="28"/>
          <w:szCs w:val="28"/>
          <w:highlight w:val="none"/>
          <w:lang w:val="zh-CN"/>
        </w:rPr>
      </w:pPr>
      <w:r>
        <w:rPr>
          <w:rFonts w:hint="eastAsia" w:ascii="宋体" w:hAnsi="宋体" w:cs="宋体"/>
          <w:kern w:val="0"/>
          <w:sz w:val="28"/>
          <w:szCs w:val="28"/>
          <w:highlight w:val="none"/>
          <w:lang w:val="zh-CN"/>
        </w:rPr>
        <w:t>本合同由合同双方当事人或其上级部门负责监督执行，并由合同双方当事人或其上级部门相互约请对本合同执行情况进行检查。</w:t>
      </w:r>
    </w:p>
    <w:p>
      <w:pPr>
        <w:spacing w:line="360" w:lineRule="auto"/>
        <w:ind w:firstLine="562" w:firstLineChars="200"/>
        <w:rPr>
          <w:rFonts w:ascii="宋体" w:hAnsi="宋体"/>
          <w:b/>
          <w:bCs/>
          <w:sz w:val="28"/>
          <w:szCs w:val="28"/>
          <w:highlight w:val="none"/>
        </w:rPr>
      </w:pPr>
      <w:r>
        <w:rPr>
          <w:rFonts w:hint="eastAsia" w:ascii="宋体" w:hAnsi="宋体"/>
          <w:b/>
          <w:bCs/>
          <w:sz w:val="28"/>
          <w:szCs w:val="28"/>
          <w:highlight w:val="none"/>
        </w:rPr>
        <w:t>6  合同法律效力</w:t>
      </w:r>
    </w:p>
    <w:p>
      <w:pPr>
        <w:spacing w:line="360" w:lineRule="auto"/>
        <w:ind w:firstLine="560" w:firstLineChars="200"/>
        <w:rPr>
          <w:rFonts w:ascii="宋体" w:hAnsi="宋体"/>
          <w:sz w:val="28"/>
          <w:szCs w:val="28"/>
          <w:highlight w:val="none"/>
        </w:rPr>
      </w:pPr>
      <w:r>
        <w:rPr>
          <w:rFonts w:hint="eastAsia" w:ascii="宋体" w:hAnsi="宋体"/>
          <w:sz w:val="28"/>
          <w:szCs w:val="28"/>
          <w:highlight w:val="none"/>
        </w:rPr>
        <w:t>本合同作为</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rPr>
        <w:t>合同的附件，与</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rPr>
        <w:t>合同具有同等的法律效力。</w:t>
      </w:r>
    </w:p>
    <w:p>
      <w:pPr>
        <w:spacing w:line="360" w:lineRule="auto"/>
        <w:ind w:firstLine="551" w:firstLineChars="196"/>
        <w:rPr>
          <w:rFonts w:ascii="宋体" w:hAnsi="宋体"/>
          <w:b/>
          <w:bCs/>
          <w:sz w:val="28"/>
          <w:szCs w:val="28"/>
          <w:highlight w:val="none"/>
        </w:rPr>
      </w:pPr>
      <w:r>
        <w:rPr>
          <w:rFonts w:hint="eastAsia" w:ascii="宋体" w:hAnsi="宋体"/>
          <w:b/>
          <w:bCs/>
          <w:sz w:val="28"/>
          <w:szCs w:val="28"/>
          <w:highlight w:val="none"/>
        </w:rPr>
        <w:t>7  合同份数</w:t>
      </w:r>
    </w:p>
    <w:p>
      <w:pPr>
        <w:spacing w:line="360" w:lineRule="auto"/>
        <w:ind w:firstLine="560" w:firstLineChars="200"/>
        <w:rPr>
          <w:rFonts w:hint="eastAsia" w:ascii="宋体" w:hAnsi="宋体"/>
          <w:sz w:val="28"/>
          <w:szCs w:val="28"/>
          <w:highlight w:val="none"/>
        </w:rPr>
      </w:pPr>
      <w:r>
        <w:rPr>
          <w:rFonts w:hint="eastAsia" w:ascii="宋体" w:hAnsi="宋体"/>
          <w:sz w:val="28"/>
          <w:szCs w:val="28"/>
          <w:highlight w:val="none"/>
        </w:rPr>
        <w:t>本合同一式</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rPr>
        <w:t>份，具有同等法律效力，甲方</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rPr>
        <w:t>份、乙方</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rPr>
        <w:t>份。</w:t>
      </w:r>
    </w:p>
    <w:p>
      <w:pPr>
        <w:spacing w:line="360" w:lineRule="auto"/>
        <w:ind w:firstLine="560" w:firstLineChars="200"/>
        <w:rPr>
          <w:rFonts w:hint="default" w:ascii="宋体" w:hAnsi="宋体"/>
          <w:sz w:val="28"/>
          <w:szCs w:val="28"/>
          <w:highlight w:val="none"/>
          <w:lang w:val="en-US" w:eastAsia="zh-CN"/>
        </w:rPr>
      </w:pPr>
    </w:p>
    <w:p>
      <w:pPr>
        <w:pStyle w:val="2"/>
        <w:rPr>
          <w:rFonts w:asciiTheme="minorEastAsia" w:hAnsiTheme="minorEastAsia" w:cstheme="minorEastAsia"/>
          <w:color w:val="333333"/>
          <w:kern w:val="0"/>
          <w:sz w:val="24"/>
          <w:szCs w:val="24"/>
          <w:highlight w:val="none"/>
        </w:rPr>
      </w:pPr>
    </w:p>
    <w:p>
      <w:pPr>
        <w:pStyle w:val="2"/>
        <w:rPr>
          <w:rFonts w:asciiTheme="minorEastAsia" w:hAnsiTheme="minorEastAsia" w:cstheme="minorEastAsia"/>
          <w:color w:val="333333"/>
          <w:kern w:val="0"/>
          <w:sz w:val="24"/>
          <w:szCs w:val="24"/>
          <w:highlight w:val="none"/>
        </w:rPr>
      </w:pPr>
    </w:p>
    <w:p>
      <w:pPr>
        <w:rPr>
          <w:rFonts w:hint="eastAsia" w:ascii="宋体" w:hAnsi="宋体"/>
          <w:b w:val="0"/>
          <w:sz w:val="36"/>
          <w:szCs w:val="36"/>
          <w:highlight w:val="none"/>
        </w:rPr>
      </w:pPr>
    </w:p>
    <w:sectPr>
      <w:footerReference r:id="rId10" w:type="default"/>
      <w:pgSz w:w="11906" w:h="16838"/>
      <w:pgMar w:top="1134" w:right="1134" w:bottom="1134" w:left="113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mc:Fallback>
      </mc:AlternateContent>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4FB0C3"/>
    <w:multiLevelType w:val="singleLevel"/>
    <w:tmpl w:val="FC4FB0C3"/>
    <w:lvl w:ilvl="0" w:tentative="0">
      <w:start w:val="1"/>
      <w:numFmt w:val="decimal"/>
      <w:suff w:val="space"/>
      <w:lvlText w:val="%1."/>
      <w:lvlJc w:val="left"/>
    </w:lvl>
  </w:abstractNum>
  <w:abstractNum w:abstractNumId="1">
    <w:nsid w:val="00000005"/>
    <w:multiLevelType w:val="multilevel"/>
    <w:tmpl w:val="00000005"/>
    <w:lvl w:ilvl="0" w:tentative="0">
      <w:start w:val="5"/>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00000008"/>
    <w:multiLevelType w:val="multilevel"/>
    <w:tmpl w:val="00000008"/>
    <w:lvl w:ilvl="0" w:tentative="0">
      <w:start w:val="1"/>
      <w:numFmt w:val="decimal"/>
      <w:suff w:val="nothing"/>
      <w:lvlText w:val="%1"/>
      <w:lvlJc w:val="left"/>
      <w:pPr>
        <w:ind w:left="-113" w:firstLine="113"/>
      </w:pPr>
      <w:rPr>
        <w:rFonts w:hint="default"/>
      </w:rPr>
    </w:lvl>
    <w:lvl w:ilvl="1" w:tentative="0">
      <w:start w:val="1"/>
      <w:numFmt w:val="lowerLetter"/>
      <w:lvlText w:val="%2)"/>
      <w:lvlJc w:val="left"/>
      <w:pPr>
        <w:ind w:left="2712" w:hanging="420"/>
      </w:pPr>
    </w:lvl>
    <w:lvl w:ilvl="2" w:tentative="0">
      <w:start w:val="1"/>
      <w:numFmt w:val="lowerRoman"/>
      <w:lvlText w:val="%3."/>
      <w:lvlJc w:val="right"/>
      <w:pPr>
        <w:ind w:left="3132" w:hanging="420"/>
      </w:pPr>
    </w:lvl>
    <w:lvl w:ilvl="3" w:tentative="0">
      <w:start w:val="1"/>
      <w:numFmt w:val="decimal"/>
      <w:lvlText w:val="%4."/>
      <w:lvlJc w:val="left"/>
      <w:pPr>
        <w:ind w:left="3552" w:hanging="420"/>
      </w:pPr>
    </w:lvl>
    <w:lvl w:ilvl="4" w:tentative="0">
      <w:start w:val="1"/>
      <w:numFmt w:val="lowerLetter"/>
      <w:lvlText w:val="%5)"/>
      <w:lvlJc w:val="left"/>
      <w:pPr>
        <w:ind w:left="3972" w:hanging="420"/>
      </w:pPr>
    </w:lvl>
    <w:lvl w:ilvl="5" w:tentative="0">
      <w:start w:val="1"/>
      <w:numFmt w:val="lowerRoman"/>
      <w:lvlText w:val="%6."/>
      <w:lvlJc w:val="right"/>
      <w:pPr>
        <w:ind w:left="4392" w:hanging="420"/>
      </w:pPr>
    </w:lvl>
    <w:lvl w:ilvl="6" w:tentative="0">
      <w:start w:val="1"/>
      <w:numFmt w:val="decimal"/>
      <w:lvlText w:val="%7."/>
      <w:lvlJc w:val="left"/>
      <w:pPr>
        <w:ind w:left="4812" w:hanging="420"/>
      </w:pPr>
    </w:lvl>
    <w:lvl w:ilvl="7" w:tentative="0">
      <w:start w:val="1"/>
      <w:numFmt w:val="lowerLetter"/>
      <w:lvlText w:val="%8)"/>
      <w:lvlJc w:val="left"/>
      <w:pPr>
        <w:ind w:left="5232" w:hanging="420"/>
      </w:pPr>
    </w:lvl>
    <w:lvl w:ilvl="8" w:tentative="0">
      <w:start w:val="1"/>
      <w:numFmt w:val="lowerRoman"/>
      <w:lvlText w:val="%9."/>
      <w:lvlJc w:val="right"/>
      <w:pPr>
        <w:ind w:left="5652" w:hanging="420"/>
      </w:pPr>
    </w:lvl>
  </w:abstractNum>
  <w:abstractNum w:abstractNumId="3">
    <w:nsid w:val="3758728A"/>
    <w:multiLevelType w:val="multilevel"/>
    <w:tmpl w:val="3758728A"/>
    <w:lvl w:ilvl="0" w:tentative="0">
      <w:start w:val="1"/>
      <w:numFmt w:val="decimal"/>
      <w:lvlText w:val="%1."/>
      <w:lvlJc w:val="left"/>
      <w:pPr>
        <w:tabs>
          <w:tab w:val="left" w:pos="900"/>
        </w:tabs>
        <w:ind w:left="900" w:hanging="360"/>
      </w:pPr>
      <w:rPr>
        <w:rFonts w:hint="eastAsia"/>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4">
    <w:nsid w:val="756A3E45"/>
    <w:multiLevelType w:val="multilevel"/>
    <w:tmpl w:val="756A3E45"/>
    <w:lvl w:ilvl="0" w:tentative="0">
      <w:start w:val="1"/>
      <w:numFmt w:val="decimal"/>
      <w:lvlText w:val="%1."/>
      <w:lvlJc w:val="left"/>
      <w:pPr>
        <w:tabs>
          <w:tab w:val="left" w:pos="920"/>
        </w:tabs>
        <w:ind w:left="920" w:hanging="360"/>
      </w:pPr>
      <w:rPr>
        <w:rFonts w:hint="eastAsia"/>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4E2"/>
    <w:rsid w:val="00013D76"/>
    <w:rsid w:val="00025BEC"/>
    <w:rsid w:val="00036FE0"/>
    <w:rsid w:val="00097815"/>
    <w:rsid w:val="001467CD"/>
    <w:rsid w:val="00181193"/>
    <w:rsid w:val="0023632A"/>
    <w:rsid w:val="002429E5"/>
    <w:rsid w:val="002448B3"/>
    <w:rsid w:val="00255B1A"/>
    <w:rsid w:val="002840C3"/>
    <w:rsid w:val="002847C0"/>
    <w:rsid w:val="002D3C1D"/>
    <w:rsid w:val="00325A03"/>
    <w:rsid w:val="00332EB9"/>
    <w:rsid w:val="00374769"/>
    <w:rsid w:val="003773F0"/>
    <w:rsid w:val="003C157E"/>
    <w:rsid w:val="003C662C"/>
    <w:rsid w:val="0040200B"/>
    <w:rsid w:val="00412383"/>
    <w:rsid w:val="004374E2"/>
    <w:rsid w:val="004450AB"/>
    <w:rsid w:val="00470D19"/>
    <w:rsid w:val="004B25BE"/>
    <w:rsid w:val="00511464"/>
    <w:rsid w:val="005F0808"/>
    <w:rsid w:val="00644EBE"/>
    <w:rsid w:val="006906EC"/>
    <w:rsid w:val="006C1669"/>
    <w:rsid w:val="006C5C57"/>
    <w:rsid w:val="006D0289"/>
    <w:rsid w:val="006E6AE4"/>
    <w:rsid w:val="00765F15"/>
    <w:rsid w:val="00771D8A"/>
    <w:rsid w:val="007728EF"/>
    <w:rsid w:val="007C6BE7"/>
    <w:rsid w:val="0080554B"/>
    <w:rsid w:val="00816F72"/>
    <w:rsid w:val="00836F65"/>
    <w:rsid w:val="0084347A"/>
    <w:rsid w:val="00872258"/>
    <w:rsid w:val="008A07C9"/>
    <w:rsid w:val="008F5AE2"/>
    <w:rsid w:val="0093251F"/>
    <w:rsid w:val="0097315F"/>
    <w:rsid w:val="009B5A71"/>
    <w:rsid w:val="00A128C9"/>
    <w:rsid w:val="00A370AA"/>
    <w:rsid w:val="00A5582F"/>
    <w:rsid w:val="00A617C9"/>
    <w:rsid w:val="00AD3611"/>
    <w:rsid w:val="00B407A4"/>
    <w:rsid w:val="00B47675"/>
    <w:rsid w:val="00B618DF"/>
    <w:rsid w:val="00B62DD3"/>
    <w:rsid w:val="00BB2B31"/>
    <w:rsid w:val="00BD11FA"/>
    <w:rsid w:val="00BD6571"/>
    <w:rsid w:val="00C006AB"/>
    <w:rsid w:val="00C26BC1"/>
    <w:rsid w:val="00C615EF"/>
    <w:rsid w:val="00C6338E"/>
    <w:rsid w:val="00CA5B2C"/>
    <w:rsid w:val="00CB33EE"/>
    <w:rsid w:val="00CB78B2"/>
    <w:rsid w:val="00CE655D"/>
    <w:rsid w:val="00D31583"/>
    <w:rsid w:val="00D81202"/>
    <w:rsid w:val="00D93CDF"/>
    <w:rsid w:val="00DE45C0"/>
    <w:rsid w:val="00E057FB"/>
    <w:rsid w:val="00E32FA1"/>
    <w:rsid w:val="00E34A84"/>
    <w:rsid w:val="00E40EBD"/>
    <w:rsid w:val="00EA4005"/>
    <w:rsid w:val="00F12529"/>
    <w:rsid w:val="00F54B4B"/>
    <w:rsid w:val="00F7362A"/>
    <w:rsid w:val="00F976A8"/>
    <w:rsid w:val="010069CA"/>
    <w:rsid w:val="01060CCF"/>
    <w:rsid w:val="012F63DA"/>
    <w:rsid w:val="01690F31"/>
    <w:rsid w:val="01DC6802"/>
    <w:rsid w:val="01F8565E"/>
    <w:rsid w:val="021550C3"/>
    <w:rsid w:val="02675529"/>
    <w:rsid w:val="02A87009"/>
    <w:rsid w:val="02AB2ADA"/>
    <w:rsid w:val="02AE6B7F"/>
    <w:rsid w:val="02F74AE1"/>
    <w:rsid w:val="03A52562"/>
    <w:rsid w:val="03B149D1"/>
    <w:rsid w:val="03C8694E"/>
    <w:rsid w:val="03DF40AF"/>
    <w:rsid w:val="043C59C6"/>
    <w:rsid w:val="046D457B"/>
    <w:rsid w:val="048F16DB"/>
    <w:rsid w:val="04A77446"/>
    <w:rsid w:val="04AF35B2"/>
    <w:rsid w:val="04C375D3"/>
    <w:rsid w:val="04CF17D3"/>
    <w:rsid w:val="04EC44B8"/>
    <w:rsid w:val="04FF31FF"/>
    <w:rsid w:val="05032DF8"/>
    <w:rsid w:val="052A2FA1"/>
    <w:rsid w:val="05AF1F15"/>
    <w:rsid w:val="05CD5907"/>
    <w:rsid w:val="05EA048D"/>
    <w:rsid w:val="06325172"/>
    <w:rsid w:val="06743B17"/>
    <w:rsid w:val="06A10BDF"/>
    <w:rsid w:val="072165D3"/>
    <w:rsid w:val="074D1DA8"/>
    <w:rsid w:val="07976797"/>
    <w:rsid w:val="08032551"/>
    <w:rsid w:val="080650C9"/>
    <w:rsid w:val="08321AA7"/>
    <w:rsid w:val="08541D0A"/>
    <w:rsid w:val="08907864"/>
    <w:rsid w:val="08CE1C74"/>
    <w:rsid w:val="08E31BE1"/>
    <w:rsid w:val="08FF6A60"/>
    <w:rsid w:val="0A501B3E"/>
    <w:rsid w:val="0A687843"/>
    <w:rsid w:val="0AB90DA9"/>
    <w:rsid w:val="0AD54A3D"/>
    <w:rsid w:val="0B093EC9"/>
    <w:rsid w:val="0B2E51B8"/>
    <w:rsid w:val="0B566D68"/>
    <w:rsid w:val="0B616FAA"/>
    <w:rsid w:val="0B760867"/>
    <w:rsid w:val="0BD77AE8"/>
    <w:rsid w:val="0C1C3CF1"/>
    <w:rsid w:val="0C2E39AB"/>
    <w:rsid w:val="0C377125"/>
    <w:rsid w:val="0C4D4FEA"/>
    <w:rsid w:val="0C4F4EE1"/>
    <w:rsid w:val="0C5B6211"/>
    <w:rsid w:val="0CD06F89"/>
    <w:rsid w:val="0D2D0026"/>
    <w:rsid w:val="0DD33874"/>
    <w:rsid w:val="0DFF2F7C"/>
    <w:rsid w:val="0E340273"/>
    <w:rsid w:val="0E483E6F"/>
    <w:rsid w:val="0EE93C0D"/>
    <w:rsid w:val="0F5F3474"/>
    <w:rsid w:val="0F652C92"/>
    <w:rsid w:val="10282429"/>
    <w:rsid w:val="10A56723"/>
    <w:rsid w:val="10D165AB"/>
    <w:rsid w:val="10E176AA"/>
    <w:rsid w:val="11120E62"/>
    <w:rsid w:val="112A4718"/>
    <w:rsid w:val="1140441E"/>
    <w:rsid w:val="11474165"/>
    <w:rsid w:val="11681EE8"/>
    <w:rsid w:val="11BF3DF4"/>
    <w:rsid w:val="12051E34"/>
    <w:rsid w:val="12437146"/>
    <w:rsid w:val="1280278B"/>
    <w:rsid w:val="12A73E57"/>
    <w:rsid w:val="13FA15A8"/>
    <w:rsid w:val="141728E7"/>
    <w:rsid w:val="141B4B63"/>
    <w:rsid w:val="142E305D"/>
    <w:rsid w:val="143F6245"/>
    <w:rsid w:val="146432C7"/>
    <w:rsid w:val="15156282"/>
    <w:rsid w:val="151A5432"/>
    <w:rsid w:val="16566746"/>
    <w:rsid w:val="16AE6C5D"/>
    <w:rsid w:val="16BB5AAC"/>
    <w:rsid w:val="16C13F0B"/>
    <w:rsid w:val="17421F3C"/>
    <w:rsid w:val="174835E4"/>
    <w:rsid w:val="176C55AF"/>
    <w:rsid w:val="176D6781"/>
    <w:rsid w:val="178418DD"/>
    <w:rsid w:val="17B84EF1"/>
    <w:rsid w:val="180F6F92"/>
    <w:rsid w:val="1828155C"/>
    <w:rsid w:val="1862009B"/>
    <w:rsid w:val="186F7C7D"/>
    <w:rsid w:val="18B75A84"/>
    <w:rsid w:val="19072F5A"/>
    <w:rsid w:val="191F4FA0"/>
    <w:rsid w:val="1967788A"/>
    <w:rsid w:val="19796AC9"/>
    <w:rsid w:val="19972D94"/>
    <w:rsid w:val="19D13C15"/>
    <w:rsid w:val="19F24CAA"/>
    <w:rsid w:val="1A2B3D62"/>
    <w:rsid w:val="1A930667"/>
    <w:rsid w:val="1A95478D"/>
    <w:rsid w:val="1AA4289A"/>
    <w:rsid w:val="1AA9423C"/>
    <w:rsid w:val="1B151BA2"/>
    <w:rsid w:val="1B6915C3"/>
    <w:rsid w:val="1BE72523"/>
    <w:rsid w:val="1C547CA0"/>
    <w:rsid w:val="1C646FED"/>
    <w:rsid w:val="1C9F5070"/>
    <w:rsid w:val="1CAC1D2D"/>
    <w:rsid w:val="1CDE11D2"/>
    <w:rsid w:val="1D510B02"/>
    <w:rsid w:val="1D887E31"/>
    <w:rsid w:val="1DF6522A"/>
    <w:rsid w:val="1E621BB2"/>
    <w:rsid w:val="1F1814E4"/>
    <w:rsid w:val="1F5D3182"/>
    <w:rsid w:val="1FBB467C"/>
    <w:rsid w:val="1FC278F5"/>
    <w:rsid w:val="207B09BC"/>
    <w:rsid w:val="20853E13"/>
    <w:rsid w:val="214C15AF"/>
    <w:rsid w:val="22115985"/>
    <w:rsid w:val="2223110D"/>
    <w:rsid w:val="22B51CCF"/>
    <w:rsid w:val="22C35441"/>
    <w:rsid w:val="22C5293E"/>
    <w:rsid w:val="22F424A6"/>
    <w:rsid w:val="23117593"/>
    <w:rsid w:val="237A4A2D"/>
    <w:rsid w:val="23C23D22"/>
    <w:rsid w:val="23ED6ED0"/>
    <w:rsid w:val="25732C68"/>
    <w:rsid w:val="257817F4"/>
    <w:rsid w:val="25EF0DD5"/>
    <w:rsid w:val="25F42FB1"/>
    <w:rsid w:val="27301877"/>
    <w:rsid w:val="273144C4"/>
    <w:rsid w:val="273E4F1A"/>
    <w:rsid w:val="27640DA8"/>
    <w:rsid w:val="276A12DD"/>
    <w:rsid w:val="279B7AE4"/>
    <w:rsid w:val="27AA00AA"/>
    <w:rsid w:val="27B87921"/>
    <w:rsid w:val="27EE00B2"/>
    <w:rsid w:val="27F62FCE"/>
    <w:rsid w:val="28280A63"/>
    <w:rsid w:val="282D15B0"/>
    <w:rsid w:val="286079B6"/>
    <w:rsid w:val="293534B3"/>
    <w:rsid w:val="294E186E"/>
    <w:rsid w:val="299D0841"/>
    <w:rsid w:val="29A109F9"/>
    <w:rsid w:val="2B134FBA"/>
    <w:rsid w:val="2B174925"/>
    <w:rsid w:val="2B200287"/>
    <w:rsid w:val="2B4026D0"/>
    <w:rsid w:val="2C3110FC"/>
    <w:rsid w:val="2C7D0D98"/>
    <w:rsid w:val="2C88623B"/>
    <w:rsid w:val="2CB13E8A"/>
    <w:rsid w:val="2CD95184"/>
    <w:rsid w:val="2D2328CC"/>
    <w:rsid w:val="2D3D6D4A"/>
    <w:rsid w:val="2D6040C7"/>
    <w:rsid w:val="2DC52868"/>
    <w:rsid w:val="2DD27D8B"/>
    <w:rsid w:val="2DD34AB0"/>
    <w:rsid w:val="2E0363AD"/>
    <w:rsid w:val="2E9D3009"/>
    <w:rsid w:val="2EED7185"/>
    <w:rsid w:val="2F0C4726"/>
    <w:rsid w:val="2F1772A5"/>
    <w:rsid w:val="2F1C4655"/>
    <w:rsid w:val="2F3854BD"/>
    <w:rsid w:val="2F9D1E3A"/>
    <w:rsid w:val="2FF54852"/>
    <w:rsid w:val="2FF83705"/>
    <w:rsid w:val="30170205"/>
    <w:rsid w:val="3058256D"/>
    <w:rsid w:val="30A0459C"/>
    <w:rsid w:val="30C24D5E"/>
    <w:rsid w:val="3188039E"/>
    <w:rsid w:val="319A1F4F"/>
    <w:rsid w:val="323709A4"/>
    <w:rsid w:val="329E190C"/>
    <w:rsid w:val="32E75856"/>
    <w:rsid w:val="32EE05DC"/>
    <w:rsid w:val="33455673"/>
    <w:rsid w:val="33D34D48"/>
    <w:rsid w:val="34163BC5"/>
    <w:rsid w:val="34302A6E"/>
    <w:rsid w:val="346603B6"/>
    <w:rsid w:val="350C79CA"/>
    <w:rsid w:val="35C71F9D"/>
    <w:rsid w:val="35EA61FC"/>
    <w:rsid w:val="360D32CA"/>
    <w:rsid w:val="365743A2"/>
    <w:rsid w:val="365A62A3"/>
    <w:rsid w:val="367626E3"/>
    <w:rsid w:val="36EB4BF6"/>
    <w:rsid w:val="36EF0C5C"/>
    <w:rsid w:val="374E5586"/>
    <w:rsid w:val="37A86463"/>
    <w:rsid w:val="37E60790"/>
    <w:rsid w:val="382E5C5F"/>
    <w:rsid w:val="38D62D4F"/>
    <w:rsid w:val="38D7010D"/>
    <w:rsid w:val="391D0181"/>
    <w:rsid w:val="39876490"/>
    <w:rsid w:val="39F3664E"/>
    <w:rsid w:val="3A3E5652"/>
    <w:rsid w:val="3A487D63"/>
    <w:rsid w:val="3A704D44"/>
    <w:rsid w:val="3AED6EA9"/>
    <w:rsid w:val="3AEE264F"/>
    <w:rsid w:val="3AF20863"/>
    <w:rsid w:val="3B0C29CB"/>
    <w:rsid w:val="3B217BED"/>
    <w:rsid w:val="3BBA062A"/>
    <w:rsid w:val="3C0E5599"/>
    <w:rsid w:val="3C780F37"/>
    <w:rsid w:val="3C7A3AB2"/>
    <w:rsid w:val="3CC17CF4"/>
    <w:rsid w:val="3CD13F20"/>
    <w:rsid w:val="3CE33F19"/>
    <w:rsid w:val="3CF40559"/>
    <w:rsid w:val="3CFB35F2"/>
    <w:rsid w:val="3D243ABE"/>
    <w:rsid w:val="3D3B4E15"/>
    <w:rsid w:val="3D406EB5"/>
    <w:rsid w:val="3D5741F5"/>
    <w:rsid w:val="3D840CDE"/>
    <w:rsid w:val="3D8A60FB"/>
    <w:rsid w:val="3DD124E1"/>
    <w:rsid w:val="3DFB1818"/>
    <w:rsid w:val="3E900BB8"/>
    <w:rsid w:val="3F174678"/>
    <w:rsid w:val="3F1E2A3F"/>
    <w:rsid w:val="3F350BD5"/>
    <w:rsid w:val="3F3A6C61"/>
    <w:rsid w:val="3F604A94"/>
    <w:rsid w:val="3F6B212D"/>
    <w:rsid w:val="3F812A2A"/>
    <w:rsid w:val="3FE26DC7"/>
    <w:rsid w:val="40082D9C"/>
    <w:rsid w:val="404D7CA5"/>
    <w:rsid w:val="406D3823"/>
    <w:rsid w:val="40A40598"/>
    <w:rsid w:val="40D85973"/>
    <w:rsid w:val="415A4946"/>
    <w:rsid w:val="41692AD7"/>
    <w:rsid w:val="418A37E6"/>
    <w:rsid w:val="41E216FD"/>
    <w:rsid w:val="420A130F"/>
    <w:rsid w:val="43362324"/>
    <w:rsid w:val="438A6830"/>
    <w:rsid w:val="439D5E84"/>
    <w:rsid w:val="43B755EC"/>
    <w:rsid w:val="44244DEC"/>
    <w:rsid w:val="448C4DA6"/>
    <w:rsid w:val="44AC53BD"/>
    <w:rsid w:val="44C07498"/>
    <w:rsid w:val="44D06793"/>
    <w:rsid w:val="44F21C43"/>
    <w:rsid w:val="44FC397A"/>
    <w:rsid w:val="460E46BE"/>
    <w:rsid w:val="46234A16"/>
    <w:rsid w:val="46732584"/>
    <w:rsid w:val="469C2EA0"/>
    <w:rsid w:val="46F62E93"/>
    <w:rsid w:val="473E0839"/>
    <w:rsid w:val="475970DF"/>
    <w:rsid w:val="479E231D"/>
    <w:rsid w:val="47F3536E"/>
    <w:rsid w:val="48185E9A"/>
    <w:rsid w:val="481B3BFE"/>
    <w:rsid w:val="48440CE1"/>
    <w:rsid w:val="487F458A"/>
    <w:rsid w:val="48AC32D6"/>
    <w:rsid w:val="49187CCA"/>
    <w:rsid w:val="491A6920"/>
    <w:rsid w:val="494A09E4"/>
    <w:rsid w:val="4AA81C6E"/>
    <w:rsid w:val="4AC216DB"/>
    <w:rsid w:val="4AFC6A57"/>
    <w:rsid w:val="4B2D033C"/>
    <w:rsid w:val="4B445CC7"/>
    <w:rsid w:val="4B4A27E5"/>
    <w:rsid w:val="4B565961"/>
    <w:rsid w:val="4BE56702"/>
    <w:rsid w:val="4BEB4D80"/>
    <w:rsid w:val="4C187748"/>
    <w:rsid w:val="4C3D4A29"/>
    <w:rsid w:val="4C457CD1"/>
    <w:rsid w:val="4C7D6F0E"/>
    <w:rsid w:val="4D3D08C4"/>
    <w:rsid w:val="4D523E1A"/>
    <w:rsid w:val="4D5649EC"/>
    <w:rsid w:val="4D780862"/>
    <w:rsid w:val="4D8308FE"/>
    <w:rsid w:val="4D9A4515"/>
    <w:rsid w:val="4DDB574E"/>
    <w:rsid w:val="4DED06D0"/>
    <w:rsid w:val="4DF95F0B"/>
    <w:rsid w:val="4E5C00CD"/>
    <w:rsid w:val="4E8C5564"/>
    <w:rsid w:val="4EBE4AE9"/>
    <w:rsid w:val="4EE53AF9"/>
    <w:rsid w:val="4EEA7E84"/>
    <w:rsid w:val="4F2817DA"/>
    <w:rsid w:val="4F305EDD"/>
    <w:rsid w:val="4F4E3B56"/>
    <w:rsid w:val="4FB6099A"/>
    <w:rsid w:val="4FB85B46"/>
    <w:rsid w:val="50406C00"/>
    <w:rsid w:val="504964AC"/>
    <w:rsid w:val="507A12FC"/>
    <w:rsid w:val="50EB5D74"/>
    <w:rsid w:val="50ED48C3"/>
    <w:rsid w:val="50F16FAE"/>
    <w:rsid w:val="50FE0642"/>
    <w:rsid w:val="511C01A1"/>
    <w:rsid w:val="51743254"/>
    <w:rsid w:val="51C33454"/>
    <w:rsid w:val="51C9584F"/>
    <w:rsid w:val="51E70745"/>
    <w:rsid w:val="51EE51B6"/>
    <w:rsid w:val="51FF7751"/>
    <w:rsid w:val="525A419A"/>
    <w:rsid w:val="526D24ED"/>
    <w:rsid w:val="52730C7A"/>
    <w:rsid w:val="52F65607"/>
    <w:rsid w:val="53E20344"/>
    <w:rsid w:val="5445537E"/>
    <w:rsid w:val="54461222"/>
    <w:rsid w:val="546074D3"/>
    <w:rsid w:val="548C4119"/>
    <w:rsid w:val="54945C84"/>
    <w:rsid w:val="5496405C"/>
    <w:rsid w:val="54A747BD"/>
    <w:rsid w:val="554646D3"/>
    <w:rsid w:val="556C6652"/>
    <w:rsid w:val="55A73A98"/>
    <w:rsid w:val="55D401ED"/>
    <w:rsid w:val="55E02C68"/>
    <w:rsid w:val="560E2C7B"/>
    <w:rsid w:val="5622072D"/>
    <w:rsid w:val="562C5CD4"/>
    <w:rsid w:val="563A4041"/>
    <w:rsid w:val="56491E4C"/>
    <w:rsid w:val="56B16CAD"/>
    <w:rsid w:val="57177B9E"/>
    <w:rsid w:val="57362697"/>
    <w:rsid w:val="575C77C2"/>
    <w:rsid w:val="578F49A6"/>
    <w:rsid w:val="579B2A23"/>
    <w:rsid w:val="57F93337"/>
    <w:rsid w:val="57FA5DA0"/>
    <w:rsid w:val="588C0AAA"/>
    <w:rsid w:val="58C90C1C"/>
    <w:rsid w:val="59094334"/>
    <w:rsid w:val="59177CFD"/>
    <w:rsid w:val="597F5D18"/>
    <w:rsid w:val="59D71DBA"/>
    <w:rsid w:val="5A0474B1"/>
    <w:rsid w:val="5A0C1C17"/>
    <w:rsid w:val="5A21599A"/>
    <w:rsid w:val="5ACB4A89"/>
    <w:rsid w:val="5B483EE1"/>
    <w:rsid w:val="5B53554E"/>
    <w:rsid w:val="5B690A52"/>
    <w:rsid w:val="5B70167B"/>
    <w:rsid w:val="5BF7026F"/>
    <w:rsid w:val="5C0E0CA4"/>
    <w:rsid w:val="5C450D49"/>
    <w:rsid w:val="5C486901"/>
    <w:rsid w:val="5C7A1BCF"/>
    <w:rsid w:val="5C9A2C69"/>
    <w:rsid w:val="5CFA6D99"/>
    <w:rsid w:val="5D2041E0"/>
    <w:rsid w:val="5DC32084"/>
    <w:rsid w:val="5DDF4962"/>
    <w:rsid w:val="5E28014D"/>
    <w:rsid w:val="5E3C3380"/>
    <w:rsid w:val="5E4F6A0C"/>
    <w:rsid w:val="5E63426B"/>
    <w:rsid w:val="5EA77E7C"/>
    <w:rsid w:val="5EAD37BD"/>
    <w:rsid w:val="5EB76BB1"/>
    <w:rsid w:val="5F1D6C44"/>
    <w:rsid w:val="5F424157"/>
    <w:rsid w:val="5F71285D"/>
    <w:rsid w:val="5F7E471E"/>
    <w:rsid w:val="5F8909AE"/>
    <w:rsid w:val="5F8B52D7"/>
    <w:rsid w:val="5FA669F5"/>
    <w:rsid w:val="5FFD1647"/>
    <w:rsid w:val="60332D39"/>
    <w:rsid w:val="60356FB9"/>
    <w:rsid w:val="603E42E0"/>
    <w:rsid w:val="60623C0A"/>
    <w:rsid w:val="60AD1391"/>
    <w:rsid w:val="60C02B36"/>
    <w:rsid w:val="60CB6081"/>
    <w:rsid w:val="613005D7"/>
    <w:rsid w:val="615D1488"/>
    <w:rsid w:val="61700F9B"/>
    <w:rsid w:val="61D40139"/>
    <w:rsid w:val="61FE1860"/>
    <w:rsid w:val="621A03F4"/>
    <w:rsid w:val="625B411B"/>
    <w:rsid w:val="627B22B5"/>
    <w:rsid w:val="62BD0F1A"/>
    <w:rsid w:val="62BD2F5C"/>
    <w:rsid w:val="62DA2CBE"/>
    <w:rsid w:val="633E73C6"/>
    <w:rsid w:val="63C53D62"/>
    <w:rsid w:val="64290DB8"/>
    <w:rsid w:val="6430098F"/>
    <w:rsid w:val="653D241E"/>
    <w:rsid w:val="65A01912"/>
    <w:rsid w:val="65C0066A"/>
    <w:rsid w:val="66453963"/>
    <w:rsid w:val="66505F9C"/>
    <w:rsid w:val="66984E4B"/>
    <w:rsid w:val="66997E4B"/>
    <w:rsid w:val="66DF384C"/>
    <w:rsid w:val="67241136"/>
    <w:rsid w:val="67C72B14"/>
    <w:rsid w:val="67F03AF5"/>
    <w:rsid w:val="682407ED"/>
    <w:rsid w:val="689C1962"/>
    <w:rsid w:val="68D9202F"/>
    <w:rsid w:val="694F554F"/>
    <w:rsid w:val="695345F2"/>
    <w:rsid w:val="697600C8"/>
    <w:rsid w:val="69913213"/>
    <w:rsid w:val="69CE51A0"/>
    <w:rsid w:val="6A5035A6"/>
    <w:rsid w:val="6A882BA0"/>
    <w:rsid w:val="6AF60D17"/>
    <w:rsid w:val="6B180F27"/>
    <w:rsid w:val="6B2E67B8"/>
    <w:rsid w:val="6B887C67"/>
    <w:rsid w:val="6BA078F3"/>
    <w:rsid w:val="6BAB6DAC"/>
    <w:rsid w:val="6BBA40CD"/>
    <w:rsid w:val="6BE31C14"/>
    <w:rsid w:val="6C177C5E"/>
    <w:rsid w:val="6C2E0119"/>
    <w:rsid w:val="6C914DFA"/>
    <w:rsid w:val="6CC164FA"/>
    <w:rsid w:val="6CD95574"/>
    <w:rsid w:val="6CEA50D6"/>
    <w:rsid w:val="6D2C4DCA"/>
    <w:rsid w:val="6D8141AA"/>
    <w:rsid w:val="6D9728B1"/>
    <w:rsid w:val="6DB414FB"/>
    <w:rsid w:val="6DDC54CC"/>
    <w:rsid w:val="6DE8163A"/>
    <w:rsid w:val="6EF71E5D"/>
    <w:rsid w:val="6F0E37FA"/>
    <w:rsid w:val="6F3F257D"/>
    <w:rsid w:val="6F443B7B"/>
    <w:rsid w:val="6FD4616F"/>
    <w:rsid w:val="6FDC11A5"/>
    <w:rsid w:val="703871D9"/>
    <w:rsid w:val="70471464"/>
    <w:rsid w:val="70534E11"/>
    <w:rsid w:val="70F759DA"/>
    <w:rsid w:val="70FC0717"/>
    <w:rsid w:val="71004222"/>
    <w:rsid w:val="71551318"/>
    <w:rsid w:val="71B50265"/>
    <w:rsid w:val="71BC1298"/>
    <w:rsid w:val="71C57C34"/>
    <w:rsid w:val="71CC0004"/>
    <w:rsid w:val="72284547"/>
    <w:rsid w:val="727E3E26"/>
    <w:rsid w:val="72B129C4"/>
    <w:rsid w:val="730C4210"/>
    <w:rsid w:val="730D39A7"/>
    <w:rsid w:val="737120D1"/>
    <w:rsid w:val="739517B2"/>
    <w:rsid w:val="742F298E"/>
    <w:rsid w:val="74413FD1"/>
    <w:rsid w:val="74872AFE"/>
    <w:rsid w:val="74CE15B6"/>
    <w:rsid w:val="74E2070F"/>
    <w:rsid w:val="74E30F61"/>
    <w:rsid w:val="74F475B7"/>
    <w:rsid w:val="756069B9"/>
    <w:rsid w:val="759F5FC6"/>
    <w:rsid w:val="75A86F75"/>
    <w:rsid w:val="75E84DEC"/>
    <w:rsid w:val="760945C5"/>
    <w:rsid w:val="76295EF4"/>
    <w:rsid w:val="76755C1B"/>
    <w:rsid w:val="77271253"/>
    <w:rsid w:val="77A8186A"/>
    <w:rsid w:val="77AE50AC"/>
    <w:rsid w:val="77CF03B0"/>
    <w:rsid w:val="77FD5B30"/>
    <w:rsid w:val="785066B3"/>
    <w:rsid w:val="78AE7164"/>
    <w:rsid w:val="78D151F6"/>
    <w:rsid w:val="78E3087C"/>
    <w:rsid w:val="78EB35FC"/>
    <w:rsid w:val="78F20812"/>
    <w:rsid w:val="78FA744A"/>
    <w:rsid w:val="795F5FD1"/>
    <w:rsid w:val="796D0055"/>
    <w:rsid w:val="796F5412"/>
    <w:rsid w:val="79C12388"/>
    <w:rsid w:val="79E84E4B"/>
    <w:rsid w:val="7A0C6AD3"/>
    <w:rsid w:val="7A1D3F6C"/>
    <w:rsid w:val="7A6A03D6"/>
    <w:rsid w:val="7A8126D6"/>
    <w:rsid w:val="7AAC553A"/>
    <w:rsid w:val="7ADE3C32"/>
    <w:rsid w:val="7AE76BEC"/>
    <w:rsid w:val="7B13506B"/>
    <w:rsid w:val="7BD41C9B"/>
    <w:rsid w:val="7C223340"/>
    <w:rsid w:val="7C433701"/>
    <w:rsid w:val="7C53349A"/>
    <w:rsid w:val="7C71066C"/>
    <w:rsid w:val="7C76266D"/>
    <w:rsid w:val="7C9328CE"/>
    <w:rsid w:val="7D772445"/>
    <w:rsid w:val="7D9F64ED"/>
    <w:rsid w:val="7DF92890"/>
    <w:rsid w:val="7E19141A"/>
    <w:rsid w:val="7E3F744C"/>
    <w:rsid w:val="7EA72FE0"/>
    <w:rsid w:val="7EB460C8"/>
    <w:rsid w:val="7EBA4ED1"/>
    <w:rsid w:val="7EC87EB7"/>
    <w:rsid w:val="7EDA52C4"/>
    <w:rsid w:val="7F4E4C52"/>
    <w:rsid w:val="7FB142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qFormat="1" w:uiPriority="99"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6"/>
    <w:qFormat/>
    <w:uiPriority w:val="9"/>
    <w:pPr>
      <w:keepNext/>
      <w:keepLines/>
      <w:jc w:val="left"/>
      <w:outlineLvl w:val="0"/>
    </w:pPr>
    <w:rPr>
      <w:bCs/>
      <w:kern w:val="44"/>
      <w:sz w:val="36"/>
      <w:szCs w:val="44"/>
    </w:rPr>
  </w:style>
  <w:style w:type="paragraph" w:styleId="4">
    <w:name w:val="heading 2"/>
    <w:basedOn w:val="1"/>
    <w:next w:val="1"/>
    <w:qFormat/>
    <w:uiPriority w:val="0"/>
    <w:pPr>
      <w:keepNext/>
      <w:keepLines/>
      <w:widowControl/>
      <w:spacing w:before="260" w:after="260" w:line="416" w:lineRule="auto"/>
      <w:jc w:val="left"/>
      <w:outlineLvl w:val="1"/>
    </w:pPr>
    <w:rPr>
      <w:rFonts w:ascii="Arial" w:hAnsi="Arial" w:eastAsia="黑体"/>
      <w:b/>
      <w:bCs/>
      <w:kern w:val="0"/>
      <w:sz w:val="32"/>
      <w:szCs w:val="32"/>
    </w:rPr>
  </w:style>
  <w:style w:type="paragraph" w:styleId="5">
    <w:name w:val="heading 3"/>
    <w:basedOn w:val="1"/>
    <w:next w:val="1"/>
    <w:link w:val="27"/>
    <w:unhideWhenUsed/>
    <w:qFormat/>
    <w:uiPriority w:val="9"/>
    <w:pPr>
      <w:keepNext/>
      <w:keepLines/>
      <w:jc w:val="left"/>
      <w:outlineLvl w:val="2"/>
    </w:pPr>
    <w:rPr>
      <w:bCs/>
      <w:sz w:val="32"/>
      <w:szCs w:val="32"/>
    </w:rPr>
  </w:style>
  <w:style w:type="paragraph" w:styleId="6">
    <w:name w:val="heading 4"/>
    <w:basedOn w:val="1"/>
    <w:next w:val="1"/>
    <w:link w:val="28"/>
    <w:unhideWhenUsed/>
    <w:qFormat/>
    <w:uiPriority w:val="9"/>
    <w:pPr>
      <w:keepNext/>
      <w:keepLines/>
      <w:jc w:val="left"/>
      <w:outlineLvl w:val="3"/>
    </w:pPr>
    <w:rPr>
      <w:rFonts w:asciiTheme="majorHAnsi" w:hAnsiTheme="majorHAnsi" w:eastAsiaTheme="majorEastAsia" w:cstheme="majorBidi"/>
      <w:b/>
      <w:bCs/>
      <w:sz w:val="24"/>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7">
    <w:name w:val="Normal Indent"/>
    <w:basedOn w:val="1"/>
    <w:unhideWhenUsed/>
    <w:qFormat/>
    <w:uiPriority w:val="99"/>
    <w:pPr>
      <w:adjustRightInd w:val="0"/>
      <w:spacing w:line="360" w:lineRule="atLeast"/>
      <w:ind w:firstLine="482"/>
      <w:jc w:val="left"/>
      <w:textAlignment w:val="baseline"/>
    </w:pPr>
    <w:rPr>
      <w:rFonts w:ascii="Times New Roman" w:hAnsi="Times New Roman" w:eastAsia="宋体" w:cs="Times New Roman"/>
      <w:kern w:val="0"/>
      <w:sz w:val="24"/>
      <w:szCs w:val="20"/>
    </w:rPr>
  </w:style>
  <w:style w:type="paragraph" w:styleId="8">
    <w:name w:val="annotation text"/>
    <w:basedOn w:val="1"/>
    <w:link w:val="39"/>
    <w:semiHidden/>
    <w:unhideWhenUsed/>
    <w:qFormat/>
    <w:uiPriority w:val="99"/>
    <w:pPr>
      <w:jc w:val="left"/>
    </w:pPr>
  </w:style>
  <w:style w:type="paragraph" w:styleId="9">
    <w:name w:val="Body Text"/>
    <w:basedOn w:val="1"/>
    <w:qFormat/>
    <w:uiPriority w:val="99"/>
    <w:rPr>
      <w:sz w:val="28"/>
      <w:szCs w:val="28"/>
    </w:rPr>
  </w:style>
  <w:style w:type="paragraph" w:styleId="10">
    <w:name w:val="Body Text Indent"/>
    <w:basedOn w:val="1"/>
    <w:qFormat/>
    <w:uiPriority w:val="99"/>
    <w:pPr>
      <w:ind w:firstLine="560" w:firstLineChars="200"/>
    </w:pPr>
    <w:rPr>
      <w:rFonts w:eastAsia="仿宋_GB2312"/>
      <w:sz w:val="28"/>
      <w:szCs w:val="28"/>
    </w:rPr>
  </w:style>
  <w:style w:type="paragraph" w:styleId="11">
    <w:name w:val="Plain Text"/>
    <w:basedOn w:val="1"/>
    <w:qFormat/>
    <w:uiPriority w:val="0"/>
    <w:rPr>
      <w:rFonts w:ascii="宋体" w:hAnsi="Courier New" w:eastAsia="Times New Roman"/>
      <w:szCs w:val="20"/>
    </w:rPr>
  </w:style>
  <w:style w:type="paragraph" w:styleId="12">
    <w:name w:val="Balloon Text"/>
    <w:basedOn w:val="1"/>
    <w:link w:val="31"/>
    <w:semiHidden/>
    <w:unhideWhenUsed/>
    <w:qFormat/>
    <w:uiPriority w:val="99"/>
    <w:rPr>
      <w:sz w:val="18"/>
      <w:szCs w:val="18"/>
    </w:rPr>
  </w:style>
  <w:style w:type="paragraph" w:styleId="13">
    <w:name w:val="footer"/>
    <w:basedOn w:val="1"/>
    <w:link w:val="30"/>
    <w:unhideWhenUsed/>
    <w:qFormat/>
    <w:uiPriority w:val="99"/>
    <w:pPr>
      <w:tabs>
        <w:tab w:val="center" w:pos="4153"/>
        <w:tab w:val="right" w:pos="8306"/>
      </w:tabs>
      <w:snapToGrid w:val="0"/>
      <w:jc w:val="left"/>
    </w:pPr>
    <w:rPr>
      <w:sz w:val="18"/>
      <w:szCs w:val="18"/>
    </w:rPr>
  </w:style>
  <w:style w:type="paragraph" w:styleId="14">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index heading"/>
    <w:basedOn w:val="1"/>
    <w:next w:val="16"/>
    <w:unhideWhenUsed/>
    <w:qFormat/>
    <w:uiPriority w:val="99"/>
    <w:rPr>
      <w:rFonts w:eastAsia="宋体"/>
      <w:szCs w:val="24"/>
    </w:rPr>
  </w:style>
  <w:style w:type="paragraph" w:styleId="16">
    <w:name w:val="index 1"/>
    <w:basedOn w:val="1"/>
    <w:next w:val="1"/>
    <w:qFormat/>
    <w:uiPriority w:val="0"/>
  </w:style>
  <w:style w:type="paragraph" w:styleId="17">
    <w:name w:val="Body Text Indent 3"/>
    <w:basedOn w:val="1"/>
    <w:qFormat/>
    <w:uiPriority w:val="0"/>
    <w:pPr>
      <w:spacing w:after="120"/>
      <w:ind w:left="420" w:leftChars="200"/>
    </w:pPr>
    <w:rPr>
      <w:rFonts w:ascii="Calibri" w:hAnsi="Calibri"/>
      <w:sz w:val="16"/>
      <w:szCs w:val="16"/>
    </w:rPr>
  </w:style>
  <w:style w:type="paragraph" w:styleId="18">
    <w:name w:val="annotation subject"/>
    <w:basedOn w:val="8"/>
    <w:next w:val="8"/>
    <w:link w:val="40"/>
    <w:semiHidden/>
    <w:unhideWhenUsed/>
    <w:qFormat/>
    <w:uiPriority w:val="99"/>
    <w:rPr>
      <w:b/>
      <w:bCs/>
    </w:rPr>
  </w:style>
  <w:style w:type="table" w:styleId="20">
    <w:name w:val="Table Grid"/>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FollowedHyperlink"/>
    <w:basedOn w:val="21"/>
    <w:semiHidden/>
    <w:unhideWhenUsed/>
    <w:qFormat/>
    <w:uiPriority w:val="99"/>
    <w:rPr>
      <w:color w:val="000000"/>
      <w:u w:val="none"/>
    </w:rPr>
  </w:style>
  <w:style w:type="character" w:styleId="23">
    <w:name w:val="Hyperlink"/>
    <w:basedOn w:val="21"/>
    <w:semiHidden/>
    <w:unhideWhenUsed/>
    <w:qFormat/>
    <w:uiPriority w:val="99"/>
    <w:rPr>
      <w:color w:val="000000"/>
      <w:u w:val="none"/>
    </w:rPr>
  </w:style>
  <w:style w:type="character" w:styleId="24">
    <w:name w:val="annotation reference"/>
    <w:basedOn w:val="21"/>
    <w:semiHidden/>
    <w:unhideWhenUsed/>
    <w:qFormat/>
    <w:uiPriority w:val="99"/>
    <w:rPr>
      <w:sz w:val="21"/>
      <w:szCs w:val="21"/>
    </w:rPr>
  </w:style>
  <w:style w:type="paragraph" w:customStyle="1" w:styleId="2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6">
    <w:name w:val="标题 1 字符"/>
    <w:basedOn w:val="21"/>
    <w:link w:val="3"/>
    <w:qFormat/>
    <w:uiPriority w:val="9"/>
    <w:rPr>
      <w:bCs/>
      <w:kern w:val="44"/>
      <w:sz w:val="36"/>
      <w:szCs w:val="44"/>
    </w:rPr>
  </w:style>
  <w:style w:type="character" w:customStyle="1" w:styleId="27">
    <w:name w:val="标题 3 字符"/>
    <w:basedOn w:val="21"/>
    <w:link w:val="5"/>
    <w:qFormat/>
    <w:uiPriority w:val="9"/>
    <w:rPr>
      <w:bCs/>
      <w:sz w:val="32"/>
      <w:szCs w:val="32"/>
    </w:rPr>
  </w:style>
  <w:style w:type="character" w:customStyle="1" w:styleId="28">
    <w:name w:val="标题 4 字符"/>
    <w:basedOn w:val="21"/>
    <w:link w:val="6"/>
    <w:qFormat/>
    <w:uiPriority w:val="9"/>
    <w:rPr>
      <w:rFonts w:asciiTheme="majorHAnsi" w:hAnsiTheme="majorHAnsi" w:eastAsiaTheme="majorEastAsia" w:cstheme="majorBidi"/>
      <w:b/>
      <w:bCs/>
      <w:sz w:val="24"/>
      <w:szCs w:val="28"/>
    </w:rPr>
  </w:style>
  <w:style w:type="character" w:customStyle="1" w:styleId="29">
    <w:name w:val="页眉 字符"/>
    <w:basedOn w:val="21"/>
    <w:link w:val="14"/>
    <w:qFormat/>
    <w:uiPriority w:val="99"/>
    <w:rPr>
      <w:sz w:val="18"/>
      <w:szCs w:val="18"/>
    </w:rPr>
  </w:style>
  <w:style w:type="character" w:customStyle="1" w:styleId="30">
    <w:name w:val="页脚 字符"/>
    <w:basedOn w:val="21"/>
    <w:link w:val="13"/>
    <w:qFormat/>
    <w:uiPriority w:val="99"/>
    <w:rPr>
      <w:sz w:val="18"/>
      <w:szCs w:val="18"/>
    </w:rPr>
  </w:style>
  <w:style w:type="character" w:customStyle="1" w:styleId="31">
    <w:name w:val="批注框文本 字符"/>
    <w:basedOn w:val="21"/>
    <w:link w:val="12"/>
    <w:semiHidden/>
    <w:qFormat/>
    <w:uiPriority w:val="99"/>
    <w:rPr>
      <w:sz w:val="18"/>
      <w:szCs w:val="18"/>
    </w:rPr>
  </w:style>
  <w:style w:type="character" w:customStyle="1" w:styleId="32">
    <w:name w:val="times"/>
    <w:basedOn w:val="21"/>
    <w:qFormat/>
    <w:uiPriority w:val="0"/>
    <w:rPr>
      <w:color w:val="CDCDCD"/>
      <w:bdr w:val="single" w:color="CDCDCD" w:sz="6" w:space="0"/>
      <w:shd w:val="clear" w:color="auto" w:fill="EFEFEF"/>
    </w:rPr>
  </w:style>
  <w:style w:type="character" w:customStyle="1" w:styleId="33">
    <w:name w:val="times1"/>
    <w:basedOn w:val="21"/>
    <w:qFormat/>
    <w:uiPriority w:val="0"/>
    <w:rPr>
      <w:color w:val="3399FF"/>
      <w:bdr w:val="single" w:color="D1EDF8" w:sz="6" w:space="0"/>
      <w:shd w:val="clear" w:color="auto" w:fill="EAF9FF"/>
    </w:rPr>
  </w:style>
  <w:style w:type="character" w:customStyle="1" w:styleId="34">
    <w:name w:val="hover42"/>
    <w:basedOn w:val="21"/>
    <w:qFormat/>
    <w:uiPriority w:val="0"/>
  </w:style>
  <w:style w:type="paragraph" w:customStyle="1" w:styleId="35">
    <w:name w:val="文一"/>
    <w:basedOn w:val="1"/>
    <w:qFormat/>
    <w:uiPriority w:val="0"/>
    <w:pPr>
      <w:topLinePunct/>
      <w:adjustRightInd w:val="0"/>
      <w:snapToGrid w:val="0"/>
      <w:spacing w:line="360" w:lineRule="auto"/>
      <w:ind w:firstLine="200" w:firstLineChars="200"/>
    </w:pPr>
    <w:rPr>
      <w:rFonts w:eastAsia="宋体"/>
      <w:snapToGrid w:val="0"/>
      <w:spacing w:val="4"/>
      <w:kern w:val="0"/>
      <w:sz w:val="24"/>
      <w:szCs w:val="24"/>
    </w:rPr>
  </w:style>
  <w:style w:type="paragraph" w:styleId="36">
    <w:name w:val="List Paragraph"/>
    <w:basedOn w:val="1"/>
    <w:qFormat/>
    <w:uiPriority w:val="34"/>
    <w:pPr>
      <w:ind w:firstLine="420" w:firstLineChars="200"/>
    </w:pPr>
  </w:style>
  <w:style w:type="paragraph" w:styleId="37">
    <w:name w:val="No Spacing"/>
    <w:qFormat/>
    <w:uiPriority w:val="1"/>
    <w:rPr>
      <w:rFonts w:ascii="Calibri" w:hAnsi="Calibri" w:eastAsia="宋体" w:cs="Times New Roman"/>
      <w:sz w:val="22"/>
      <w:lang w:val="en-US" w:eastAsia="zh-CN" w:bidi="ar-SA"/>
    </w:rPr>
  </w:style>
  <w:style w:type="paragraph" w:customStyle="1" w:styleId="38">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9">
    <w:name w:val="批注文字 字符"/>
    <w:basedOn w:val="21"/>
    <w:link w:val="8"/>
    <w:semiHidden/>
    <w:qFormat/>
    <w:uiPriority w:val="99"/>
    <w:rPr>
      <w:rFonts w:asciiTheme="minorHAnsi" w:hAnsiTheme="minorHAnsi" w:eastAsiaTheme="minorEastAsia" w:cstheme="minorBidi"/>
      <w:kern w:val="2"/>
      <w:sz w:val="21"/>
      <w:szCs w:val="22"/>
    </w:rPr>
  </w:style>
  <w:style w:type="character" w:customStyle="1" w:styleId="40">
    <w:name w:val="批注主题 字符"/>
    <w:basedOn w:val="39"/>
    <w:link w:val="18"/>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GIBS</Company>
  <Pages>21</Pages>
  <Words>1647</Words>
  <Characters>9392</Characters>
  <Lines>78</Lines>
  <Paragraphs>22</Paragraphs>
  <TotalTime>7</TotalTime>
  <ScaleCrop>false</ScaleCrop>
  <LinksUpToDate>false</LinksUpToDate>
  <CharactersWithSpaces>11017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2020-03-31T02:38:00Z</dcterms:created>
  <dc:creator>Administrator.POY6TLQ70PMNFOG</dc:creator>
  <cp:lastModifiedBy>Lenovo</cp:lastModifiedBy>
  <cp:lastPrinted>2021-05-14T04:09:00Z</cp:lastPrinted>
  <dcterms:modified xsi:type="dcterms:W3CDTF">2022-02-22T09:01:31Z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216427253BED40C7A1BE5D94B8B293AA</vt:lpwstr>
  </property>
</Properties>
</file>