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b/>
          <w:bCs/>
          <w:color w:val="auto"/>
          <w:sz w:val="44"/>
          <w:szCs w:val="44"/>
          <w:highlight w:val="none"/>
          <w:u w:val="single"/>
          <w:lang w:eastAsia="zh-CN"/>
        </w:rPr>
      </w:pPr>
    </w:p>
    <w:p>
      <w:pPr>
        <w:jc w:val="center"/>
        <w:rPr>
          <w:rFonts w:asciiTheme="minorEastAsia" w:hAnsiTheme="minorEastAsia" w:cstheme="minorEastAsia"/>
          <w:b/>
          <w:bCs/>
          <w:color w:val="auto"/>
          <w:sz w:val="32"/>
          <w:szCs w:val="32"/>
          <w:highlight w:val="none"/>
          <w:u w:val="single"/>
        </w:rPr>
      </w:pPr>
      <w:r>
        <w:rPr>
          <w:rFonts w:hint="eastAsia" w:asciiTheme="minorEastAsia" w:hAnsiTheme="minorEastAsia" w:cstheme="minorEastAsia"/>
          <w:b/>
          <w:bCs/>
          <w:color w:val="auto"/>
          <w:sz w:val="44"/>
          <w:szCs w:val="44"/>
          <w:highlight w:val="none"/>
          <w:u w:val="single"/>
          <w:lang w:eastAsia="zh-CN"/>
        </w:rPr>
        <w:t>多宝街</w:t>
      </w:r>
      <w:r>
        <w:rPr>
          <w:rFonts w:hint="eastAsia" w:asciiTheme="minorEastAsia" w:hAnsiTheme="minorEastAsia" w:cstheme="minorEastAsia"/>
          <w:b/>
          <w:bCs/>
          <w:color w:val="auto"/>
          <w:sz w:val="44"/>
          <w:szCs w:val="44"/>
          <w:highlight w:val="none"/>
          <w:u w:val="single"/>
        </w:rPr>
        <w:t>丛桂、恩宁</w:t>
      </w:r>
      <w:r>
        <w:rPr>
          <w:rFonts w:hint="eastAsia" w:asciiTheme="minorEastAsia" w:hAnsiTheme="minorEastAsia" w:cstheme="minorEastAsia"/>
          <w:b/>
          <w:bCs/>
          <w:color w:val="auto"/>
          <w:sz w:val="44"/>
          <w:szCs w:val="44"/>
          <w:highlight w:val="none"/>
          <w:u w:val="single"/>
          <w:lang w:eastAsia="zh-CN"/>
        </w:rPr>
        <w:t>片区</w:t>
      </w:r>
      <w:r>
        <w:rPr>
          <w:rFonts w:hint="eastAsia" w:asciiTheme="minorEastAsia" w:hAnsiTheme="minorEastAsia" w:cstheme="minorEastAsia"/>
          <w:b/>
          <w:bCs/>
          <w:color w:val="auto"/>
          <w:sz w:val="44"/>
          <w:szCs w:val="44"/>
          <w:highlight w:val="none"/>
          <w:u w:val="single"/>
        </w:rPr>
        <w:t>微改造项目（丛桂、恩宁社区）可行性研究报告</w:t>
      </w:r>
      <w:r>
        <w:rPr>
          <w:rFonts w:hint="eastAsia" w:asciiTheme="minorEastAsia" w:hAnsiTheme="minorEastAsia" w:cstheme="minorEastAsia"/>
          <w:b/>
          <w:bCs/>
          <w:color w:val="auto"/>
          <w:sz w:val="44"/>
          <w:szCs w:val="44"/>
          <w:highlight w:val="none"/>
          <w:u w:val="single"/>
          <w:lang w:eastAsia="zh-CN"/>
        </w:rPr>
        <w:t>及实施方案</w:t>
      </w:r>
      <w:r>
        <w:rPr>
          <w:rFonts w:hint="eastAsia" w:asciiTheme="minorEastAsia" w:hAnsiTheme="minorEastAsia" w:cstheme="minorEastAsia"/>
          <w:b/>
          <w:bCs/>
          <w:color w:val="auto"/>
          <w:sz w:val="44"/>
          <w:szCs w:val="44"/>
          <w:highlight w:val="none"/>
          <w:u w:val="single"/>
        </w:rPr>
        <w:t>编制</w:t>
      </w: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jc w:val="center"/>
        <w:rPr>
          <w:rFonts w:asciiTheme="minorEastAsia" w:hAnsiTheme="minorEastAsia" w:cstheme="minorEastAsia"/>
          <w:b/>
          <w:bCs/>
          <w:color w:val="auto"/>
          <w:sz w:val="52"/>
          <w:szCs w:val="52"/>
          <w:highlight w:val="none"/>
        </w:rPr>
      </w:pPr>
      <w:r>
        <w:rPr>
          <w:rFonts w:hint="eastAsia" w:asciiTheme="minorEastAsia" w:hAnsiTheme="minorEastAsia" w:cstheme="minorEastAsia"/>
          <w:b/>
          <w:bCs/>
          <w:color w:val="auto"/>
          <w:sz w:val="52"/>
          <w:szCs w:val="52"/>
          <w:highlight w:val="none"/>
        </w:rPr>
        <w:t>询比文件</w:t>
      </w: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rPr>
          <w:rFonts w:asciiTheme="minorEastAsia" w:hAnsiTheme="minorEastAsia" w:cstheme="minorEastAsia"/>
          <w:b/>
          <w:bCs/>
          <w:color w:val="auto"/>
          <w:sz w:val="44"/>
          <w:highlight w:val="none"/>
        </w:rPr>
      </w:pPr>
    </w:p>
    <w:p>
      <w:pPr>
        <w:jc w:val="center"/>
        <w:rPr>
          <w:rFonts w:asciiTheme="minorEastAsia" w:hAnsiTheme="minorEastAsia" w:cstheme="minorEastAsia"/>
          <w:b/>
          <w:bCs/>
          <w:color w:val="auto"/>
          <w:sz w:val="32"/>
          <w:highlight w:val="none"/>
        </w:rPr>
      </w:pPr>
    </w:p>
    <w:p>
      <w:pPr>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highlight w:val="none"/>
        </w:rPr>
        <w:t>询比单位：广州市荔湾区城市更新建设项目管理中心</w:t>
      </w:r>
    </w:p>
    <w:p>
      <w:pPr>
        <w:jc w:val="center"/>
        <w:rPr>
          <w:rFonts w:asciiTheme="minorEastAsia" w:hAnsiTheme="minorEastAsia" w:cstheme="minorEastAsia"/>
          <w:b/>
          <w:bCs/>
          <w:color w:val="auto"/>
          <w:sz w:val="32"/>
          <w:highlight w:val="none"/>
        </w:rPr>
      </w:pPr>
      <w:r>
        <w:rPr>
          <w:rFonts w:hint="eastAsia" w:asciiTheme="minorEastAsia" w:hAnsiTheme="minorEastAsia" w:cstheme="minorEastAsia"/>
          <w:b/>
          <w:bCs/>
          <w:color w:val="auto"/>
          <w:sz w:val="32"/>
          <w:highlight w:val="none"/>
        </w:rPr>
        <w:t>询比代理单位：成致项目管理有限公司</w:t>
      </w:r>
    </w:p>
    <w:p>
      <w:pPr>
        <w:jc w:val="center"/>
        <w:rPr>
          <w:rFonts w:asciiTheme="minorEastAsia" w:hAnsiTheme="minorEastAsia" w:cstheme="minorEastAsia"/>
          <w:b/>
          <w:bCs/>
          <w:color w:val="auto"/>
          <w:sz w:val="44"/>
          <w:highlight w:val="none"/>
        </w:rPr>
      </w:pPr>
      <w:r>
        <w:rPr>
          <w:rFonts w:hint="eastAsia" w:asciiTheme="minorEastAsia" w:hAnsiTheme="minorEastAsia" w:cstheme="minorEastAsia"/>
          <w:b/>
          <w:color w:val="auto"/>
          <w:sz w:val="32"/>
          <w:szCs w:val="32"/>
          <w:highlight w:val="none"/>
        </w:rPr>
        <w:t>二O二二年</w:t>
      </w:r>
      <w:r>
        <w:rPr>
          <w:rFonts w:hint="eastAsia" w:asciiTheme="minorEastAsia" w:hAnsiTheme="minorEastAsia" w:cstheme="minorEastAsia"/>
          <w:b/>
          <w:color w:val="auto"/>
          <w:sz w:val="32"/>
          <w:szCs w:val="32"/>
          <w:highlight w:val="none"/>
          <w:lang w:eastAsia="zh-CN"/>
        </w:rPr>
        <w:t>三</w:t>
      </w:r>
      <w:r>
        <w:rPr>
          <w:rFonts w:hint="eastAsia" w:asciiTheme="minorEastAsia" w:hAnsiTheme="minorEastAsia" w:cstheme="minorEastAsia"/>
          <w:b/>
          <w:color w:val="auto"/>
          <w:sz w:val="32"/>
          <w:szCs w:val="32"/>
          <w:highlight w:val="none"/>
        </w:rPr>
        <w:t>月</w:t>
      </w: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sectPr>
          <w:footerReference r:id="rId3" w:type="default"/>
          <w:pgSz w:w="11906" w:h="16838"/>
          <w:pgMar w:top="1440" w:right="1417" w:bottom="1440" w:left="1417" w:header="851" w:footer="992" w:gutter="0"/>
          <w:pgNumType w:start="1"/>
          <w:cols w:space="425" w:num="1"/>
          <w:docGrid w:type="lines" w:linePitch="312" w:charSpace="0"/>
        </w:sectPr>
      </w:pPr>
    </w:p>
    <w:p>
      <w:pPr>
        <w:spacing w:line="360" w:lineRule="auto"/>
        <w:ind w:firstLine="643" w:firstLineChars="200"/>
        <w:jc w:val="center"/>
        <w:textAlignment w:val="top"/>
        <w:rPr>
          <w:rFonts w:asciiTheme="minorEastAsia" w:hAnsiTheme="minorEastAsia" w:cstheme="minorEastAsia"/>
          <w:b/>
          <w:bCs/>
          <w:color w:val="auto"/>
          <w:sz w:val="32"/>
          <w:szCs w:val="32"/>
          <w:highlight w:val="none"/>
          <w:shd w:val="clear" w:color="auto" w:fill="FFFFFF"/>
        </w:rPr>
      </w:pPr>
      <w:r>
        <w:rPr>
          <w:rFonts w:hint="eastAsia" w:asciiTheme="minorEastAsia" w:hAnsiTheme="minorEastAsia" w:cstheme="minorEastAsia"/>
          <w:b/>
          <w:bCs/>
          <w:color w:val="auto"/>
          <w:sz w:val="32"/>
          <w:szCs w:val="32"/>
          <w:highlight w:val="none"/>
          <w:shd w:val="clear" w:color="auto" w:fill="FFFFFF"/>
        </w:rPr>
        <w:t>第一章  询比公告</w:t>
      </w:r>
    </w:p>
    <w:p>
      <w:pPr>
        <w:spacing w:line="360" w:lineRule="auto"/>
        <w:jc w:val="left"/>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 xml:space="preserve">    为更好地择优选取</w:t>
      </w:r>
      <w:r>
        <w:rPr>
          <w:rFonts w:hint="eastAsia" w:asciiTheme="minorEastAsia" w:hAnsiTheme="minorEastAsia" w:cstheme="minorEastAsia"/>
          <w:color w:val="auto"/>
          <w:sz w:val="24"/>
          <w:szCs w:val="24"/>
          <w:highlight w:val="none"/>
          <w:u w:val="single"/>
        </w:rPr>
        <w:t>多宝街丛桂、恩宁片区微改造项目（丛桂、恩宁社区）可行性研究报告及实施方案编制</w:t>
      </w:r>
      <w:r>
        <w:rPr>
          <w:rFonts w:hint="eastAsia" w:asciiTheme="minorEastAsia" w:hAnsiTheme="minorEastAsia" w:cstheme="minorEastAsia"/>
          <w:color w:val="auto"/>
          <w:sz w:val="24"/>
          <w:szCs w:val="24"/>
          <w:highlight w:val="none"/>
          <w:u w:val="none"/>
        </w:rPr>
        <w:t>服务</w:t>
      </w:r>
      <w:r>
        <w:rPr>
          <w:rFonts w:hint="eastAsia" w:asciiTheme="minorEastAsia" w:hAnsiTheme="minorEastAsia" w:cstheme="minorEastAsia"/>
          <w:color w:val="auto"/>
          <w:sz w:val="24"/>
          <w:szCs w:val="24"/>
          <w:highlight w:val="none"/>
          <w:shd w:val="clear" w:color="auto" w:fill="FFFFFF"/>
        </w:rPr>
        <w:t>单位，现广州市荔湾区城市更新建设项目管理中心进行公开询比，在报名并符合要求的企业内选取一家承办单位，</w:t>
      </w:r>
      <w:bookmarkStart w:id="0" w:name="EBf5670e6d291445918fbaeeb8f3e1df8e"/>
      <w:r>
        <w:rPr>
          <w:rFonts w:hint="eastAsia" w:asciiTheme="minorEastAsia" w:hAnsiTheme="minorEastAsia" w:cstheme="minorEastAsia"/>
          <w:color w:val="auto"/>
          <w:sz w:val="24"/>
          <w:szCs w:val="24"/>
          <w:highlight w:val="none"/>
          <w:shd w:val="clear" w:color="auto" w:fill="FFFFFF"/>
        </w:rPr>
        <w:t>欢迎符合资格条件的意向人报名参加。</w:t>
      </w:r>
      <w:bookmarkEnd w:id="0"/>
    </w:p>
    <w:p>
      <w:pPr>
        <w:spacing w:line="360" w:lineRule="auto"/>
        <w:jc w:val="left"/>
        <w:textAlignment w:val="top"/>
        <w:rPr>
          <w:rFonts w:asciiTheme="minorEastAsia" w:hAnsiTheme="minorEastAsia" w:cstheme="minorEastAsia"/>
          <w:b/>
          <w:bCs/>
          <w:color w:val="auto"/>
          <w:sz w:val="24"/>
          <w:szCs w:val="24"/>
          <w:highlight w:val="none"/>
          <w:shd w:val="clear" w:color="auto" w:fill="FFFFFF"/>
        </w:rPr>
      </w:pPr>
      <w:r>
        <w:rPr>
          <w:rFonts w:hint="eastAsia" w:asciiTheme="minorEastAsia" w:hAnsiTheme="minorEastAsia" w:cstheme="minorEastAsia"/>
          <w:b/>
          <w:bCs/>
          <w:color w:val="auto"/>
          <w:sz w:val="24"/>
          <w:szCs w:val="24"/>
          <w:highlight w:val="none"/>
          <w:shd w:val="clear" w:color="auto" w:fill="FFFFFF"/>
        </w:rPr>
        <w:t>一、项目概况</w:t>
      </w:r>
    </w:p>
    <w:p>
      <w:pPr>
        <w:spacing w:line="360" w:lineRule="auto"/>
        <w:ind w:firstLine="480" w:firstLineChars="200"/>
        <w:jc w:val="left"/>
        <w:textAlignment w:val="top"/>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1.询比单位：广州市荔湾区城市更新建设项目管理中心。</w:t>
      </w:r>
    </w:p>
    <w:p>
      <w:pPr>
        <w:spacing w:line="360" w:lineRule="auto"/>
        <w:ind w:firstLine="480" w:firstLineChars="200"/>
        <w:jc w:val="left"/>
        <w:textAlignment w:val="top"/>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sz w:val="24"/>
          <w:szCs w:val="24"/>
          <w:highlight w:val="none"/>
          <w:shd w:val="clear" w:color="auto" w:fill="FFFFFF"/>
        </w:rPr>
        <w:t>2.建设地点：</w:t>
      </w:r>
      <w:r>
        <w:rPr>
          <w:rFonts w:hint="eastAsia" w:asciiTheme="minorEastAsia" w:hAnsiTheme="minorEastAsia" w:cstheme="minorEastAsia"/>
          <w:color w:val="auto"/>
          <w:sz w:val="24"/>
          <w:szCs w:val="24"/>
          <w:highlight w:val="none"/>
        </w:rPr>
        <w:t>广州市</w:t>
      </w:r>
      <w:r>
        <w:rPr>
          <w:rFonts w:hint="eastAsia" w:asciiTheme="minorEastAsia" w:hAnsiTheme="minorEastAsia" w:cstheme="minorEastAsia"/>
          <w:color w:val="auto"/>
          <w:sz w:val="24"/>
          <w:highlight w:val="none"/>
        </w:rPr>
        <w:t>荔湾区</w:t>
      </w:r>
      <w:r>
        <w:rPr>
          <w:rFonts w:hint="eastAsia" w:asciiTheme="minorEastAsia" w:hAnsiTheme="minorEastAsia" w:cstheme="minorEastAsia"/>
          <w:color w:val="auto"/>
          <w:kern w:val="0"/>
          <w:sz w:val="24"/>
          <w:highlight w:val="none"/>
        </w:rPr>
        <w:t>。</w:t>
      </w:r>
    </w:p>
    <w:p>
      <w:pPr>
        <w:spacing w:line="360" w:lineRule="auto"/>
        <w:ind w:firstLine="480" w:firstLineChars="200"/>
        <w:jc w:val="left"/>
        <w:textAlignment w:val="top"/>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3.项目概况：项目位于荔湾区，北至恩宁路，南至蓬莱西约、蓬莱东约、十二甫西街和和平西路，西至蓬莱路，东至大同路。包含了丛桂和恩宁两个社区。改造范围约7.6公顷，建筑面积约6.73万平方米。重点改造内容是建筑本体修缮，基础设施补短板，公共空间品质提升等内容，打造“老城区，新活力”的社区新貌。</w:t>
      </w:r>
    </w:p>
    <w:p>
      <w:pPr>
        <w:spacing w:line="360" w:lineRule="auto"/>
        <w:ind w:firstLine="480" w:firstLineChars="200"/>
        <w:jc w:val="left"/>
        <w:textAlignment w:val="top"/>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zh-CN"/>
        </w:rPr>
        <w:t>项目估算</w:t>
      </w:r>
      <w:r>
        <w:rPr>
          <w:rFonts w:hint="eastAsia" w:ascii="宋体" w:hAnsi="宋体" w:eastAsia="宋体" w:cs="宋体"/>
          <w:color w:val="auto"/>
          <w:sz w:val="24"/>
          <w:szCs w:val="24"/>
          <w:highlight w:val="none"/>
          <w:shd w:val="clear" w:color="auto" w:fill="FFFFFF"/>
        </w:rPr>
        <w:t>总投资</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3500万元</w:t>
      </w:r>
      <w:r>
        <w:rPr>
          <w:rFonts w:hint="eastAsia" w:ascii="宋体" w:hAnsi="宋体" w:eastAsia="宋体" w:cs="宋体"/>
          <w:color w:val="auto"/>
          <w:sz w:val="24"/>
          <w:szCs w:val="24"/>
          <w:highlight w:val="none"/>
          <w:shd w:val="clear" w:color="auto" w:fill="FFFFFF"/>
        </w:rPr>
        <w:t>（不含管线迁改费、征地拆迁费）</w:t>
      </w:r>
      <w:r>
        <w:rPr>
          <w:rFonts w:hint="eastAsia" w:ascii="宋体" w:hAnsi="宋体" w:eastAsia="宋体" w:cs="宋体"/>
          <w:color w:val="auto"/>
          <w:sz w:val="24"/>
          <w:szCs w:val="24"/>
          <w:highlight w:val="none"/>
          <w:shd w:val="clear" w:color="auto" w:fill="FFFFFF"/>
          <w:lang w:val="en-US" w:eastAsia="zh-CN"/>
        </w:rPr>
        <w:t>。</w:t>
      </w:r>
    </w:p>
    <w:p>
      <w:pPr>
        <w:spacing w:line="360" w:lineRule="auto"/>
        <w:ind w:firstLine="480" w:firstLineChars="200"/>
        <w:jc w:val="left"/>
        <w:textAlignment w:val="top"/>
        <w:rPr>
          <w:rFonts w:asciiTheme="minorEastAsia" w:hAnsiTheme="minorEastAsia" w:cstheme="minorEastAsia"/>
          <w:color w:val="auto"/>
          <w:sz w:val="24"/>
          <w:highlight w:val="none"/>
        </w:rPr>
      </w:pPr>
      <w:r>
        <w:rPr>
          <w:rFonts w:hint="eastAsia" w:asciiTheme="minorEastAsia" w:hAnsiTheme="minorEastAsia" w:cstheme="minorEastAsia"/>
          <w:color w:val="auto"/>
          <w:sz w:val="24"/>
          <w:szCs w:val="24"/>
          <w:highlight w:val="none"/>
          <w:shd w:val="clear" w:color="auto" w:fill="FFFFFF"/>
        </w:rPr>
        <w:t>5.资金来源：财政资金。</w:t>
      </w:r>
    </w:p>
    <w:p>
      <w:pPr>
        <w:spacing w:line="360" w:lineRule="auto"/>
        <w:rPr>
          <w:rFonts w:hint="default" w:ascii="宋体" w:hAnsi="宋体" w:cs="宋体" w:eastAsiaTheme="minorEastAsia"/>
          <w:b/>
          <w:bCs/>
          <w:color w:val="auto"/>
          <w:sz w:val="24"/>
          <w:highlight w:val="none"/>
          <w:lang w:val="en-US" w:eastAsia="zh-CN"/>
        </w:rPr>
      </w:pPr>
      <w:r>
        <w:rPr>
          <w:rFonts w:hint="eastAsia" w:asciiTheme="minorEastAsia" w:hAnsiTheme="minorEastAsia" w:cstheme="minorEastAsia"/>
          <w:b/>
          <w:bCs/>
          <w:color w:val="auto"/>
          <w:sz w:val="24"/>
          <w:highlight w:val="none"/>
        </w:rPr>
        <w:t>二、</w:t>
      </w:r>
      <w:r>
        <w:rPr>
          <w:rFonts w:hint="eastAsia" w:ascii="宋体" w:hAnsi="宋体" w:cs="宋体"/>
          <w:b/>
          <w:bCs/>
          <w:color w:val="auto"/>
          <w:sz w:val="24"/>
          <w:highlight w:val="none"/>
        </w:rPr>
        <w:t>服务内容</w:t>
      </w:r>
      <w:r>
        <w:rPr>
          <w:rFonts w:hint="eastAsia" w:ascii="宋体" w:hAnsi="宋体" w:cs="宋体"/>
          <w:b/>
          <w:bCs/>
          <w:color w:val="auto"/>
          <w:sz w:val="24"/>
          <w:highlight w:val="none"/>
          <w:lang w:val="en-US" w:eastAsia="zh-CN"/>
        </w:rPr>
        <w:t>及成果要求</w:t>
      </w:r>
    </w:p>
    <w:p>
      <w:pPr>
        <w:pStyle w:val="2"/>
        <w:spacing w:line="360" w:lineRule="auto"/>
        <w:ind w:firstLine="481"/>
        <w:rPr>
          <w:rFonts w:ascii="宋体" w:hAnsi="宋体" w:cs="宋体"/>
          <w:color w:val="auto"/>
          <w:sz w:val="24"/>
          <w:szCs w:val="24"/>
          <w:highlight w:val="none"/>
          <w:shd w:val="clear" w:color="auto" w:fill="FFFFFF"/>
        </w:rPr>
      </w:pPr>
      <w:r>
        <w:rPr>
          <w:rFonts w:hint="eastAsia" w:asciiTheme="minorEastAsia" w:hAnsiTheme="minorEastAsia" w:eastAsiaTheme="minorEastAsia" w:cstheme="minorEastAsia"/>
          <w:b w:val="0"/>
          <w:bCs w:val="0"/>
          <w:color w:val="auto"/>
          <w:highlight w:val="none"/>
        </w:rPr>
        <w:t xml:space="preserve"> 1.</w:t>
      </w:r>
      <w:r>
        <w:rPr>
          <w:rFonts w:hint="eastAsia" w:ascii="宋体" w:hAnsi="宋体" w:cs="宋体"/>
          <w:color w:val="auto"/>
          <w:sz w:val="24"/>
          <w:szCs w:val="24"/>
          <w:highlight w:val="none"/>
          <w:shd w:val="clear" w:color="auto" w:fill="FFFFFF"/>
        </w:rPr>
        <w:t>服务范围：</w:t>
      </w:r>
      <w:r>
        <w:rPr>
          <w:rFonts w:hint="eastAsia" w:asciiTheme="minorEastAsia" w:hAnsiTheme="minorEastAsia" w:eastAsiaTheme="minorEastAsia" w:cstheme="minorEastAsia"/>
          <w:color w:val="auto"/>
          <w:sz w:val="24"/>
          <w:szCs w:val="24"/>
          <w:highlight w:val="none"/>
          <w:shd w:val="clear" w:color="auto" w:fill="FFFFFF"/>
        </w:rPr>
        <w:t>对</w:t>
      </w:r>
      <w:r>
        <w:rPr>
          <w:rFonts w:hint="eastAsia" w:asciiTheme="minorEastAsia" w:hAnsiTheme="minorEastAsia" w:cstheme="minorEastAsia"/>
          <w:color w:val="auto"/>
          <w:sz w:val="24"/>
          <w:szCs w:val="24"/>
          <w:highlight w:val="none"/>
          <w:u w:val="single"/>
        </w:rPr>
        <w:t>多宝街丛桂、恩宁片区微改造项目（丛桂、恩宁社区）</w:t>
      </w:r>
      <w:r>
        <w:rPr>
          <w:rFonts w:hint="eastAsia" w:asciiTheme="minorEastAsia" w:hAnsiTheme="minorEastAsia" w:cstheme="minorEastAsia"/>
          <w:color w:val="auto"/>
          <w:sz w:val="24"/>
          <w:szCs w:val="24"/>
          <w:highlight w:val="none"/>
          <w:u w:val="single"/>
          <w:lang w:eastAsia="zh-CN"/>
        </w:rPr>
        <w:t>进行</w:t>
      </w:r>
      <w:r>
        <w:rPr>
          <w:rFonts w:hint="eastAsia" w:asciiTheme="minorEastAsia" w:hAnsiTheme="minorEastAsia" w:cstheme="minorEastAsia"/>
          <w:color w:val="auto"/>
          <w:sz w:val="24"/>
          <w:szCs w:val="24"/>
          <w:highlight w:val="none"/>
          <w:u w:val="single"/>
        </w:rPr>
        <w:t>可行性研究报告及实施方案</w:t>
      </w:r>
      <w:r>
        <w:rPr>
          <w:rFonts w:hint="eastAsia" w:asciiTheme="minorEastAsia" w:hAnsiTheme="minorEastAsia" w:cstheme="minorEastAsia"/>
          <w:color w:val="auto"/>
          <w:sz w:val="24"/>
          <w:szCs w:val="24"/>
          <w:highlight w:val="none"/>
          <w:u w:val="single"/>
          <w:lang w:eastAsia="zh-CN"/>
        </w:rPr>
        <w:t>编制</w:t>
      </w:r>
      <w:r>
        <w:rPr>
          <w:rFonts w:hint="eastAsia" w:asciiTheme="minorEastAsia" w:hAnsiTheme="minorEastAsia" w:eastAsiaTheme="minorEastAsia" w:cstheme="minorEastAsia"/>
          <w:color w:val="auto"/>
          <w:sz w:val="24"/>
          <w:szCs w:val="24"/>
          <w:highlight w:val="none"/>
        </w:rPr>
        <w:t>工作</w:t>
      </w:r>
      <w:r>
        <w:rPr>
          <w:rFonts w:hint="eastAsia" w:ascii="宋体" w:hAnsi="宋体" w:cs="宋体"/>
          <w:color w:val="auto"/>
          <w:kern w:val="0"/>
          <w:sz w:val="24"/>
          <w:highlight w:val="none"/>
          <w:shd w:val="clear" w:color="auto" w:fill="FFFFFF"/>
          <w:lang w:bidi="ar"/>
        </w:rPr>
        <w:t>。</w:t>
      </w:r>
    </w:p>
    <w:p>
      <w:pPr>
        <w:pStyle w:val="2"/>
        <w:spacing w:line="360" w:lineRule="auto"/>
        <w:ind w:firstLine="481"/>
        <w:rPr>
          <w:rFonts w:asciiTheme="minorEastAsia" w:hAnsiTheme="minorEastAsia" w:eastAsiaTheme="minorEastAsia" w:cstheme="minorEastAsia"/>
          <w:color w:val="auto"/>
          <w:kern w:val="0"/>
          <w:sz w:val="24"/>
          <w:szCs w:val="24"/>
          <w:highlight w:val="none"/>
          <w:shd w:val="clear" w:color="auto" w:fill="FFFFFF"/>
        </w:rPr>
      </w:pPr>
      <w:r>
        <w:rPr>
          <w:rFonts w:hint="eastAsia" w:ascii="宋体" w:hAnsi="宋体" w:cs="宋体"/>
          <w:color w:val="auto"/>
          <w:sz w:val="24"/>
          <w:szCs w:val="24"/>
          <w:highlight w:val="none"/>
          <w:shd w:val="clear" w:color="auto" w:fill="FFFFFF"/>
        </w:rPr>
        <w:t>2.服务期：</w:t>
      </w:r>
      <w:r>
        <w:rPr>
          <w:rFonts w:hint="eastAsia" w:ascii="宋体" w:hAnsi="宋体" w:cs="宋体"/>
          <w:color w:val="auto"/>
          <w:sz w:val="24"/>
          <w:szCs w:val="24"/>
          <w:highlight w:val="none"/>
          <w:shd w:val="clear" w:color="auto" w:fill="FFFFFF"/>
          <w:lang w:eastAsia="zh-CN"/>
        </w:rPr>
        <w:t>可行性研究报告</w:t>
      </w:r>
      <w:r>
        <w:rPr>
          <w:rFonts w:hint="eastAsia" w:asciiTheme="minorEastAsia" w:hAnsiTheme="minorEastAsia" w:eastAsiaTheme="minorEastAsia" w:cstheme="minorEastAsia"/>
          <w:color w:val="auto"/>
          <w:kern w:val="0"/>
          <w:sz w:val="24"/>
          <w:szCs w:val="24"/>
          <w:highlight w:val="none"/>
          <w:shd w:val="clear" w:color="auto" w:fill="FFFFFF"/>
        </w:rPr>
        <w:t>咨询服务期限至本项目</w:t>
      </w:r>
      <w:r>
        <w:rPr>
          <w:rFonts w:hint="eastAsia" w:asciiTheme="minorEastAsia" w:hAnsiTheme="minorEastAsia" w:cstheme="minorEastAsia"/>
          <w:color w:val="auto"/>
          <w:kern w:val="0"/>
          <w:sz w:val="24"/>
          <w:szCs w:val="24"/>
          <w:highlight w:val="none"/>
          <w:shd w:val="clear" w:color="auto" w:fill="FFFFFF"/>
        </w:rPr>
        <w:t>可行性研究报告获得审查部门批复后并由甲方确认</w:t>
      </w:r>
      <w:r>
        <w:rPr>
          <w:rFonts w:hint="eastAsia" w:asciiTheme="minorEastAsia" w:hAnsiTheme="minorEastAsia" w:cstheme="minorEastAsia"/>
          <w:color w:val="auto"/>
          <w:kern w:val="0"/>
          <w:sz w:val="24"/>
          <w:szCs w:val="24"/>
          <w:highlight w:val="none"/>
          <w:shd w:val="clear" w:color="auto" w:fill="FFFFFF"/>
          <w:lang w:eastAsia="zh-CN"/>
        </w:rPr>
        <w:t>；实施方案</w:t>
      </w:r>
      <w:r>
        <w:rPr>
          <w:rFonts w:hint="eastAsia" w:asciiTheme="minorEastAsia" w:hAnsiTheme="minorEastAsia" w:eastAsiaTheme="minorEastAsia" w:cstheme="minorEastAsia"/>
          <w:color w:val="auto"/>
          <w:kern w:val="0"/>
          <w:sz w:val="24"/>
          <w:szCs w:val="24"/>
          <w:highlight w:val="none"/>
          <w:shd w:val="clear" w:color="auto" w:fill="FFFFFF"/>
        </w:rPr>
        <w:t>咨询服务期限</w:t>
      </w:r>
      <w:r>
        <w:rPr>
          <w:rFonts w:hint="eastAsia" w:eastAsia="宋体" w:asciiTheme="minorEastAsia" w:hAnsiTheme="minorEastAsia" w:cstheme="minorEastAsia"/>
          <w:color w:val="auto"/>
          <w:kern w:val="0"/>
          <w:sz w:val="24"/>
          <w:szCs w:val="24"/>
          <w:highlight w:val="none"/>
          <w:u w:val="none"/>
          <w:shd w:val="clear" w:color="auto" w:fill="FFFFFF"/>
        </w:rPr>
        <w:t>通过区政府审议</w:t>
      </w:r>
      <w:r>
        <w:rPr>
          <w:rFonts w:hint="eastAsia" w:asciiTheme="minorEastAsia" w:hAnsiTheme="minorEastAsia" w:cstheme="minorEastAsia"/>
          <w:color w:val="auto"/>
          <w:kern w:val="0"/>
          <w:sz w:val="24"/>
          <w:szCs w:val="24"/>
          <w:highlight w:val="none"/>
          <w:u w:val="none"/>
          <w:shd w:val="clear" w:color="auto" w:fill="FFFFFF"/>
          <w:lang w:eastAsia="zh-CN"/>
        </w:rPr>
        <w:t>后并由甲方确认</w:t>
      </w:r>
      <w:r>
        <w:rPr>
          <w:rFonts w:hint="eastAsia" w:eastAsia="宋体" w:asciiTheme="minorEastAsia" w:hAnsiTheme="minorEastAsia" w:cstheme="minorEastAsia"/>
          <w:color w:val="auto"/>
          <w:kern w:val="0"/>
          <w:sz w:val="24"/>
          <w:szCs w:val="24"/>
          <w:highlight w:val="none"/>
          <w:shd w:val="clear" w:color="auto" w:fill="FFFFFF"/>
        </w:rPr>
        <w:t>。</w:t>
      </w:r>
    </w:p>
    <w:p>
      <w:pPr>
        <w:widowControl/>
        <w:topLinePunct/>
        <w:spacing w:line="360" w:lineRule="auto"/>
        <w:ind w:firstLine="489" w:firstLineChars="204"/>
        <w:jc w:val="left"/>
        <w:rPr>
          <w:rFonts w:asciiTheme="minorEastAsia" w:hAnsiTheme="minorEastAsia" w:cstheme="minorEastAsia"/>
          <w:color w:val="auto"/>
          <w:sz w:val="24"/>
          <w:szCs w:val="24"/>
          <w:highlight w:val="none"/>
          <w:shd w:val="clear" w:color="auto" w:fill="FFFFFF"/>
        </w:rPr>
      </w:pPr>
      <w:r>
        <w:rPr>
          <w:rFonts w:hint="eastAsia" w:asciiTheme="minorEastAsia" w:hAnsiTheme="minorEastAsia" w:cstheme="minorEastAsia"/>
          <w:color w:val="auto"/>
          <w:kern w:val="0"/>
          <w:sz w:val="24"/>
          <w:szCs w:val="24"/>
          <w:highlight w:val="none"/>
          <w:shd w:val="clear" w:color="auto" w:fill="FFFFFF"/>
        </w:rPr>
        <w:t>⑴报告编制：</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中选人应在合同签订之日起</w:t>
      </w:r>
      <w:r>
        <w:rPr>
          <w:rFonts w:hint="eastAsia" w:asciiTheme="minorEastAsia" w:hAnsiTheme="minorEastAsia" w:eastAsiaTheme="minorEastAsia" w:cstheme="minorEastAsia"/>
          <w:color w:val="auto"/>
          <w:kern w:val="0"/>
          <w:sz w:val="24"/>
          <w:szCs w:val="24"/>
          <w:highlight w:val="none"/>
          <w:u w:val="single"/>
          <w:shd w:val="clear" w:color="auto" w:fill="FFFFFF"/>
          <w:lang w:val="en-US" w:eastAsia="zh-CN" w:bidi="ar-SA"/>
        </w:rPr>
        <w:t xml:space="preserve"> </w:t>
      </w:r>
      <w:r>
        <w:rPr>
          <w:rFonts w:hint="eastAsia" w:asciiTheme="minorEastAsia" w:hAnsiTheme="minorEastAsia" w:cstheme="minorEastAsia"/>
          <w:color w:val="auto"/>
          <w:kern w:val="0"/>
          <w:sz w:val="24"/>
          <w:szCs w:val="24"/>
          <w:highlight w:val="none"/>
          <w:u w:val="single"/>
          <w:shd w:val="clear" w:color="auto" w:fill="FFFFFF"/>
          <w:lang w:val="en-US" w:eastAsia="zh-CN" w:bidi="ar-SA"/>
        </w:rPr>
        <w:t>1</w:t>
      </w:r>
      <w:r>
        <w:rPr>
          <w:rFonts w:hint="eastAsia" w:asciiTheme="minorEastAsia" w:hAnsiTheme="minorEastAsia" w:eastAsiaTheme="minorEastAsia" w:cstheme="minorEastAsia"/>
          <w:color w:val="auto"/>
          <w:kern w:val="0"/>
          <w:sz w:val="24"/>
          <w:szCs w:val="24"/>
          <w:highlight w:val="none"/>
          <w:u w:val="single"/>
          <w:shd w:val="clear" w:color="auto" w:fill="FFFFFF"/>
          <w:lang w:val="en-US" w:eastAsia="zh-CN" w:bidi="ar-SA"/>
        </w:rPr>
        <w:t xml:space="preserve">0 </w:t>
      </w:r>
      <w:r>
        <w:rPr>
          <w:rFonts w:hint="eastAsia" w:asciiTheme="minorEastAsia" w:hAnsiTheme="minorEastAsia" w:eastAsiaTheme="minorEastAsia" w:cstheme="minorEastAsia"/>
          <w:color w:val="auto"/>
          <w:kern w:val="0"/>
          <w:sz w:val="24"/>
          <w:szCs w:val="24"/>
          <w:highlight w:val="none"/>
          <w:shd w:val="clear" w:color="auto" w:fill="FFFFFF"/>
          <w:lang w:val="en-US" w:eastAsia="zh-CN" w:bidi="ar-SA"/>
        </w:rPr>
        <w:t>个日历天</w:t>
      </w:r>
      <w:r>
        <w:rPr>
          <w:rFonts w:hint="eastAsia" w:asciiTheme="minorEastAsia" w:hAnsiTheme="minorEastAsia" w:cstheme="minorEastAsia"/>
          <w:color w:val="auto"/>
          <w:kern w:val="0"/>
          <w:sz w:val="24"/>
          <w:szCs w:val="24"/>
          <w:highlight w:val="none"/>
          <w:shd w:val="clear" w:color="auto" w:fill="FFFFFF"/>
        </w:rPr>
        <w:t>内完成工程项目可行性研究报告</w:t>
      </w:r>
      <w:r>
        <w:rPr>
          <w:rFonts w:hint="eastAsia" w:asciiTheme="minorEastAsia" w:hAnsiTheme="minorEastAsia" w:cstheme="minorEastAsia"/>
          <w:color w:val="auto"/>
          <w:kern w:val="0"/>
          <w:sz w:val="24"/>
          <w:szCs w:val="24"/>
          <w:highlight w:val="none"/>
          <w:shd w:val="clear" w:color="auto" w:fill="FFFFFF"/>
          <w:lang w:eastAsia="zh-CN"/>
        </w:rPr>
        <w:t>及实施方案的</w:t>
      </w:r>
      <w:r>
        <w:rPr>
          <w:rFonts w:hint="eastAsia" w:asciiTheme="minorEastAsia" w:hAnsiTheme="minorEastAsia" w:cstheme="minorEastAsia"/>
          <w:color w:val="auto"/>
          <w:kern w:val="0"/>
          <w:sz w:val="24"/>
          <w:szCs w:val="24"/>
          <w:highlight w:val="none"/>
          <w:shd w:val="clear" w:color="auto" w:fill="FFFFFF"/>
        </w:rPr>
        <w:t>编制。</w:t>
      </w:r>
    </w:p>
    <w:p>
      <w:pPr>
        <w:pStyle w:val="9"/>
        <w:spacing w:line="360" w:lineRule="auto"/>
        <w:ind w:firstLine="48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color w:val="auto"/>
          <w:kern w:val="0"/>
          <w:sz w:val="24"/>
          <w:szCs w:val="24"/>
          <w:highlight w:val="none"/>
          <w:shd w:val="clear" w:color="auto" w:fill="FFFFFF"/>
        </w:rPr>
        <w:t>⑵报告</w:t>
      </w:r>
      <w:r>
        <w:rPr>
          <w:rFonts w:hint="eastAsia" w:asciiTheme="minorEastAsia" w:hAnsiTheme="minorEastAsia" w:cstheme="minorEastAsia"/>
          <w:color w:val="auto"/>
          <w:kern w:val="0"/>
          <w:sz w:val="24"/>
          <w:szCs w:val="24"/>
          <w:highlight w:val="none"/>
          <w:shd w:val="clear" w:color="auto" w:fill="FFFFFF"/>
          <w:lang w:eastAsia="zh-CN"/>
        </w:rPr>
        <w:t>及方案的</w:t>
      </w:r>
      <w:r>
        <w:rPr>
          <w:rFonts w:hint="eastAsia" w:asciiTheme="minorEastAsia" w:hAnsiTheme="minorEastAsia" w:eastAsiaTheme="minorEastAsia" w:cstheme="minorEastAsia"/>
          <w:color w:val="auto"/>
          <w:kern w:val="0"/>
          <w:sz w:val="24"/>
          <w:szCs w:val="24"/>
          <w:highlight w:val="none"/>
          <w:shd w:val="clear" w:color="auto" w:fill="FFFFFF"/>
        </w:rPr>
        <w:t>修改：有关部门进行评审</w:t>
      </w:r>
      <w:r>
        <w:rPr>
          <w:rFonts w:hint="eastAsia" w:asciiTheme="minorEastAsia" w:hAnsiTheme="minorEastAsia" w:cstheme="minorEastAsia"/>
          <w:color w:val="auto"/>
          <w:kern w:val="0"/>
          <w:sz w:val="24"/>
          <w:szCs w:val="24"/>
          <w:highlight w:val="none"/>
          <w:shd w:val="clear" w:color="auto" w:fill="FFFFFF"/>
          <w:lang w:eastAsia="zh-CN"/>
        </w:rPr>
        <w:t>、审议</w:t>
      </w:r>
      <w:r>
        <w:rPr>
          <w:rFonts w:hint="eastAsia" w:asciiTheme="minorEastAsia" w:hAnsiTheme="minorEastAsia" w:eastAsiaTheme="minorEastAsia" w:cstheme="minorEastAsia"/>
          <w:color w:val="auto"/>
          <w:kern w:val="0"/>
          <w:sz w:val="24"/>
          <w:szCs w:val="24"/>
          <w:highlight w:val="none"/>
          <w:shd w:val="clear" w:color="auto" w:fill="FFFFFF"/>
        </w:rPr>
        <w:t>后</w:t>
      </w:r>
      <w:r>
        <w:rPr>
          <w:rFonts w:hint="eastAsia" w:asciiTheme="minorEastAsia" w:hAnsiTheme="minorEastAsia" w:eastAsiaTheme="minorEastAsia" w:cstheme="minorEastAsia"/>
          <w:color w:val="auto"/>
          <w:kern w:val="0"/>
          <w:sz w:val="24"/>
          <w:szCs w:val="24"/>
          <w:highlight w:val="none"/>
          <w:u w:val="single"/>
          <w:shd w:val="clear" w:color="auto" w:fill="FFFFFF"/>
        </w:rPr>
        <w:t>5</w:t>
      </w:r>
      <w:r>
        <w:rPr>
          <w:rFonts w:hint="eastAsia" w:asciiTheme="minorEastAsia" w:hAnsiTheme="minorEastAsia" w:eastAsiaTheme="minorEastAsia" w:cstheme="minorEastAsia"/>
          <w:color w:val="auto"/>
          <w:kern w:val="0"/>
          <w:sz w:val="24"/>
          <w:szCs w:val="24"/>
          <w:highlight w:val="none"/>
          <w:shd w:val="clear" w:color="auto" w:fill="FFFFFF"/>
        </w:rPr>
        <w:t>个日历天内完成工程</w:t>
      </w:r>
      <w:r>
        <w:rPr>
          <w:rFonts w:hint="eastAsia" w:asciiTheme="minorEastAsia" w:hAnsiTheme="minorEastAsia" w:cstheme="minorEastAsia"/>
          <w:color w:val="auto"/>
          <w:kern w:val="0"/>
          <w:sz w:val="24"/>
          <w:szCs w:val="24"/>
          <w:highlight w:val="none"/>
          <w:shd w:val="clear" w:color="auto" w:fill="FFFFFF"/>
        </w:rPr>
        <w:t>项目可行性研究报告</w:t>
      </w:r>
      <w:r>
        <w:rPr>
          <w:rFonts w:hint="eastAsia" w:asciiTheme="minorEastAsia" w:hAnsiTheme="minorEastAsia" w:cstheme="minorEastAsia"/>
          <w:color w:val="auto"/>
          <w:kern w:val="0"/>
          <w:sz w:val="24"/>
          <w:szCs w:val="24"/>
          <w:highlight w:val="none"/>
          <w:shd w:val="clear" w:color="auto" w:fill="FFFFFF"/>
          <w:lang w:eastAsia="zh-CN"/>
        </w:rPr>
        <w:t>及实施方案</w:t>
      </w:r>
      <w:r>
        <w:rPr>
          <w:rFonts w:hint="eastAsia" w:asciiTheme="minorEastAsia" w:hAnsiTheme="minorEastAsia" w:cstheme="minorEastAsia"/>
          <w:color w:val="auto"/>
          <w:kern w:val="0"/>
          <w:sz w:val="24"/>
          <w:szCs w:val="24"/>
          <w:highlight w:val="none"/>
          <w:shd w:val="clear" w:color="auto" w:fill="FFFFFF"/>
        </w:rPr>
        <w:t>的</w:t>
      </w:r>
      <w:r>
        <w:rPr>
          <w:rFonts w:hint="eastAsia" w:asciiTheme="minorEastAsia" w:hAnsiTheme="minorEastAsia" w:eastAsiaTheme="minorEastAsia" w:cstheme="minorEastAsia"/>
          <w:color w:val="auto"/>
          <w:kern w:val="0"/>
          <w:sz w:val="24"/>
          <w:szCs w:val="24"/>
          <w:highlight w:val="none"/>
          <w:shd w:val="clear" w:color="auto" w:fill="FFFFFF"/>
        </w:rPr>
        <w:t>修改。期限结束后，若发现可行性研究报告仍需修改、调整，中选单位应继续提供有关服务。</w:t>
      </w:r>
    </w:p>
    <w:p>
      <w:pPr>
        <w:widowControl/>
        <w:topLinePunct/>
        <w:spacing w:line="360" w:lineRule="auto"/>
        <w:ind w:firstLine="489" w:firstLineChars="204"/>
        <w:jc w:val="left"/>
        <w:rPr>
          <w:rFonts w:hint="eastAsia" w:asciiTheme="minorEastAsia" w:hAnsiTheme="minorEastAsia" w:cstheme="minorEastAsia"/>
          <w:color w:val="auto"/>
          <w:kern w:val="0"/>
          <w:sz w:val="24"/>
          <w:szCs w:val="24"/>
          <w:highlight w:val="none"/>
          <w:shd w:val="clear" w:color="auto" w:fill="FFFFFF"/>
          <w:lang w:eastAsia="zh-CN"/>
        </w:rPr>
      </w:pPr>
      <w:r>
        <w:rPr>
          <w:rFonts w:hint="eastAsia" w:asciiTheme="minorEastAsia" w:hAnsiTheme="minorEastAsia" w:cstheme="minorEastAsia"/>
          <w:color w:val="auto"/>
          <w:kern w:val="0"/>
          <w:sz w:val="24"/>
          <w:szCs w:val="24"/>
          <w:highlight w:val="none"/>
          <w:shd w:val="clear" w:color="auto" w:fill="FFFFFF"/>
          <w:lang w:val="en-US" w:eastAsia="zh-CN"/>
        </w:rPr>
        <w:t>3.</w:t>
      </w:r>
      <w:r>
        <w:rPr>
          <w:rFonts w:hint="eastAsia" w:asciiTheme="minorEastAsia" w:hAnsiTheme="minorEastAsia" w:cstheme="minorEastAsia"/>
          <w:color w:val="auto"/>
          <w:kern w:val="0"/>
          <w:sz w:val="24"/>
          <w:szCs w:val="24"/>
          <w:highlight w:val="none"/>
          <w:shd w:val="clear" w:color="auto" w:fill="FFFFFF"/>
        </w:rPr>
        <w:t>工作内容</w:t>
      </w:r>
      <w:r>
        <w:rPr>
          <w:rFonts w:hint="eastAsia" w:asciiTheme="minorEastAsia" w:hAnsiTheme="minorEastAsia" w:cstheme="minorEastAsia"/>
          <w:color w:val="auto"/>
          <w:kern w:val="0"/>
          <w:sz w:val="24"/>
          <w:szCs w:val="24"/>
          <w:highlight w:val="none"/>
          <w:shd w:val="clear" w:color="auto" w:fill="FFFFFF"/>
          <w:lang w:eastAsia="zh-CN"/>
        </w:rPr>
        <w:t>、方式及要求</w:t>
      </w:r>
    </w:p>
    <w:p>
      <w:pPr>
        <w:widowControl/>
        <w:topLinePunct/>
        <w:spacing w:line="360" w:lineRule="auto"/>
        <w:ind w:firstLine="489" w:firstLineChars="204"/>
        <w:jc w:val="left"/>
        <w:rPr>
          <w:rFonts w:hint="eastAsia" w:ascii="宋体" w:hAnsi="宋体" w:cs="宋体"/>
          <w:color w:val="auto"/>
          <w:kern w:val="2"/>
          <w:highlight w:val="none"/>
        </w:rPr>
      </w:pPr>
      <w:r>
        <w:rPr>
          <w:rFonts w:hint="eastAsia" w:asciiTheme="minorEastAsia" w:hAnsiTheme="minorEastAsia" w:cstheme="minorEastAsia"/>
          <w:color w:val="auto"/>
          <w:kern w:val="0"/>
          <w:sz w:val="24"/>
          <w:szCs w:val="24"/>
          <w:highlight w:val="none"/>
          <w:shd w:val="clear" w:color="auto" w:fill="FFFFFF"/>
        </w:rPr>
        <w:t xml:space="preserve"> </w:t>
      </w:r>
      <w:r>
        <w:rPr>
          <w:rFonts w:hint="eastAsia" w:asciiTheme="minorEastAsia" w:hAnsiTheme="minorEastAsia" w:cstheme="minorEastAsia"/>
          <w:color w:val="auto"/>
          <w:kern w:val="0"/>
          <w:sz w:val="24"/>
          <w:szCs w:val="24"/>
          <w:highlight w:val="none"/>
          <w:shd w:val="clear" w:color="auto" w:fill="FFFFFF"/>
          <w:lang w:val="en-US" w:eastAsia="zh-CN"/>
        </w:rPr>
        <w:t>3</w:t>
      </w:r>
      <w:r>
        <w:rPr>
          <w:rFonts w:hint="eastAsia" w:asciiTheme="minorEastAsia" w:hAnsiTheme="minorEastAsia" w:cstheme="minorEastAsia"/>
          <w:color w:val="auto"/>
          <w:kern w:val="0"/>
          <w:sz w:val="24"/>
          <w:szCs w:val="24"/>
          <w:highlight w:val="none"/>
          <w:shd w:val="clear" w:color="auto" w:fill="FFFFFF"/>
        </w:rPr>
        <w:t>.1 可行性研究报告编制</w:t>
      </w:r>
    </w:p>
    <w:p>
      <w:pPr>
        <w:pStyle w:val="18"/>
        <w:shd w:val="clear" w:color="auto" w:fill="FFFFFF"/>
        <w:spacing w:beforeAutospacing="0" w:afterAutospacing="0"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工作内容：对多宝街丛桂、恩宁片区微改造项目（丛桂、恩宁社区）开展可行性研究报告编制，按照国家发改委有关项目可行性研究报告编制内容和深度等要求，进行全面技术经济分析的科学论证，对项目有关的自然、社会、经济、技术等进行调研、分析比较以及预测建成后的社会经济效益。在此基础上，并针对方案综合论证项目建设的必要性，经济上的合理性，技术上的先进性和适应性以及建设条件的可能性和可行性，从而为投资决策提供科学依据。</w:t>
      </w:r>
    </w:p>
    <w:p>
      <w:pPr>
        <w:pStyle w:val="18"/>
        <w:shd w:val="clear" w:color="auto" w:fill="FFFFFF"/>
        <w:spacing w:beforeAutospacing="0" w:afterAutospacing="0" w:line="360" w:lineRule="auto"/>
        <w:ind w:firstLine="480" w:firstLineChars="200"/>
        <w:jc w:val="both"/>
        <w:rPr>
          <w:rFonts w:hint="eastAsia" w:ascii="宋体" w:hAnsi="宋体" w:cs="宋体"/>
          <w:color w:val="auto"/>
          <w:kern w:val="2"/>
          <w:highlight w:val="none"/>
        </w:rPr>
      </w:pPr>
      <w:r>
        <w:rPr>
          <w:rFonts w:hint="eastAsia" w:ascii="宋体" w:hAnsi="宋体" w:cs="宋体"/>
          <w:color w:val="auto"/>
          <w:kern w:val="2"/>
          <w:highlight w:val="none"/>
        </w:rPr>
        <w:t>包括为编制报告而进行的所有调查、踏勘、资料收集等工作；以及协助业主进行项目评审及文件的报批工作等。</w:t>
      </w:r>
    </w:p>
    <w:p>
      <w:pPr>
        <w:pStyle w:val="9"/>
        <w:rPr>
          <w:rFonts w:asciiTheme="minorEastAsia" w:hAnsiTheme="minorEastAsia" w:eastAsiaTheme="minorEastAsia" w:cstheme="minorEastAsia"/>
          <w:b/>
          <w:bCs/>
          <w:color w:val="auto"/>
          <w:sz w:val="24"/>
          <w:szCs w:val="24"/>
          <w:highlight w:val="none"/>
        </w:rPr>
      </w:pPr>
    </w:p>
    <w:p>
      <w:pPr>
        <w:pStyle w:val="9"/>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 xml:space="preserve">   </w:t>
      </w:r>
      <w:r>
        <w:rPr>
          <w:rFonts w:hint="eastAsia" w:asciiTheme="minorEastAsia" w:hAnsiTheme="minorEastAsia" w:eastAsiaTheme="minorEastAsia" w:cstheme="minorEastAsia"/>
          <w:b w:val="0"/>
          <w:bCs w:val="0"/>
          <w:color w:val="auto"/>
          <w:sz w:val="24"/>
          <w:szCs w:val="24"/>
          <w:highlight w:val="none"/>
        </w:rPr>
        <w:t xml:space="preserve"> </w:t>
      </w:r>
      <w:r>
        <w:rPr>
          <w:rFonts w:hint="eastAsia" w:asciiTheme="minorEastAsia" w:hAnsiTheme="minorEastAsia" w:cstheme="minorEastAsia"/>
          <w:b w:val="0"/>
          <w:bCs w:val="0"/>
          <w:color w:val="auto"/>
          <w:sz w:val="24"/>
          <w:szCs w:val="24"/>
          <w:highlight w:val="none"/>
          <w:lang w:val="en-US" w:eastAsia="zh-CN"/>
        </w:rPr>
        <w:t>3</w:t>
      </w:r>
      <w:r>
        <w:rPr>
          <w:rFonts w:hint="eastAsia" w:asciiTheme="minorEastAsia" w:hAnsiTheme="minorEastAsia" w:eastAsiaTheme="minorEastAsia" w:cstheme="minorEastAsia"/>
          <w:b w:val="0"/>
          <w:bCs w:val="0"/>
          <w:color w:val="auto"/>
          <w:sz w:val="24"/>
          <w:szCs w:val="24"/>
          <w:highlight w:val="none"/>
        </w:rPr>
        <w:t>.2实施方案编制</w:t>
      </w:r>
    </w:p>
    <w:p>
      <w:pPr>
        <w:pStyle w:val="18"/>
        <w:shd w:val="clear" w:color="auto" w:fill="FFFFFF"/>
        <w:spacing w:beforeAutospacing="0" w:afterAutospacing="0" w:line="360" w:lineRule="auto"/>
        <w:ind w:firstLine="480" w:firstLineChars="200"/>
        <w:jc w:val="both"/>
        <w:rPr>
          <w:color w:val="auto"/>
          <w:kern w:val="2"/>
          <w:highlight w:val="none"/>
        </w:rPr>
      </w:pPr>
      <w:r>
        <w:rPr>
          <w:rFonts w:hint="eastAsia"/>
          <w:color w:val="auto"/>
          <w:kern w:val="2"/>
          <w:highlight w:val="none"/>
        </w:rPr>
        <w:t>工作内容：通过实地踏勘访谈，收集民意资料并汇总形成改造清单，依据居民需求合理选择改造项目，指导方案编制。配合进行前期编制工作汇报，编制过程中，做好与居民的沟通协调工作，使编制方案充分反映民意，为民所用。</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改造内容包括（但不限于）《广州市老旧小区为改造实施方案编制工作指引（试行）》中基础类：楼道修缮、小区内道路、排水系统疏通、三线整治、绿化提升、照明、安防系统、消防设施、无障碍设施、公共空间提升等改造，以及根据实际方案需要，对提升类和完善类的建设项目进行改造。</w:t>
      </w:r>
    </w:p>
    <w:p>
      <w:pPr>
        <w:pStyle w:val="18"/>
        <w:shd w:val="clear" w:color="auto" w:fill="FFFFFF"/>
        <w:spacing w:beforeAutospacing="0" w:afterAutospacing="0" w:line="360" w:lineRule="auto"/>
        <w:ind w:firstLine="480" w:firstLineChars="200"/>
        <w:jc w:val="both"/>
        <w:rPr>
          <w:color w:val="auto"/>
          <w:kern w:val="2"/>
          <w:highlight w:val="none"/>
        </w:rPr>
      </w:pPr>
      <w:r>
        <w:rPr>
          <w:rFonts w:hint="eastAsia"/>
          <w:color w:val="auto"/>
          <w:kern w:val="2"/>
          <w:highlight w:val="none"/>
          <w:lang w:val="en-US" w:eastAsia="zh-CN"/>
        </w:rPr>
        <w:t>4</w:t>
      </w:r>
      <w:r>
        <w:rPr>
          <w:rFonts w:hint="eastAsia"/>
          <w:color w:val="auto"/>
          <w:kern w:val="2"/>
          <w:highlight w:val="none"/>
        </w:rPr>
        <w:t>.成果要求</w:t>
      </w:r>
    </w:p>
    <w:p>
      <w:pPr>
        <w:spacing w:line="360" w:lineRule="auto"/>
        <w:ind w:firstLine="42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highlight w:val="none"/>
          <w:lang w:val="en-US" w:eastAsia="zh-CN"/>
        </w:rPr>
        <w:t>4</w:t>
      </w:r>
      <w:r>
        <w:rPr>
          <w:rFonts w:hint="eastAsia" w:ascii="宋体" w:hAnsi="宋体" w:eastAsia="宋体" w:cs="宋体"/>
          <w:color w:val="auto"/>
          <w:kern w:val="2"/>
          <w:highlight w:val="none"/>
        </w:rPr>
        <w:t xml:space="preserve">.1 </w:t>
      </w:r>
      <w:r>
        <w:rPr>
          <w:rFonts w:hint="eastAsia" w:ascii="宋体" w:hAnsi="宋体" w:eastAsia="宋体" w:cs="宋体"/>
          <w:color w:val="auto"/>
          <w:kern w:val="2"/>
          <w:sz w:val="24"/>
          <w:szCs w:val="24"/>
          <w:highlight w:val="none"/>
          <w:lang w:val="en-US" w:eastAsia="zh-CN" w:bidi="ar-SA"/>
        </w:rPr>
        <w:t>可行性研究报告</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按要求编制完成《多宝街丛桂、恩宁片区微改造项目（丛桂、恩宁社区）可行性研究报告》的成果文件。</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r>
        <w:rPr>
          <w:rFonts w:hint="eastAsia" w:ascii="宋体" w:hAnsi="宋体" w:cs="宋体" w:eastAsiaTheme="minorEastAsia"/>
          <w:color w:val="auto"/>
          <w:kern w:val="2"/>
          <w:sz w:val="24"/>
          <w:szCs w:val="24"/>
          <w:highlight w:val="none"/>
          <w:lang w:val="en-US" w:eastAsia="zh-CN" w:bidi="ar-SA"/>
        </w:rPr>
        <w:t>.2 实施方案编制</w:t>
      </w:r>
    </w:p>
    <w:p>
      <w:pPr>
        <w:spacing w:line="360" w:lineRule="auto"/>
        <w:ind w:firstLine="480" w:firstLineChars="200"/>
        <w:rPr>
          <w:rFonts w:hint="eastAsia" w:ascii="宋体" w:hAnsi="宋体" w:cs="宋体" w:eastAsiaTheme="minorEastAsia"/>
          <w:color w:val="auto"/>
          <w:kern w:val="2"/>
          <w:sz w:val="24"/>
          <w:szCs w:val="24"/>
          <w:highlight w:val="none"/>
          <w:lang w:val="en-US" w:eastAsia="zh-CN" w:bidi="ar-SA"/>
        </w:rPr>
      </w:pPr>
      <w:r>
        <w:rPr>
          <w:rFonts w:hint="eastAsia" w:ascii="宋体" w:hAnsi="宋体" w:cs="宋体" w:eastAsiaTheme="minorEastAsia"/>
          <w:color w:val="auto"/>
          <w:kern w:val="2"/>
          <w:sz w:val="24"/>
          <w:szCs w:val="24"/>
          <w:highlight w:val="none"/>
          <w:lang w:val="en-US" w:eastAsia="zh-CN" w:bidi="ar-SA"/>
        </w:rPr>
        <w:t>成果深度：项目成果表达应当清晰、规范，符合相关法律、法规和国家有关标准的要求，同时需满足《广州市老旧小区微改造实施方案编制工作指引（试行）》文件的相关要求。</w:t>
      </w:r>
    </w:p>
    <w:p>
      <w:pPr>
        <w:spacing w:line="360" w:lineRule="auto"/>
        <w:ind w:firstLine="480" w:firstLineChars="200"/>
        <w:rPr>
          <w:rFonts w:asciiTheme="minorEastAsia" w:hAnsiTheme="minorEastAsia" w:cstheme="minorEastAsia"/>
          <w:color w:val="auto"/>
          <w:sz w:val="24"/>
          <w:szCs w:val="24"/>
          <w:highlight w:val="none"/>
          <w:shd w:val="clear" w:color="auto" w:fill="FFFFFF"/>
        </w:rPr>
      </w:pPr>
      <w:r>
        <w:rPr>
          <w:rFonts w:hint="eastAsia" w:ascii="宋体" w:hAnsi="宋体" w:cs="宋体"/>
          <w:color w:val="auto"/>
          <w:kern w:val="2"/>
          <w:sz w:val="24"/>
          <w:szCs w:val="24"/>
          <w:highlight w:val="none"/>
          <w:lang w:val="en-US" w:eastAsia="zh-CN" w:bidi="ar-SA"/>
        </w:rPr>
        <w:t>编制</w:t>
      </w:r>
      <w:r>
        <w:rPr>
          <w:rFonts w:hint="eastAsia" w:ascii="宋体" w:hAnsi="宋体" w:cs="宋体" w:eastAsiaTheme="minorEastAsia"/>
          <w:color w:val="auto"/>
          <w:kern w:val="2"/>
          <w:sz w:val="24"/>
          <w:szCs w:val="24"/>
          <w:highlight w:val="none"/>
          <w:lang w:val="en-US" w:eastAsia="zh-CN" w:bidi="ar-SA"/>
        </w:rPr>
        <w:t>完成《多宝街丛桂、恩宁片区微改造项目（丛桂、恩宁社区）实施方案》</w:t>
      </w:r>
      <w:r>
        <w:rPr>
          <w:rFonts w:hint="eastAsia" w:ascii="宋体" w:hAnsi="宋体" w:cs="宋体"/>
          <w:color w:val="auto"/>
          <w:kern w:val="2"/>
          <w:sz w:val="24"/>
          <w:szCs w:val="24"/>
          <w:highlight w:val="none"/>
          <w:lang w:val="en-US" w:eastAsia="zh-CN" w:bidi="ar-SA"/>
        </w:rPr>
        <w:t>的成果文件</w:t>
      </w:r>
      <w:r>
        <w:rPr>
          <w:rFonts w:hint="eastAsia" w:ascii="宋体" w:hAnsi="宋体" w:cs="宋体" w:eastAsiaTheme="minorEastAsia"/>
          <w:color w:val="auto"/>
          <w:kern w:val="2"/>
          <w:sz w:val="24"/>
          <w:szCs w:val="24"/>
          <w:highlight w:val="none"/>
          <w:lang w:val="en-US" w:eastAsia="zh-CN" w:bidi="ar-SA"/>
        </w:rPr>
        <w:t>。</w:t>
      </w:r>
    </w:p>
    <w:p>
      <w:pPr>
        <w:pStyle w:val="2"/>
        <w:spacing w:line="360" w:lineRule="auto"/>
        <w:rPr>
          <w:color w:val="auto"/>
          <w:highlight w:val="none"/>
        </w:rPr>
      </w:pPr>
      <w:r>
        <w:rPr>
          <w:rFonts w:hint="eastAsia" w:asciiTheme="minorEastAsia" w:hAnsiTheme="minorEastAsia" w:eastAsiaTheme="minorEastAsia" w:cstheme="minorEastAsia"/>
          <w:b/>
          <w:color w:val="auto"/>
          <w:sz w:val="24"/>
          <w:szCs w:val="24"/>
          <w:highlight w:val="none"/>
        </w:rPr>
        <w:t>具体内容及要求以合同相关约定为准。</w:t>
      </w:r>
    </w:p>
    <w:p>
      <w:pPr>
        <w:widowControl/>
        <w:spacing w:line="360" w:lineRule="auto"/>
        <w:jc w:val="left"/>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三、报价人资格要求</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1.报价人具有独立法人资格，持有市场监督（工商行政）管理部门核发的法人营业执照或各级登记管理机关颁发的事业单位法人证书，按国家法律经营。</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2.项目负责人具有工程类高级工程师职称（或以上）资质及本单位近1个月的社保证明。</w:t>
      </w:r>
    </w:p>
    <w:p>
      <w:pPr>
        <w:spacing w:line="360" w:lineRule="auto"/>
        <w:ind w:firstLine="480" w:firstLineChars="200"/>
        <w:jc w:val="left"/>
        <w:rPr>
          <w:rFonts w:hint="eastAsia"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3.报价人具有行政主管部门颁发的城乡规划编制资质证书乙级或以上资质。</w:t>
      </w:r>
    </w:p>
    <w:p>
      <w:pPr>
        <w:spacing w:line="360" w:lineRule="auto"/>
        <w:ind w:firstLine="480" w:firstLineChars="20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rPr>
        <w:t>本项目接受不超过两家组成的联合体报价。</w:t>
      </w:r>
    </w:p>
    <w:p>
      <w:pPr>
        <w:pStyle w:val="2"/>
        <w:spacing w:line="360" w:lineRule="auto"/>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四、报价及结算方式</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1.最高报价限价：人民币</w:t>
      </w:r>
      <w:r>
        <w:rPr>
          <w:rFonts w:hint="eastAsia" w:asciiTheme="minorEastAsia" w:hAnsiTheme="minorEastAsia" w:cstheme="minorEastAsia"/>
          <w:color w:val="auto"/>
          <w:sz w:val="24"/>
          <w:szCs w:val="24"/>
          <w:highlight w:val="none"/>
          <w:u w:val="single"/>
          <w:lang w:val="en-US" w:eastAsia="zh-CN"/>
        </w:rPr>
        <w:t>394628.57</w:t>
      </w:r>
      <w:r>
        <w:rPr>
          <w:rFonts w:hint="eastAsia" w:asciiTheme="minorEastAsia" w:hAnsiTheme="minorEastAsia" w:cstheme="minorEastAsia"/>
          <w:color w:val="auto"/>
          <w:sz w:val="24"/>
          <w:szCs w:val="24"/>
          <w:highlight w:val="none"/>
        </w:rPr>
        <w:t>元（大写：</w:t>
      </w:r>
      <w:r>
        <w:rPr>
          <w:rFonts w:hint="eastAsia" w:asciiTheme="minorEastAsia" w:hAnsiTheme="minorEastAsia" w:cstheme="minorEastAsia"/>
          <w:color w:val="auto"/>
          <w:sz w:val="24"/>
          <w:szCs w:val="24"/>
          <w:highlight w:val="none"/>
          <w:lang w:val="en-US" w:eastAsia="zh-CN"/>
        </w:rPr>
        <w:t>叁拾玖万肆仟陆佰贰拾捌元伍角柒分整</w:t>
      </w:r>
      <w:r>
        <w:rPr>
          <w:rFonts w:hint="eastAsia" w:asciiTheme="minorEastAsia" w:hAnsi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eastAsia="zh-CN"/>
        </w:rPr>
        <w:t>，其中可行性研究：</w:t>
      </w:r>
      <w:r>
        <w:rPr>
          <w:rFonts w:hint="eastAsia" w:asciiTheme="minorEastAsia" w:hAnsiTheme="minorEastAsia" w:cstheme="minorEastAsia"/>
          <w:color w:val="auto"/>
          <w:sz w:val="24"/>
          <w:szCs w:val="24"/>
          <w:highlight w:val="none"/>
          <w:lang w:val="en-US" w:eastAsia="zh-CN"/>
        </w:rPr>
        <w:t>94628.57元（</w:t>
      </w:r>
      <w:r>
        <w:rPr>
          <w:rFonts w:hint="eastAsia" w:ascii="宋体" w:hAnsi="宋体" w:eastAsia="宋体" w:cs="宋体"/>
          <w:color w:val="auto"/>
          <w:sz w:val="24"/>
          <w:szCs w:val="24"/>
          <w:highlight w:val="none"/>
        </w:rPr>
        <w:t>有效报价下浮率为</w:t>
      </w:r>
      <w:r>
        <w:rPr>
          <w:rFonts w:hint="eastAsia" w:ascii="宋体" w:hAnsi="宋体" w:eastAsia="宋体" w:cs="宋体"/>
          <w:color w:val="auto"/>
          <w:sz w:val="24"/>
          <w:szCs w:val="24"/>
          <w:highlight w:val="none"/>
          <w:u w:val="single"/>
          <w:lang w:val="en-US" w:eastAsia="zh-CN"/>
        </w:rPr>
        <w:t>20%-30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Theme="minorEastAsia" w:hAnsiTheme="minorEastAsia" w:cstheme="minorEastAsia"/>
          <w:color w:val="auto"/>
          <w:sz w:val="24"/>
          <w:szCs w:val="24"/>
          <w:highlight w:val="none"/>
          <w:lang w:val="en-US" w:eastAsia="zh-CN"/>
        </w:rPr>
        <w:t>，实施方案：300000.00元（有效报价下浮率</w:t>
      </w:r>
      <w:r>
        <w:rPr>
          <w:rFonts w:hint="eastAsia" w:asciiTheme="minorEastAsia" w:hAnsiTheme="minorEastAsia" w:cstheme="minorEastAsia"/>
          <w:color w:val="auto"/>
          <w:sz w:val="24"/>
          <w:szCs w:val="24"/>
          <w:highlight w:val="none"/>
          <w:u w:val="single"/>
          <w:lang w:val="en-US" w:eastAsia="zh-CN"/>
        </w:rPr>
        <w:t>0-10%</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rPr>
        <w:t>。</w:t>
      </w:r>
      <w:r>
        <w:rPr>
          <w:rFonts w:hint="eastAsia" w:ascii="宋体" w:hAnsi="宋体" w:eastAsia="宋体" w:cs="宋体"/>
          <w:color w:val="auto"/>
          <w:sz w:val="24"/>
          <w:szCs w:val="24"/>
          <w:highlight w:val="none"/>
        </w:rPr>
        <w:t>报价金额是固定价且是唯一的，未超过本项目最高报价限价。</w:t>
      </w:r>
    </w:p>
    <w:p>
      <w:pPr>
        <w:numPr>
          <w:ilvl w:val="255"/>
          <w:numId w:val="0"/>
        </w:num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2.</w:t>
      </w:r>
      <w:r>
        <w:rPr>
          <w:rFonts w:hint="eastAsia" w:asciiTheme="minorEastAsia" w:hAnsiTheme="minorEastAsia" w:cstheme="minorEastAsia"/>
          <w:color w:val="auto"/>
          <w:sz w:val="24"/>
          <w:szCs w:val="24"/>
          <w:highlight w:val="none"/>
          <w:shd w:val="clear" w:color="auto" w:fill="FFFFFF"/>
        </w:rPr>
        <w:t>收费</w:t>
      </w:r>
      <w:r>
        <w:rPr>
          <w:rFonts w:hint="eastAsia" w:asciiTheme="minorEastAsia" w:hAnsiTheme="minorEastAsia" w:cstheme="minorEastAsia"/>
          <w:color w:val="auto"/>
          <w:sz w:val="24"/>
          <w:szCs w:val="24"/>
          <w:highlight w:val="none"/>
        </w:rPr>
        <w:t>根据《国家发展改革委关于进一步放开建设项目专业服务价格的通知》（发改价格[2015] 299号），结合企业自身及项目情况自行报价，服务费报价超过最高报价限价将按无效报价处理。</w:t>
      </w:r>
    </w:p>
    <w:p>
      <w:pPr>
        <w:pStyle w:val="2"/>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kern w:val="0"/>
          <w:sz w:val="24"/>
          <w:szCs w:val="24"/>
          <w:highlight w:val="none"/>
        </w:rPr>
        <w:t>本项目</w:t>
      </w:r>
      <w:r>
        <w:rPr>
          <w:rFonts w:hint="eastAsia" w:asciiTheme="minorEastAsia" w:hAnsiTheme="minorEastAsia" w:eastAsiaTheme="minorEastAsia" w:cstheme="minorEastAsia"/>
          <w:color w:val="auto"/>
          <w:kern w:val="0"/>
          <w:sz w:val="24"/>
          <w:szCs w:val="24"/>
          <w:highlight w:val="none"/>
          <w:lang w:eastAsia="zh-CN"/>
        </w:rPr>
        <w:t>可行性研究报告部分的</w:t>
      </w:r>
      <w:r>
        <w:rPr>
          <w:rFonts w:hint="eastAsia" w:asciiTheme="minorEastAsia" w:hAnsiTheme="minorEastAsia" w:eastAsiaTheme="minorEastAsia" w:cstheme="minorEastAsia"/>
          <w:color w:val="auto"/>
          <w:kern w:val="0"/>
          <w:sz w:val="24"/>
          <w:szCs w:val="24"/>
          <w:highlight w:val="none"/>
        </w:rPr>
        <w:t>中选价为暂定价，结算价按照</w:t>
      </w:r>
      <w:r>
        <w:rPr>
          <w:rFonts w:hint="eastAsia" w:asciiTheme="minorEastAsia" w:hAnsiTheme="minorEastAsia" w:eastAsiaTheme="minorEastAsia" w:cstheme="minorEastAsia"/>
          <w:color w:val="auto"/>
          <w:sz w:val="24"/>
          <w:szCs w:val="24"/>
          <w:highlight w:val="none"/>
        </w:rPr>
        <w:t>《国家计委关于印发建设项目前期工作咨询收费暂行规定的通知》（计价格［1999］1283号）和《广东省物价局、广东省计划委员会转发国家计委关于印发建设项目前期工作咨询收费暂行规定的通知》</w:t>
      </w:r>
      <w:r>
        <w:rPr>
          <w:rFonts w:hint="eastAsia" w:asciiTheme="minorEastAsia" w:hAnsiTheme="minorEastAsia" w:eastAsiaTheme="minorEastAsia" w:cstheme="minorEastAsia"/>
          <w:color w:val="auto"/>
          <w:kern w:val="0"/>
          <w:sz w:val="24"/>
          <w:szCs w:val="24"/>
          <w:highlight w:val="none"/>
        </w:rPr>
        <w:t>（粤价［2000］8号）</w:t>
      </w:r>
      <w:r>
        <w:rPr>
          <w:rFonts w:hint="eastAsia" w:asciiTheme="minorEastAsia" w:hAnsiTheme="minorEastAsia" w:eastAsiaTheme="minorEastAsia" w:cstheme="minorEastAsia"/>
          <w:color w:val="auto"/>
          <w:kern w:val="0"/>
          <w:sz w:val="24"/>
          <w:szCs w:val="24"/>
          <w:highlight w:val="none"/>
          <w:lang w:eastAsia="zh-CN"/>
        </w:rPr>
        <w:t>的相关规定，</w:t>
      </w:r>
      <w:r>
        <w:rPr>
          <w:rFonts w:hint="eastAsia" w:asciiTheme="minorEastAsia" w:hAnsiTheme="minorEastAsia" w:eastAsiaTheme="minorEastAsia" w:cstheme="minorEastAsia"/>
          <w:color w:val="auto"/>
          <w:sz w:val="24"/>
          <w:szCs w:val="24"/>
          <w:highlight w:val="none"/>
        </w:rPr>
        <w:t>各报价单位在报价文件中明确下浮率</w:t>
      </w:r>
      <w:r>
        <w:rPr>
          <w:rFonts w:hint="eastAsia" w:asciiTheme="minorEastAsia" w:hAnsiTheme="minorEastAsia" w:eastAsiaTheme="minorEastAsia" w:cstheme="minorEastAsia"/>
          <w:color w:val="auto"/>
          <w:sz w:val="24"/>
          <w:szCs w:val="24"/>
          <w:highlight w:val="none"/>
          <w:lang w:eastAsia="zh-CN"/>
        </w:rPr>
        <w:t>（有效报价下浮率为</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0%至</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0%</w:t>
      </w:r>
      <w:r>
        <w:rPr>
          <w:rFonts w:hint="eastAsia" w:asciiTheme="minorEastAsia" w:hAnsiTheme="minorEastAsia" w:eastAsiaTheme="minorEastAsia" w:cstheme="minorEastAsia"/>
          <w:color w:val="auto"/>
          <w:sz w:val="24"/>
          <w:szCs w:val="24"/>
          <w:highlight w:val="none"/>
          <w:lang w:eastAsia="zh-CN"/>
        </w:rPr>
        <w:t>内）</w:t>
      </w:r>
      <w:r>
        <w:rPr>
          <w:rFonts w:hint="eastAsia" w:asciiTheme="minorEastAsia" w:hAnsiTheme="minorEastAsia" w:eastAsiaTheme="minorEastAsia" w:cstheme="minorEastAsia"/>
          <w:color w:val="auto"/>
          <w:sz w:val="24"/>
          <w:szCs w:val="24"/>
          <w:highlight w:val="none"/>
        </w:rPr>
        <w:t>，服务收费按以上条款计算出来的编制费乘以（1-报价下浮率）进行计取（行业调整系数为0.</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，复杂系数暂定为</w:t>
      </w:r>
      <w:r>
        <w:rPr>
          <w:rFonts w:hint="eastAsia" w:asciiTheme="minorEastAsia" w:hAnsiTheme="minorEastAsia" w:eastAsiaTheme="minorEastAsia" w:cstheme="minorEastAsia"/>
          <w:color w:val="auto"/>
          <w:sz w:val="24"/>
          <w:szCs w:val="24"/>
          <w:highlight w:val="none"/>
          <w:lang w:val="en-US" w:eastAsia="zh-CN"/>
        </w:rPr>
        <w:t>0.9</w:t>
      </w:r>
      <w:r>
        <w:rPr>
          <w:rFonts w:hint="eastAsia" w:asciiTheme="minorEastAsia" w:hAnsiTheme="minorEastAsia" w:eastAsiaTheme="minorEastAsia" w:cstheme="minorEastAsia"/>
          <w:color w:val="auto"/>
          <w:sz w:val="24"/>
          <w:szCs w:val="24"/>
          <w:highlight w:val="none"/>
        </w:rPr>
        <w:t>，具体以合同约定为准）</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lang w:val="en-US" w:eastAsia="zh-CN"/>
        </w:rPr>
        <w:t>2）本项目实施方案部分的中选价为包干价，收费标准参照</w:t>
      </w:r>
      <w:r>
        <w:rPr>
          <w:rFonts w:hint="eastAsia" w:asciiTheme="minorEastAsia" w:hAnsiTheme="minorEastAsia" w:eastAsiaTheme="minorEastAsia" w:cstheme="minorEastAsia"/>
          <w:color w:val="auto"/>
          <w:kern w:val="0"/>
          <w:sz w:val="24"/>
          <w:szCs w:val="24"/>
          <w:highlight w:val="none"/>
          <w:lang w:eastAsia="zh-CN"/>
        </w:rPr>
        <w:t>《广东省城市规划收费标准》、《广州市旧村庄全面改造成本核算办法》</w:t>
      </w:r>
      <w:r>
        <w:rPr>
          <w:rFonts w:hint="eastAsia" w:asciiTheme="minorEastAsia" w:hAnsiTheme="minorEastAsia" w:eastAsiaTheme="minorEastAsia" w:cstheme="minorEastAsia"/>
          <w:color w:val="auto"/>
          <w:sz w:val="24"/>
          <w:szCs w:val="24"/>
          <w:highlight w:val="none"/>
        </w:rPr>
        <w:t>的相关规定。各报价单位在报价文件中明确下浮率（</w:t>
      </w:r>
      <w:r>
        <w:rPr>
          <w:rFonts w:hint="eastAsia" w:asciiTheme="minorEastAsia" w:hAnsiTheme="minorEastAsia" w:eastAsiaTheme="minorEastAsia" w:cstheme="minorEastAsia"/>
          <w:color w:val="auto"/>
          <w:sz w:val="24"/>
          <w:szCs w:val="24"/>
          <w:highlight w:val="none"/>
          <w:lang w:eastAsia="zh-CN"/>
        </w:rPr>
        <w:t>有效报价下浮率为</w:t>
      </w:r>
      <w:r>
        <w:rPr>
          <w:rFonts w:hint="eastAsia" w:asciiTheme="minorEastAsia" w:hAnsiTheme="minorEastAsia" w:eastAsiaTheme="minorEastAsia" w:cstheme="minorEastAsia"/>
          <w:color w:val="auto"/>
          <w:sz w:val="24"/>
          <w:szCs w:val="24"/>
          <w:highlight w:val="none"/>
          <w:lang w:val="en-US" w:eastAsia="zh-CN"/>
        </w:rPr>
        <w:t>0至10%内</w:t>
      </w:r>
      <w:r>
        <w:rPr>
          <w:rFonts w:hint="eastAsia" w:asciiTheme="minorEastAsia" w:hAnsiTheme="minorEastAsia" w:eastAsiaTheme="minorEastAsia" w:cstheme="minorEastAsia"/>
          <w:color w:val="auto"/>
          <w:sz w:val="24"/>
          <w:szCs w:val="24"/>
          <w:highlight w:val="none"/>
        </w:rPr>
        <w:t>），服务收费按以上条款计算出来</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具体以合同约定为准）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最终结算金额以询比人或相关部门审定结果为准，且不得超过中选价。</w:t>
      </w:r>
    </w:p>
    <w:p>
      <w:pPr>
        <w:pStyle w:val="2"/>
        <w:spacing w:line="360" w:lineRule="auto"/>
        <w:ind w:firstLine="482" w:firstLineChars="200"/>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具体结算方式以合同约定为准。</w:t>
      </w:r>
    </w:p>
    <w:p>
      <w:pPr>
        <w:spacing w:line="360" w:lineRule="auto"/>
        <w:textAlignment w:val="top"/>
        <w:rPr>
          <w:rFonts w:ascii="宋体" w:hAnsi="宋体" w:eastAsia="宋体" w:cs="宋体"/>
          <w:b/>
          <w:bCs/>
          <w:color w:val="auto"/>
          <w:sz w:val="24"/>
          <w:szCs w:val="24"/>
          <w:highlight w:val="none"/>
        </w:rPr>
      </w:pPr>
      <w:r>
        <w:rPr>
          <w:rFonts w:hint="eastAsia" w:asciiTheme="minorEastAsia" w:hAnsiTheme="minorEastAsia" w:cstheme="minorEastAsia"/>
          <w:b/>
          <w:bCs/>
          <w:color w:val="auto"/>
          <w:sz w:val="24"/>
          <w:szCs w:val="24"/>
          <w:highlight w:val="none"/>
        </w:rPr>
        <w:t>五、</w:t>
      </w:r>
      <w:r>
        <w:rPr>
          <w:rFonts w:hint="eastAsia" w:ascii="宋体" w:hAnsi="宋体" w:eastAsia="宋体" w:cs="宋体"/>
          <w:b/>
          <w:bCs/>
          <w:color w:val="auto"/>
          <w:sz w:val="24"/>
          <w:szCs w:val="24"/>
          <w:highlight w:val="none"/>
        </w:rPr>
        <w:t>询比代理服务费及成交通知书的交付</w:t>
      </w:r>
    </w:p>
    <w:p>
      <w:pPr>
        <w:spacing w:line="360" w:lineRule="auto"/>
        <w:ind w:firstLine="480" w:firstLineChars="200"/>
        <w:rPr>
          <w:rFonts w:asciiTheme="minorEastAsia" w:hAnsiTheme="minorEastAsia" w:cstheme="minorEastAsia"/>
          <w:color w:val="auto"/>
          <w:sz w:val="24"/>
          <w:highlight w:val="none"/>
        </w:rPr>
      </w:pPr>
      <w:r>
        <w:rPr>
          <w:rFonts w:hint="eastAsia" w:ascii="宋体" w:hAnsi="宋体" w:eastAsia="宋体" w:cs="宋体"/>
          <w:color w:val="auto"/>
          <w:sz w:val="24"/>
          <w:highlight w:val="none"/>
        </w:rPr>
        <w:t>本次的询比代理服务费人民币1500元（大写：壹仟伍佰元整）由中选单位在收取成交通知书时一次性支付给询比代理服务机构。</w:t>
      </w:r>
    </w:p>
    <w:p>
      <w:pPr>
        <w:widowControl/>
        <w:spacing w:line="360" w:lineRule="auto"/>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 xml:space="preserve">六、询比文件的获取 </w:t>
      </w:r>
    </w:p>
    <w:p>
      <w:pPr>
        <w:widowControl/>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1.凡有意参加的报价意向人，请于2022年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日至2022年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 xml:space="preserve"> 日，登录广州市荔湾区人民政府网站下载询比文件。</w:t>
      </w:r>
    </w:p>
    <w:p>
      <w:pPr>
        <w:widowControl/>
        <w:spacing w:line="360" w:lineRule="auto"/>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2.询比公告发布时间：</w:t>
      </w:r>
    </w:p>
    <w:p>
      <w:pPr>
        <w:widowControl/>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发布询比公告开始日期（含本日）为：2022年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 xml:space="preserve">3 </w:t>
      </w:r>
      <w:r>
        <w:rPr>
          <w:rFonts w:hint="eastAsia" w:asciiTheme="minorEastAsia" w:hAnsiTheme="minorEastAsia" w:cstheme="minorEastAsia"/>
          <w:color w:val="auto"/>
          <w:sz w:val="24"/>
          <w:szCs w:val="24"/>
          <w:highlight w:val="none"/>
        </w:rPr>
        <w:t xml:space="preserve"> 日；</w:t>
      </w:r>
    </w:p>
    <w:p>
      <w:pPr>
        <w:spacing w:line="360" w:lineRule="auto"/>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发布询比公告截止日期（含本日）为：2022年 </w:t>
      </w:r>
      <w:r>
        <w:rPr>
          <w:rFonts w:hint="eastAsia" w:asciiTheme="minorEastAsia" w:hAnsiTheme="minorEastAsia" w:cstheme="minorEastAsia"/>
          <w:color w:val="auto"/>
          <w:sz w:val="24"/>
          <w:szCs w:val="24"/>
          <w:highlight w:val="none"/>
          <w:lang w:val="en-US" w:eastAsia="zh-CN"/>
        </w:rPr>
        <w:t>3</w:t>
      </w:r>
      <w:r>
        <w:rPr>
          <w:rFonts w:hint="eastAsia" w:asciiTheme="minorEastAsia" w:hAnsiTheme="minorEastAsia" w:cstheme="minorEastAsia"/>
          <w:color w:val="auto"/>
          <w:sz w:val="24"/>
          <w:szCs w:val="24"/>
          <w:highlight w:val="none"/>
        </w:rPr>
        <w:t xml:space="preserve"> 月 </w:t>
      </w:r>
      <w:r>
        <w:rPr>
          <w:rFonts w:hint="eastAsia" w:asciiTheme="minorEastAsia" w:hAnsiTheme="minorEastAsia" w:cstheme="minorEastAsia"/>
          <w:color w:val="auto"/>
          <w:sz w:val="24"/>
          <w:szCs w:val="24"/>
          <w:highlight w:val="none"/>
          <w:lang w:val="en-US" w:eastAsia="zh-CN"/>
        </w:rPr>
        <w:t>7</w:t>
      </w:r>
      <w:r>
        <w:rPr>
          <w:rFonts w:hint="eastAsia" w:asciiTheme="minorEastAsia" w:hAnsiTheme="minorEastAsia" w:cstheme="minorEastAsia"/>
          <w:color w:val="auto"/>
          <w:sz w:val="24"/>
          <w:szCs w:val="24"/>
          <w:highlight w:val="none"/>
        </w:rPr>
        <w:t xml:space="preserve">  日。</w:t>
      </w:r>
    </w:p>
    <w:p>
      <w:pPr>
        <w:spacing w:line="360" w:lineRule="auto"/>
        <w:rPr>
          <w:rFonts w:ascii="宋体" w:hAnsi="宋体" w:eastAsia="宋体" w:cs="宋体"/>
          <w:b/>
          <w:bCs/>
          <w:color w:val="auto"/>
          <w:sz w:val="24"/>
          <w:szCs w:val="24"/>
          <w:highlight w:val="none"/>
          <w:shd w:val="clear" w:color="auto" w:fill="FFFFFF"/>
        </w:rPr>
      </w:pPr>
      <w:r>
        <w:rPr>
          <w:rFonts w:hint="eastAsia" w:asciiTheme="minorEastAsia" w:hAnsiTheme="minorEastAsia" w:cstheme="minorEastAsia"/>
          <w:b/>
          <w:bCs/>
          <w:color w:val="auto"/>
          <w:sz w:val="24"/>
          <w:szCs w:val="24"/>
          <w:highlight w:val="none"/>
          <w:shd w:val="clear" w:color="auto" w:fill="FFFFFF"/>
        </w:rPr>
        <w:t>七、</w:t>
      </w:r>
      <w:r>
        <w:rPr>
          <w:rFonts w:hint="eastAsia" w:ascii="宋体" w:hAnsi="宋体" w:eastAsia="宋体" w:cs="宋体"/>
          <w:b/>
          <w:bCs/>
          <w:color w:val="auto"/>
          <w:sz w:val="24"/>
          <w:szCs w:val="24"/>
          <w:highlight w:val="none"/>
          <w:shd w:val="clear" w:color="auto" w:fill="FFFFFF"/>
        </w:rPr>
        <w:t>报价文件的递交时间和递交地点：</w:t>
      </w:r>
    </w:p>
    <w:p>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由报价意向人的法定代表人或授权代表</w:t>
      </w:r>
      <w:r>
        <w:rPr>
          <w:rFonts w:hint="eastAsia" w:ascii="宋体" w:hAnsi="宋体" w:eastAsia="宋体" w:cs="宋体"/>
          <w:b/>
          <w:bCs/>
          <w:color w:val="auto"/>
          <w:sz w:val="24"/>
          <w:szCs w:val="24"/>
          <w:highlight w:val="none"/>
        </w:rPr>
        <w:t>手持法定代表人证明书、授权委托书及身份证原件</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single"/>
        </w:rPr>
        <w:t>2022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kern w:val="0"/>
          <w:sz w:val="24"/>
          <w:highlight w:val="none"/>
        </w:rPr>
        <w:t>上午</w:t>
      </w:r>
      <w:r>
        <w:rPr>
          <w:rFonts w:hint="eastAsia" w:ascii="宋体" w:hAnsi="宋体" w:eastAsia="宋体" w:cs="宋体"/>
          <w:color w:val="auto"/>
          <w:kern w:val="0"/>
          <w:sz w:val="24"/>
          <w:highlight w:val="none"/>
          <w:u w:val="single"/>
        </w:rPr>
        <w:t xml:space="preserve"> 9:30—11:30 </w:t>
      </w:r>
      <w:r>
        <w:rPr>
          <w:rFonts w:hint="eastAsia" w:ascii="宋体" w:hAnsi="宋体" w:eastAsia="宋体" w:cs="宋体"/>
          <w:color w:val="auto"/>
          <w:sz w:val="24"/>
          <w:szCs w:val="24"/>
          <w:highlight w:val="none"/>
        </w:rPr>
        <w:t>递交至</w:t>
      </w:r>
      <w:r>
        <w:rPr>
          <w:rFonts w:hint="eastAsia" w:ascii="宋体" w:hAnsi="宋体" w:eastAsia="宋体" w:cs="宋体"/>
          <w:color w:val="auto"/>
          <w:sz w:val="24"/>
          <w:highlight w:val="none"/>
          <w:u w:val="single"/>
        </w:rPr>
        <w:t>广州市天河区黄埔大道中122号412房</w:t>
      </w:r>
      <w:r>
        <w:rPr>
          <w:rFonts w:hint="eastAsia" w:ascii="宋体" w:hAnsi="宋体" w:eastAsia="宋体" w:cs="宋体"/>
          <w:color w:val="auto"/>
          <w:sz w:val="24"/>
          <w:szCs w:val="24"/>
          <w:highlight w:val="none"/>
        </w:rPr>
        <w:t xml:space="preserve">，逾期恕不受理。  </w:t>
      </w:r>
    </w:p>
    <w:p>
      <w:pPr>
        <w:spacing w:line="360" w:lineRule="auto"/>
        <w:rPr>
          <w:rFonts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八、询比人不承担报价人参加本次报价活动所发生的任何费用。询比人因故取消或中止询比活动，报价人无条件服从，因报价活动产生的费用报价人自行负责。</w:t>
      </w:r>
    </w:p>
    <w:p>
      <w:pPr>
        <w:spacing w:line="360" w:lineRule="auto"/>
        <w:rPr>
          <w:rFonts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九、询比人将在广州市荔湾区人民政府网上发布中选结果，中选公示期为1天。</w:t>
      </w:r>
    </w:p>
    <w:p>
      <w:pPr>
        <w:spacing w:line="360" w:lineRule="auto"/>
        <w:rPr>
          <w:rFonts w:asciiTheme="minorEastAsia" w:hAnsiTheme="minorEastAsia" w:cstheme="minorEastAsia"/>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十、广州市荔湾区城市更新建设项目管理中心对公告及询比文件有最终解释权。</w:t>
      </w:r>
    </w:p>
    <w:p>
      <w:pPr>
        <w:spacing w:line="360" w:lineRule="auto"/>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十一、联系方式：</w:t>
      </w:r>
    </w:p>
    <w:p>
      <w:pPr>
        <w:spacing w:line="360" w:lineRule="auto"/>
        <w:jc w:val="left"/>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询比单位：</w:t>
      </w:r>
      <w:r>
        <w:rPr>
          <w:rFonts w:hint="eastAsia" w:ascii="宋体" w:hAnsi="宋体" w:cs="宋体"/>
          <w:color w:val="auto"/>
          <w:sz w:val="24"/>
          <w:szCs w:val="24"/>
          <w:highlight w:val="none"/>
          <w:u w:val="single"/>
        </w:rPr>
        <w:t>广州市荔湾区城市更新建设项目管理中心</w:t>
      </w:r>
    </w:p>
    <w:p>
      <w:pPr>
        <w:spacing w:line="360" w:lineRule="auto"/>
        <w:jc w:val="left"/>
        <w:textAlignment w:val="top"/>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联系人：</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szCs w:val="24"/>
          <w:highlight w:val="none"/>
          <w:u w:val="single"/>
        </w:rPr>
        <w:t xml:space="preserve"> 苏工             </w:t>
      </w:r>
    </w:p>
    <w:p>
      <w:pPr>
        <w:spacing w:line="360" w:lineRule="auto"/>
        <w:jc w:val="left"/>
        <w:textAlignment w:val="top"/>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联系电话：</w:t>
      </w:r>
      <w:r>
        <w:rPr>
          <w:rFonts w:hint="eastAsia" w:asciiTheme="minorEastAsia" w:hAnsiTheme="minorEastAsia" w:cstheme="minorEastAsia"/>
          <w:color w:val="auto"/>
          <w:sz w:val="24"/>
          <w:szCs w:val="24"/>
          <w:highlight w:val="none"/>
          <w:u w:val="single"/>
        </w:rPr>
        <w:t xml:space="preserve">  020-81812810 </w:t>
      </w:r>
      <w:r>
        <w:rPr>
          <w:rFonts w:hint="eastAsia" w:asciiTheme="minorEastAsia" w:hAnsiTheme="minorEastAsia" w:cstheme="minorEastAsia"/>
          <w:color w:val="auto"/>
          <w:sz w:val="24"/>
          <w:highlight w:val="none"/>
          <w:u w:val="single"/>
        </w:rPr>
        <w:t xml:space="preserve">     </w:t>
      </w:r>
    </w:p>
    <w:p>
      <w:pPr>
        <w:spacing w:line="360" w:lineRule="auto"/>
        <w:jc w:val="left"/>
        <w:textAlignment w:val="top"/>
        <w:rPr>
          <w:rFonts w:asciiTheme="minorEastAsia" w:hAnsiTheme="minorEastAsia" w:cstheme="minorEastAsia"/>
          <w:color w:val="auto"/>
          <w:sz w:val="24"/>
          <w:szCs w:val="24"/>
          <w:highlight w:val="none"/>
        </w:rPr>
      </w:pPr>
    </w:p>
    <w:p>
      <w:pPr>
        <w:spacing w:line="360" w:lineRule="auto"/>
        <w:jc w:val="left"/>
        <w:textAlignment w:val="top"/>
        <w:rPr>
          <w:rFonts w:asciiTheme="minorEastAsia" w:hAnsiTheme="minorEastAsia" w:cstheme="minorEastAsia"/>
          <w:color w:val="auto"/>
          <w:sz w:val="24"/>
          <w:highlight w:val="none"/>
        </w:rPr>
      </w:pPr>
      <w:r>
        <w:rPr>
          <w:rFonts w:hint="eastAsia" w:asciiTheme="minorEastAsia" w:hAnsiTheme="minorEastAsia" w:cstheme="minorEastAsia"/>
          <w:color w:val="auto"/>
          <w:sz w:val="24"/>
          <w:szCs w:val="24"/>
          <w:highlight w:val="none"/>
        </w:rPr>
        <w:t>询比代理单位：</w:t>
      </w:r>
      <w:r>
        <w:rPr>
          <w:rFonts w:hint="eastAsia" w:asciiTheme="minorEastAsia" w:hAnsiTheme="minorEastAsia" w:cstheme="minorEastAsia"/>
          <w:color w:val="auto"/>
          <w:sz w:val="24"/>
          <w:szCs w:val="24"/>
          <w:highlight w:val="none"/>
          <w:u w:val="single"/>
        </w:rPr>
        <w:t>成致项目管理有限公司</w:t>
      </w:r>
      <w:r>
        <w:rPr>
          <w:rFonts w:hint="eastAsia" w:asciiTheme="minorEastAsia" w:hAnsiTheme="minorEastAsia" w:cstheme="minorEastAsia"/>
          <w:color w:val="auto"/>
          <w:sz w:val="24"/>
          <w:highlight w:val="none"/>
        </w:rPr>
        <w:t xml:space="preserve"> </w:t>
      </w:r>
    </w:p>
    <w:p>
      <w:pPr>
        <w:spacing w:line="360" w:lineRule="auto"/>
        <w:jc w:val="left"/>
        <w:textAlignment w:val="top"/>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联系人：</w:t>
      </w:r>
      <w:r>
        <w:rPr>
          <w:rFonts w:hint="eastAsia" w:asciiTheme="minorEastAsia" w:hAnsiTheme="minorEastAsia" w:cstheme="minorEastAsia"/>
          <w:color w:val="auto"/>
          <w:sz w:val="24"/>
          <w:highlight w:val="none"/>
          <w:u w:val="single"/>
        </w:rPr>
        <w:t xml:space="preserve">      李先生           </w:t>
      </w:r>
      <w:r>
        <w:rPr>
          <w:rFonts w:hint="eastAsia" w:asciiTheme="minorEastAsia" w:hAnsiTheme="minorEastAsia" w:cstheme="minorEastAsia"/>
          <w:color w:val="auto"/>
          <w:sz w:val="24"/>
          <w:highlight w:val="none"/>
        </w:rPr>
        <w:t xml:space="preserve"> </w:t>
      </w:r>
    </w:p>
    <w:p>
      <w:pPr>
        <w:spacing w:line="360" w:lineRule="auto"/>
        <w:jc w:val="left"/>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highlight w:val="none"/>
        </w:rPr>
        <w:t>联系电话：</w:t>
      </w:r>
      <w:r>
        <w:rPr>
          <w:rFonts w:hint="eastAsia" w:asciiTheme="minorEastAsia" w:hAnsiTheme="minorEastAsia" w:cstheme="minorEastAsia"/>
          <w:color w:val="auto"/>
          <w:sz w:val="24"/>
          <w:highlight w:val="none"/>
          <w:u w:val="single"/>
        </w:rPr>
        <w:t xml:space="preserve">    18928782297      </w:t>
      </w:r>
    </w:p>
    <w:p>
      <w:pPr>
        <w:spacing w:line="360" w:lineRule="auto"/>
        <w:ind w:firstLine="480" w:firstLineChars="200"/>
        <w:jc w:val="center"/>
        <w:textAlignment w:val="top"/>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 xml:space="preserve">                                   </w:t>
      </w:r>
      <w:r>
        <w:rPr>
          <w:rFonts w:hint="eastAsia" w:ascii="宋体" w:hAnsi="宋体" w:cs="宋体"/>
          <w:color w:val="auto"/>
          <w:sz w:val="24"/>
          <w:szCs w:val="24"/>
          <w:highlight w:val="none"/>
        </w:rPr>
        <w:t>广州市荔湾区城市更新建设项目管理中心</w:t>
      </w:r>
    </w:p>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2022年 </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月 </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 xml:space="preserve"> 日</w:t>
      </w:r>
    </w:p>
    <w:p>
      <w:pPr>
        <w:pStyle w:val="11"/>
        <w:spacing w:line="360" w:lineRule="auto"/>
        <w:jc w:val="center"/>
        <w:rPr>
          <w:rFonts w:asciiTheme="minorEastAsia" w:hAnsiTheme="minorEastAsia" w:eastAsiaTheme="minorEastAsia" w:cstheme="minorEastAsia"/>
          <w:color w:val="auto"/>
          <w:sz w:val="24"/>
          <w:szCs w:val="24"/>
          <w:highlight w:val="none"/>
        </w:rPr>
        <w:sectPr>
          <w:footerReference r:id="rId4" w:type="default"/>
          <w:pgSz w:w="11906" w:h="16838"/>
          <w:pgMar w:top="1440" w:right="1417" w:bottom="1440" w:left="1417" w:header="851" w:footer="992" w:gutter="0"/>
          <w:pgNumType w:start="1"/>
          <w:cols w:space="425" w:num="1"/>
          <w:docGrid w:type="lines" w:linePitch="312" w:charSpace="0"/>
        </w:sectPr>
      </w:pPr>
    </w:p>
    <w:p>
      <w:pPr>
        <w:pStyle w:val="11"/>
        <w:spacing w:line="360" w:lineRule="auto"/>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rPr>
        <w:t>第二章 评审办法</w:t>
      </w:r>
    </w:p>
    <w:p>
      <w:pPr>
        <w:pStyle w:val="11"/>
        <w:spacing w:line="360" w:lineRule="auto"/>
        <w:jc w:val="left"/>
        <w:rPr>
          <w:rFonts w:hAnsi="宋体" w:eastAsia="宋体" w:cs="宋体"/>
          <w:color w:val="auto"/>
          <w:sz w:val="24"/>
          <w:szCs w:val="24"/>
          <w:highlight w:val="none"/>
        </w:rPr>
      </w:pPr>
    </w:p>
    <w:p>
      <w:pPr>
        <w:pStyle w:val="11"/>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一、评审办法</w:t>
      </w:r>
    </w:p>
    <w:p>
      <w:pPr>
        <w:spacing w:line="360" w:lineRule="auto"/>
        <w:ind w:firstLine="480" w:firstLineChars="20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1.本次评审采用综合评分法。询比人首先审查报价单位的资格性和符合性条件，通过资格性和符合性审查的报价单位的报价文件将进入下一环节的评分</w:t>
      </w:r>
      <w:r>
        <w:rPr>
          <w:rFonts w:hint="eastAsia" w:ascii="宋体" w:hAnsi="宋体" w:eastAsia="宋体" w:cs="宋体"/>
          <w:color w:val="auto"/>
          <w:kern w:val="0"/>
          <w:sz w:val="24"/>
          <w:szCs w:val="24"/>
          <w:highlight w:val="none"/>
        </w:rPr>
        <w:t>（详见附件一：</w:t>
      </w:r>
      <w:r>
        <w:rPr>
          <w:rFonts w:hint="eastAsia" w:ascii="宋体" w:hAnsi="宋体" w:eastAsia="宋体" w:cs="宋体"/>
          <w:color w:val="auto"/>
          <w:sz w:val="24"/>
          <w:szCs w:val="24"/>
          <w:highlight w:val="none"/>
        </w:rPr>
        <w:t>资格性和符合性审查表</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w:t>
      </w:r>
    </w:p>
    <w:p>
      <w:pPr>
        <w:pStyle w:val="11"/>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2.询比人对满足询比文件实质性要求的报价文件，按照询比文件规定的评分标准进行打分，评审过程中如发现存在不满足询比文件实质性要求的报价文件不予评分。</w:t>
      </w:r>
    </w:p>
    <w:p>
      <w:pPr>
        <w:pStyle w:val="11"/>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3.评分按照各报价人总得分从高到低排列先后次序。若两家或以上的报价人总得分相同时，则报价部分得分高的排前；若报价部分得分相同，则由报价文件提交顺序较早的排前（详见附件二：综合评分表）。</w:t>
      </w:r>
    </w:p>
    <w:p>
      <w:pPr>
        <w:tabs>
          <w:tab w:val="left" w:pos="5220"/>
        </w:tabs>
        <w:adjustRightInd w:val="0"/>
        <w:snapToGrid w:val="0"/>
        <w:spacing w:line="360" w:lineRule="auto"/>
        <w:ind w:firstLine="480" w:firstLineChars="200"/>
        <w:jc w:val="left"/>
        <w:rPr>
          <w:rFonts w:asciiTheme="minorEastAsia" w:hAnsiTheme="minorEastAsia" w:cstheme="minorEastAsia"/>
          <w:color w:val="auto"/>
          <w:kern w:val="0"/>
          <w:sz w:val="24"/>
          <w:szCs w:val="24"/>
          <w:highlight w:val="none"/>
        </w:rPr>
        <w:sectPr>
          <w:footerReference r:id="rId5" w:type="default"/>
          <w:pgSz w:w="11906" w:h="16838"/>
          <w:pgMar w:top="1440" w:right="1417" w:bottom="1440" w:left="1417" w:header="851" w:footer="992" w:gutter="0"/>
          <w:cols w:space="425" w:num="1"/>
          <w:docGrid w:type="lines" w:linePitch="312" w:charSpace="0"/>
        </w:sectPr>
      </w:pPr>
      <w:r>
        <w:rPr>
          <w:rFonts w:hint="eastAsia" w:ascii="宋体" w:hAnsi="宋体" w:eastAsia="宋体" w:cs="宋体"/>
          <w:color w:val="auto"/>
          <w:sz w:val="24"/>
          <w:szCs w:val="24"/>
          <w:highlight w:val="none"/>
        </w:rPr>
        <w:t>4.若本项目满足资格性和符合性审查合格条件的报价人不足1家或经评审有效的报价人不足1家，则本次询比失败，询比人将视情况重新组织询比。</w:t>
      </w:r>
    </w:p>
    <w:p>
      <w:pPr>
        <w:tabs>
          <w:tab w:val="left" w:pos="5220"/>
        </w:tabs>
        <w:adjustRightInd w:val="0"/>
        <w:snapToGrid w:val="0"/>
        <w:spacing w:line="360" w:lineRule="auto"/>
        <w:jc w:val="center"/>
        <w:rPr>
          <w:rFonts w:ascii="宋体" w:hAnsi="宋体" w:eastAsia="宋体" w:cs="宋体"/>
          <w:b/>
          <w:bCs/>
          <w:color w:val="auto"/>
          <w:kern w:val="28"/>
          <w:sz w:val="24"/>
          <w:highlight w:val="none"/>
        </w:rPr>
      </w:pPr>
      <w:r>
        <w:rPr>
          <w:rFonts w:hint="eastAsia" w:ascii="宋体" w:hAnsi="宋体" w:eastAsia="宋体" w:cs="宋体"/>
          <w:b/>
          <w:bCs/>
          <w:color w:val="auto"/>
          <w:kern w:val="28"/>
          <w:sz w:val="24"/>
          <w:highlight w:val="none"/>
        </w:rPr>
        <w:t>第三章 报价文件</w:t>
      </w:r>
    </w:p>
    <w:p>
      <w:pPr>
        <w:spacing w:line="360" w:lineRule="auto"/>
        <w:rPr>
          <w:rFonts w:ascii="宋体" w:hAnsi="宋体" w:eastAsia="宋体" w:cs="宋体"/>
          <w:b/>
          <w:bCs/>
          <w:color w:val="auto"/>
          <w:sz w:val="24"/>
          <w:highlight w:val="none"/>
        </w:rPr>
      </w:pPr>
      <w:r>
        <w:rPr>
          <w:rFonts w:hint="eastAsia" w:ascii="宋体" w:hAnsi="宋体" w:eastAsia="宋体" w:cs="宋体"/>
          <w:b/>
          <w:bCs/>
          <w:color w:val="auto"/>
          <w:sz w:val="24"/>
          <w:highlight w:val="none"/>
        </w:rPr>
        <w:t>一.报价文件编制要求</w:t>
      </w:r>
    </w:p>
    <w:p>
      <w:pPr>
        <w:spacing w:line="360" w:lineRule="auto"/>
        <w:ind w:firstLine="480" w:firstLineChars="200"/>
        <w:textAlignment w:val="top"/>
        <w:rPr>
          <w:rFonts w:ascii="宋体" w:hAnsi="宋体" w:eastAsia="宋体" w:cs="宋体"/>
          <w:color w:val="auto"/>
          <w:sz w:val="24"/>
          <w:highlight w:val="none"/>
        </w:rPr>
      </w:pPr>
      <w:r>
        <w:rPr>
          <w:rFonts w:hint="eastAsia" w:ascii="宋体" w:hAnsi="宋体" w:eastAsia="宋体" w:cs="宋体"/>
          <w:color w:val="auto"/>
          <w:sz w:val="24"/>
          <w:highlight w:val="none"/>
        </w:rPr>
        <w:t>1.报价文件编制规范、签署合格、报价唯一固定、报价无重大漏项及重大不合理。</w:t>
      </w:r>
    </w:p>
    <w:p>
      <w:pPr>
        <w:spacing w:line="360" w:lineRule="auto"/>
        <w:ind w:firstLine="480" w:firstLineChars="200"/>
        <w:textAlignment w:val="top"/>
        <w:rPr>
          <w:rFonts w:ascii="宋体" w:hAnsi="宋体" w:eastAsia="宋体" w:cs="宋体"/>
          <w:color w:val="auto"/>
          <w:sz w:val="24"/>
          <w:highlight w:val="none"/>
        </w:rPr>
      </w:pPr>
      <w:r>
        <w:rPr>
          <w:rFonts w:hint="eastAsia" w:ascii="宋体" w:hAnsi="宋体" w:eastAsia="宋体" w:cs="宋体"/>
          <w:color w:val="auto"/>
          <w:sz w:val="24"/>
          <w:highlight w:val="none"/>
        </w:rPr>
        <w:t>2.报价文件份数为一式二份，一份为正本，一份为副本，正本和副本不一致的以正本为准。报价文件须用不褪色的黑色墨水书写或打印，报价文件应装订成册，封面右上角注明正本或副本，</w:t>
      </w:r>
      <w:r>
        <w:rPr>
          <w:rFonts w:hint="eastAsia" w:ascii="宋体" w:hAnsi="宋体" w:eastAsia="宋体" w:cs="宋体"/>
          <w:color w:val="auto"/>
          <w:kern w:val="0"/>
          <w:sz w:val="24"/>
          <w:highlight w:val="none"/>
        </w:rPr>
        <w:t>并每页加盖单位公章装入同一个密封袋。</w:t>
      </w:r>
      <w:r>
        <w:rPr>
          <w:rFonts w:hint="eastAsia" w:ascii="宋体" w:hAnsi="宋体" w:eastAsia="宋体" w:cs="宋体"/>
          <w:b/>
          <w:bCs/>
          <w:color w:val="auto"/>
          <w:kern w:val="0"/>
          <w:sz w:val="24"/>
          <w:highlight w:val="none"/>
        </w:rPr>
        <w:t>封口须以封条并加盖公章密封，否则报价文件当无效处理。</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3.报价文件密封在一个包封内，外包装材料不应留有可在包封后添加或抽取报价文件的空隙。外面应标注“项目名称”、“报价文件”、“联系人”、“联系方式”和“报价单位”等字样。</w:t>
      </w:r>
    </w:p>
    <w:p>
      <w:pPr>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highlight w:val="none"/>
        </w:rPr>
        <w:t>4.报价文件中的所有材料内容（复印件、截图证明等）</w:t>
      </w:r>
      <w:r>
        <w:rPr>
          <w:rFonts w:hint="eastAsia" w:ascii="宋体" w:hAnsi="宋体" w:eastAsia="宋体" w:cs="宋体"/>
          <w:b/>
          <w:bCs/>
          <w:color w:val="auto"/>
          <w:sz w:val="24"/>
          <w:highlight w:val="none"/>
        </w:rPr>
        <w:t>须清晰可见，模糊不清晰的则当无效材料处理</w:t>
      </w:r>
      <w:r>
        <w:rPr>
          <w:rFonts w:hint="eastAsia" w:ascii="宋体" w:hAnsi="宋体" w:eastAsia="宋体" w:cs="宋体"/>
          <w:color w:val="auto"/>
          <w:sz w:val="24"/>
          <w:highlight w:val="none"/>
        </w:rPr>
        <w:t>。报价文件须附上材料目录（附页码）。</w:t>
      </w:r>
    </w:p>
    <w:p>
      <w:pPr>
        <w:spacing w:line="360" w:lineRule="auto"/>
        <w:ind w:firstLine="482" w:firstLineChars="200"/>
        <w:rPr>
          <w:rFonts w:hint="eastAsia"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5. 如联合体报价的，除联合体共同报价协议、报价承诺书需联合体各方同时盖章、企业法定代表人证明书及报价人代表的法定代表人授权委托书（仅限于非法定代表人参加询比登记活动时提供）需联合体各方独自签字盖章分别出具外其余资料可由联合体主办方加盖公章即可。联合体报价的，“报价人”需填写所有联合体成员的单位全称。</w:t>
      </w:r>
    </w:p>
    <w:p>
      <w:pPr>
        <w:spacing w:line="360" w:lineRule="auto"/>
        <w:textAlignment w:val="top"/>
        <w:rPr>
          <w:rFonts w:hint="eastAsia" w:ascii="宋体" w:hAnsi="宋体" w:cs="宋体"/>
          <w:b/>
          <w:bCs/>
          <w:color w:val="auto"/>
          <w:sz w:val="24"/>
          <w:szCs w:val="24"/>
          <w:highlight w:val="none"/>
        </w:rPr>
      </w:pPr>
      <w:r>
        <w:rPr>
          <w:rFonts w:hint="eastAsia" w:ascii="宋体" w:hAnsi="宋体" w:eastAsia="宋体" w:cs="宋体"/>
          <w:b/>
          <w:color w:val="auto"/>
          <w:sz w:val="24"/>
          <w:szCs w:val="24"/>
          <w:highlight w:val="none"/>
          <w:u w:val="single"/>
        </w:rPr>
        <w:t>报价文件封面及其他内容及落款中的“报价人”应填写联合体各方的单位全称【格式表示为：</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主</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XXXX公司</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成</w:t>
      </w:r>
      <w:r>
        <w:rPr>
          <w:rFonts w:hint="eastAsia" w:ascii="宋体" w:hAnsi="宋体" w:eastAsia="宋体" w:cs="宋体"/>
          <w:b/>
          <w:color w:val="auto"/>
          <w:sz w:val="24"/>
          <w:szCs w:val="24"/>
          <w:highlight w:val="none"/>
          <w:u w:val="single"/>
          <w:lang w:eastAsia="zh-CN"/>
        </w:rPr>
        <w:t>）</w:t>
      </w:r>
      <w:r>
        <w:rPr>
          <w:rFonts w:hint="eastAsia" w:ascii="宋体" w:hAnsi="宋体" w:eastAsia="宋体" w:cs="宋体"/>
          <w:b/>
          <w:color w:val="auto"/>
          <w:sz w:val="24"/>
          <w:szCs w:val="24"/>
          <w:highlight w:val="none"/>
          <w:u w:val="single"/>
        </w:rPr>
        <w:t>XXXX公司】，可由联合体主办方签字或盖章即可。</w:t>
      </w:r>
    </w:p>
    <w:p>
      <w:pPr>
        <w:spacing w:line="360" w:lineRule="auto"/>
        <w:textAlignment w:val="top"/>
        <w:rPr>
          <w:rFonts w:ascii="宋体" w:hAnsi="宋体" w:cs="宋体"/>
          <w:b/>
          <w:bCs/>
          <w:color w:val="auto"/>
          <w:sz w:val="24"/>
          <w:szCs w:val="24"/>
          <w:highlight w:val="none"/>
        </w:rPr>
      </w:pPr>
      <w:r>
        <w:rPr>
          <w:rFonts w:hint="eastAsia" w:ascii="宋体" w:hAnsi="宋体" w:cs="宋体"/>
          <w:b/>
          <w:bCs/>
          <w:color w:val="auto"/>
          <w:sz w:val="24"/>
          <w:szCs w:val="24"/>
          <w:highlight w:val="none"/>
        </w:rPr>
        <w:t>二、完整的报价文件至少包括以下内容：</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1.报价表（原件，格式详见附件三）；</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2.企业营业执照或事业单位法人证书（复印件）；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3.法定代表人身份证明书（原件）、授权代表委托书（原件）；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4.业绩情况汇总表（原件，格式详见附件四）；</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5.项目负责人相关证书及社保证明（复印件）；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6.综合评分表上要求提供的其他材料（复印件）；</w:t>
      </w:r>
    </w:p>
    <w:p>
      <w:pPr>
        <w:adjustRightInd w:val="0"/>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7.承诺书（原件，详见附件六）；</w:t>
      </w:r>
    </w:p>
    <w:p>
      <w:pPr>
        <w:adjustRightInd w:val="0"/>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8.其他报价人认为需要提供的资料。</w:t>
      </w:r>
    </w:p>
    <w:p>
      <w:pPr>
        <w:pStyle w:val="11"/>
        <w:adjustRightInd w:val="0"/>
        <w:snapToGrid w:val="0"/>
        <w:spacing w:line="360" w:lineRule="auto"/>
        <w:jc w:val="left"/>
        <w:rPr>
          <w:rFonts w:hAnsi="宋体" w:eastAsia="宋体" w:cs="宋体"/>
          <w:b/>
          <w:bCs/>
          <w:color w:val="auto"/>
          <w:sz w:val="24"/>
          <w:szCs w:val="24"/>
          <w:highlight w:val="none"/>
        </w:rPr>
      </w:pPr>
      <w:r>
        <w:rPr>
          <w:rFonts w:hint="eastAsia" w:hAnsi="宋体" w:eastAsia="宋体" w:cs="宋体"/>
          <w:b/>
          <w:bCs/>
          <w:color w:val="auto"/>
          <w:sz w:val="24"/>
          <w:szCs w:val="24"/>
          <w:highlight w:val="none"/>
        </w:rPr>
        <w:t>附件：</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1.资格性和符合性审查表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2.综合评分表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3.报价表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4.业绩情况汇总表</w:t>
      </w:r>
    </w:p>
    <w:p>
      <w:pPr>
        <w:pStyle w:val="11"/>
        <w:adjustRightInd w:val="0"/>
        <w:snapToGrid w:val="0"/>
        <w:spacing w:line="360" w:lineRule="auto"/>
        <w:ind w:firstLine="480" w:firstLineChars="200"/>
        <w:jc w:val="left"/>
        <w:rPr>
          <w:rFonts w:hAnsi="宋体" w:eastAsia="宋体" w:cs="宋体"/>
          <w:color w:val="auto"/>
          <w:sz w:val="24"/>
          <w:szCs w:val="24"/>
          <w:highlight w:val="none"/>
        </w:rPr>
      </w:pPr>
      <w:r>
        <w:rPr>
          <w:rFonts w:hint="eastAsia" w:hAnsi="宋体" w:eastAsia="宋体" w:cs="宋体"/>
          <w:color w:val="auto"/>
          <w:sz w:val="24"/>
          <w:szCs w:val="24"/>
          <w:highlight w:val="none"/>
        </w:rPr>
        <w:t>5.项目负责人及其他人员配备情况表</w:t>
      </w:r>
    </w:p>
    <w:p>
      <w:pPr>
        <w:pStyle w:val="11"/>
        <w:adjustRightInd w:val="0"/>
        <w:snapToGrid w:val="0"/>
        <w:spacing w:line="360" w:lineRule="auto"/>
        <w:ind w:firstLine="480" w:firstLineChars="200"/>
        <w:jc w:val="left"/>
        <w:rPr>
          <w:rFonts w:hint="eastAsia" w:hAnsi="宋体" w:eastAsia="宋体" w:cs="宋体"/>
          <w:color w:val="auto"/>
          <w:sz w:val="24"/>
          <w:szCs w:val="24"/>
          <w:highlight w:val="none"/>
        </w:rPr>
      </w:pPr>
      <w:r>
        <w:rPr>
          <w:rFonts w:hint="eastAsia" w:hAnsi="宋体" w:eastAsia="宋体" w:cs="宋体"/>
          <w:color w:val="auto"/>
          <w:sz w:val="24"/>
          <w:szCs w:val="24"/>
          <w:highlight w:val="none"/>
        </w:rPr>
        <w:t>6.承诺书</w:t>
      </w:r>
    </w:p>
    <w:p>
      <w:pPr>
        <w:pStyle w:val="11"/>
        <w:adjustRightInd w:val="0"/>
        <w:snapToGrid w:val="0"/>
        <w:spacing w:line="360" w:lineRule="auto"/>
        <w:ind w:firstLine="480" w:firstLineChars="200"/>
        <w:jc w:val="left"/>
        <w:rPr>
          <w:rFonts w:hint="eastAsia" w:hAnsi="宋体" w:eastAsia="宋体" w:cs="宋体"/>
          <w:color w:val="auto"/>
          <w:sz w:val="24"/>
          <w:szCs w:val="24"/>
          <w:highlight w:val="none"/>
          <w:lang w:val="en-US" w:eastAsia="zh-CN"/>
        </w:rPr>
      </w:pPr>
      <w:r>
        <w:rPr>
          <w:rFonts w:hint="eastAsia" w:hAnsi="宋体" w:eastAsia="宋体" w:cs="宋体"/>
          <w:color w:val="auto"/>
          <w:sz w:val="24"/>
          <w:szCs w:val="24"/>
          <w:highlight w:val="none"/>
          <w:lang w:val="en-US" w:eastAsia="zh-CN"/>
        </w:rPr>
        <w:t>7.联合体共同报价协议</w:t>
      </w:r>
    </w:p>
    <w:p>
      <w:pPr>
        <w:pStyle w:val="11"/>
        <w:adjustRightInd w:val="0"/>
        <w:snapToGrid w:val="0"/>
        <w:spacing w:line="360" w:lineRule="auto"/>
        <w:ind w:firstLine="480" w:firstLineChars="200"/>
        <w:jc w:val="left"/>
        <w:rPr>
          <w:rFonts w:hint="eastAsia" w:hAnsi="宋体" w:eastAsia="宋体" w:cs="宋体"/>
          <w:color w:val="auto"/>
          <w:sz w:val="24"/>
          <w:szCs w:val="24"/>
          <w:highlight w:val="none"/>
        </w:rPr>
        <w:sectPr>
          <w:headerReference r:id="rId6" w:type="default"/>
          <w:pgSz w:w="11906" w:h="16838"/>
          <w:pgMar w:top="1418" w:right="1457" w:bottom="1418" w:left="1457" w:header="851" w:footer="992" w:gutter="0"/>
          <w:cols w:space="720" w:num="1"/>
          <w:docGrid w:type="lines" w:linePitch="312" w:charSpace="0"/>
        </w:sectPr>
      </w:pPr>
      <w:r>
        <w:rPr>
          <w:rFonts w:hint="eastAsia" w:hAnsi="宋体" w:eastAsia="宋体" w:cs="宋体"/>
          <w:color w:val="auto"/>
          <w:sz w:val="24"/>
          <w:szCs w:val="24"/>
          <w:highlight w:val="none"/>
          <w:lang w:val="en-US" w:eastAsia="zh-CN"/>
        </w:rPr>
        <w:t>8.附图</w:t>
      </w:r>
    </w:p>
    <w:p>
      <w:pPr>
        <w:pStyle w:val="2"/>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附件一</w:t>
      </w:r>
    </w:p>
    <w:p>
      <w:pPr>
        <w:pStyle w:val="11"/>
        <w:spacing w:line="360" w:lineRule="auto"/>
        <w:jc w:val="center"/>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资格性和符合性审查表</w:t>
      </w:r>
    </w:p>
    <w:p>
      <w:pPr>
        <w:spacing w:line="360" w:lineRule="auto"/>
        <w:rPr>
          <w:rFonts w:asciiTheme="minorEastAsia" w:hAnsiTheme="minorEastAsia" w:cstheme="minorEastAsia"/>
          <w:color w:val="auto"/>
          <w:szCs w:val="21"/>
          <w:highlight w:val="none"/>
          <w:u w:val="single"/>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u w:val="single"/>
        </w:rPr>
        <w:t>多宝街丛桂、恩宁片区微改造项目（丛桂、恩宁社区）可行性研究报告及实施方案编制</w:t>
      </w:r>
    </w:p>
    <w:tbl>
      <w:tblPr>
        <w:tblStyle w:val="20"/>
        <w:tblW w:w="9199" w:type="dxa"/>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83"/>
        <w:gridCol w:w="1133"/>
        <w:gridCol w:w="113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98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审查内容</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报价人1</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报价人2</w:t>
            </w:r>
          </w:p>
        </w:tc>
        <w:tc>
          <w:tcPr>
            <w:tcW w:w="1133"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983" w:type="dxa"/>
            <w:vAlign w:val="center"/>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 w:val="24"/>
                <w:szCs w:val="24"/>
                <w:highlight w:val="none"/>
              </w:rPr>
              <w:t>报价人具有独立法人资格，持有市场监督（工商行政）管理部门核发的法人营业执照或各级登记管理机关颁发的事业单位法人证书，按国家法律经营。</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983" w:type="dxa"/>
            <w:vAlign w:val="center"/>
          </w:tcPr>
          <w:p>
            <w:pPr>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24"/>
                <w:szCs w:val="24"/>
                <w:highlight w:val="none"/>
              </w:rPr>
              <w:t>项目负责人具有工程类高级工程师职称（或以上）资格及本单位近1个月的社保证明。</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17" w:type="dxa"/>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983" w:type="dxa"/>
            <w:vAlign w:val="center"/>
          </w:tcPr>
          <w:p>
            <w:pPr>
              <w:jc w:val="left"/>
              <w:rPr>
                <w:rFonts w:hint="eastAsia" w:ascii="宋体" w:hAnsi="宋体" w:cs="宋体" w:eastAsiaTheme="minorEastAsia"/>
                <w:color w:val="auto"/>
                <w:sz w:val="24"/>
                <w:szCs w:val="24"/>
                <w:highlight w:val="none"/>
                <w:lang w:eastAsia="zh-CN"/>
              </w:rPr>
            </w:pPr>
            <w:r>
              <w:rPr>
                <w:rFonts w:hint="eastAsia" w:ascii="宋体" w:hAnsi="宋体" w:cs="宋体"/>
                <w:color w:val="auto"/>
                <w:sz w:val="24"/>
                <w:szCs w:val="24"/>
                <w:highlight w:val="none"/>
                <w:lang w:eastAsia="zh-CN"/>
              </w:rPr>
              <w:t>报价人</w:t>
            </w:r>
            <w:r>
              <w:rPr>
                <w:rFonts w:hint="eastAsia" w:ascii="宋体" w:hAnsi="宋体" w:cs="宋体"/>
                <w:color w:val="auto"/>
                <w:sz w:val="24"/>
                <w:szCs w:val="24"/>
                <w:highlight w:val="none"/>
              </w:rPr>
              <w:t>具有行政主管部门颁发的城乡规划编制资质证书乙级或以上资质</w:t>
            </w:r>
            <w:r>
              <w:rPr>
                <w:rFonts w:hint="eastAsia" w:ascii="宋体" w:hAnsi="宋体" w:cs="宋体"/>
                <w:color w:val="auto"/>
                <w:sz w:val="24"/>
                <w:szCs w:val="24"/>
                <w:highlight w:val="none"/>
                <w:lang w:eastAsia="zh-CN"/>
              </w:rPr>
              <w:t>。</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7" w:type="dxa"/>
            <w:vAlign w:val="center"/>
          </w:tcPr>
          <w:p>
            <w:pPr>
              <w:pStyle w:val="11"/>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4</w:t>
            </w:r>
          </w:p>
        </w:tc>
        <w:tc>
          <w:tcPr>
            <w:tcW w:w="4983" w:type="dxa"/>
            <w:vAlign w:val="center"/>
          </w:tcPr>
          <w:p>
            <w:pPr>
              <w:jc w:val="left"/>
              <w:rPr>
                <w:rFonts w:hint="eastAsia" w:ascii="宋体" w:hAnsi="宋体" w:cs="宋体" w:eastAsiaTheme="minorEastAsia"/>
                <w:color w:val="auto"/>
                <w:sz w:val="24"/>
                <w:szCs w:val="24"/>
                <w:highlight w:val="none"/>
                <w:lang w:eastAsia="zh-CN"/>
              </w:rPr>
            </w:pPr>
            <w:r>
              <w:rPr>
                <w:rFonts w:hint="eastAsia" w:asciiTheme="minorEastAsia" w:hAnsiTheme="minorEastAsia" w:cstheme="minorEastAsia"/>
                <w:color w:val="auto"/>
                <w:sz w:val="24"/>
                <w:szCs w:val="24"/>
                <w:highlight w:val="none"/>
              </w:rPr>
              <w:t>本项目接受不超过两家组成的联合体报价</w:t>
            </w:r>
            <w:r>
              <w:rPr>
                <w:rFonts w:hint="eastAsia" w:asciiTheme="minorEastAsia" w:hAnsiTheme="minorEastAsia" w:cstheme="minorEastAsia"/>
                <w:color w:val="auto"/>
                <w:sz w:val="24"/>
                <w:szCs w:val="24"/>
                <w:highlight w:val="none"/>
                <w:lang w:eastAsia="zh-CN"/>
              </w:rPr>
              <w:t>。</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817" w:type="dxa"/>
            <w:vAlign w:val="center"/>
          </w:tcPr>
          <w:p>
            <w:pPr>
              <w:pStyle w:val="11"/>
              <w:spacing w:line="360" w:lineRule="auto"/>
              <w:jc w:val="center"/>
              <w:rPr>
                <w:rFonts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rPr>
              <w:t>5</w:t>
            </w:r>
          </w:p>
        </w:tc>
        <w:tc>
          <w:tcPr>
            <w:tcW w:w="4983" w:type="dxa"/>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报价总金额是固定价且是唯一的，未超过本项目最高报价限价，可行性研究部分有效报价下浮率为20%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30%，实施方案部分有效报价下浮率为0</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10%。</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17" w:type="dxa"/>
            <w:vAlign w:val="center"/>
          </w:tcPr>
          <w:p>
            <w:pPr>
              <w:pStyle w:val="11"/>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4983" w:type="dxa"/>
            <w:vAlign w:val="center"/>
          </w:tcPr>
          <w:p>
            <w:pPr>
              <w:jc w:val="left"/>
              <w:rPr>
                <w:rFonts w:ascii="宋体" w:hAnsi="宋体" w:cs="宋体"/>
                <w:color w:val="auto"/>
                <w:sz w:val="24"/>
                <w:szCs w:val="24"/>
                <w:highlight w:val="none"/>
              </w:rPr>
            </w:pPr>
            <w:r>
              <w:rPr>
                <w:rFonts w:hint="eastAsia" w:ascii="宋体" w:hAnsi="宋体" w:cs="宋体"/>
                <w:color w:val="auto"/>
                <w:sz w:val="24"/>
                <w:szCs w:val="24"/>
                <w:highlight w:val="none"/>
              </w:rPr>
              <w:t>报价文件按询比文件的要求编制、签署及盖章。</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800" w:type="dxa"/>
            <w:gridSpan w:val="2"/>
            <w:vAlign w:val="center"/>
          </w:tcPr>
          <w:p>
            <w:pPr>
              <w:pStyle w:val="11"/>
              <w:spacing w:line="360" w:lineRule="auto"/>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结论</w:t>
            </w: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c>
          <w:tcPr>
            <w:tcW w:w="1133" w:type="dxa"/>
          </w:tcPr>
          <w:p>
            <w:pPr>
              <w:pStyle w:val="11"/>
              <w:spacing w:line="360" w:lineRule="auto"/>
              <w:rPr>
                <w:rFonts w:asciiTheme="minorEastAsia" w:hAnsiTheme="minorEastAsia" w:eastAsiaTheme="minorEastAsia" w:cstheme="minorEastAsia"/>
                <w:color w:val="auto"/>
                <w:sz w:val="24"/>
                <w:szCs w:val="24"/>
                <w:highlight w:val="none"/>
              </w:rPr>
            </w:pPr>
          </w:p>
        </w:tc>
      </w:tr>
    </w:tbl>
    <w:p>
      <w:pPr>
        <w:pStyle w:val="11"/>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注：1. 每一项符合的打“√”，不符合的打“×”。</w:t>
      </w:r>
    </w:p>
    <w:p>
      <w:pPr>
        <w:pStyle w:val="11"/>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 “结论”一栏填写“通过”或“不通过”；任何一项出现“×”的，结论为不通过；不通过的为无效报价。</w:t>
      </w:r>
    </w:p>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pPr>
        <w:widowControl/>
        <w:shd w:val="clear" w:color="auto" w:fill="FFFFFF"/>
        <w:spacing w:before="150" w:after="15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附件二</w:t>
      </w:r>
    </w:p>
    <w:p>
      <w:pPr>
        <w:widowControl/>
        <w:shd w:val="clear" w:color="auto" w:fill="FFFFFF"/>
        <w:spacing w:before="150" w:after="150"/>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综合评分表</w:t>
      </w:r>
    </w:p>
    <w:p>
      <w:pPr>
        <w:widowControl/>
        <w:spacing w:before="100" w:beforeAutospacing="1" w:after="100" w:afterAutospacing="1"/>
        <w:jc w:val="left"/>
        <w:rPr>
          <w:rFonts w:asciiTheme="minorEastAsia" w:hAnsiTheme="minorEastAsia" w:cstheme="minorEastAsia"/>
          <w:b/>
          <w:bCs/>
          <w:color w:val="auto"/>
          <w:szCs w:val="21"/>
          <w:highlight w:val="none"/>
        </w:rPr>
      </w:pPr>
      <w:r>
        <w:rPr>
          <w:rFonts w:hint="eastAsia" w:asciiTheme="minorEastAsia" w:hAnsiTheme="minorEastAsia" w:cstheme="minorEastAsia"/>
          <w:color w:val="auto"/>
          <w:szCs w:val="21"/>
          <w:highlight w:val="none"/>
        </w:rPr>
        <w:t>项目名称：</w:t>
      </w:r>
      <w:r>
        <w:rPr>
          <w:rFonts w:hint="eastAsia" w:asciiTheme="minorEastAsia" w:hAnsiTheme="minorEastAsia" w:cstheme="minorEastAsia"/>
          <w:color w:val="auto"/>
          <w:szCs w:val="21"/>
          <w:highlight w:val="none"/>
          <w:u w:val="single"/>
        </w:rPr>
        <w:t>多宝街丛桂、恩宁片区微改造项目（丛桂、恩宁社区）可行性研究报告及实施方案编制</w:t>
      </w:r>
    </w:p>
    <w:tbl>
      <w:tblPr>
        <w:tblStyle w:val="20"/>
        <w:tblW w:w="9491" w:type="dxa"/>
        <w:jc w:val="center"/>
        <w:tblLayout w:type="fixed"/>
        <w:tblCellMar>
          <w:top w:w="0" w:type="dxa"/>
          <w:left w:w="108" w:type="dxa"/>
          <w:bottom w:w="0" w:type="dxa"/>
          <w:right w:w="108" w:type="dxa"/>
        </w:tblCellMar>
      </w:tblPr>
      <w:tblGrid>
        <w:gridCol w:w="767"/>
        <w:gridCol w:w="1105"/>
        <w:gridCol w:w="541"/>
        <w:gridCol w:w="7078"/>
      </w:tblGrid>
      <w:tr>
        <w:tblPrEx>
          <w:tblCellMar>
            <w:top w:w="0" w:type="dxa"/>
            <w:left w:w="108" w:type="dxa"/>
            <w:bottom w:w="0" w:type="dxa"/>
            <w:right w:w="108" w:type="dxa"/>
          </w:tblCellMar>
        </w:tblPrEx>
        <w:trPr>
          <w:trHeight w:val="445" w:hRule="atLeast"/>
          <w:jc w:val="center"/>
        </w:trPr>
        <w:tc>
          <w:tcPr>
            <w:tcW w:w="767"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评审</w:t>
            </w:r>
            <w:r>
              <w:rPr>
                <w:rFonts w:hint="eastAsia" w:asciiTheme="minorEastAsia" w:hAnsiTheme="minorEastAsia" w:cstheme="minorEastAsia"/>
                <w:color w:val="auto"/>
                <w:sz w:val="24"/>
                <w:szCs w:val="24"/>
                <w:highlight w:val="none"/>
              </w:rPr>
              <w:br w:type="textWrapping"/>
            </w:r>
            <w:r>
              <w:rPr>
                <w:rFonts w:hint="eastAsia" w:asciiTheme="minorEastAsia" w:hAnsiTheme="minorEastAsia" w:cstheme="minorEastAsia"/>
                <w:color w:val="auto"/>
                <w:sz w:val="24"/>
                <w:szCs w:val="24"/>
                <w:highlight w:val="none"/>
              </w:rPr>
              <w:t>项目</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评审</w:t>
            </w:r>
            <w:r>
              <w:rPr>
                <w:rFonts w:hint="eastAsia" w:asciiTheme="minorEastAsia" w:hAnsiTheme="minorEastAsia" w:cstheme="minorEastAsia"/>
                <w:color w:val="auto"/>
                <w:sz w:val="24"/>
                <w:szCs w:val="24"/>
                <w:highlight w:val="none"/>
              </w:rPr>
              <w:br w:type="textWrapping"/>
            </w:r>
            <w:r>
              <w:rPr>
                <w:rFonts w:hint="eastAsia" w:asciiTheme="minorEastAsia" w:hAnsiTheme="minorEastAsia" w:cstheme="minorEastAsia"/>
                <w:color w:val="auto"/>
                <w:sz w:val="24"/>
                <w:szCs w:val="24"/>
                <w:highlight w:val="none"/>
              </w:rPr>
              <w:t>内容</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zh-CN"/>
              </w:rPr>
              <w:t>分值</w:t>
            </w:r>
          </w:p>
        </w:tc>
        <w:tc>
          <w:tcPr>
            <w:tcW w:w="7078"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评分标准</w:t>
            </w:r>
          </w:p>
        </w:tc>
      </w:tr>
      <w:tr>
        <w:tblPrEx>
          <w:tblCellMar>
            <w:top w:w="0" w:type="dxa"/>
            <w:left w:w="108" w:type="dxa"/>
            <w:bottom w:w="0" w:type="dxa"/>
            <w:right w:w="108" w:type="dxa"/>
          </w:tblCellMar>
        </w:tblPrEx>
        <w:trPr>
          <w:trHeight w:val="1526" w:hRule="atLeast"/>
          <w:jc w:val="center"/>
        </w:trPr>
        <w:tc>
          <w:tcPr>
            <w:tcW w:w="767" w:type="dxa"/>
            <w:vMerge w:val="restart"/>
            <w:tcBorders>
              <w:left w:val="single" w:color="auto" w:sz="6"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商务技术部分（</w:t>
            </w:r>
            <w:r>
              <w:rPr>
                <w:rFonts w:hint="eastAsia" w:asciiTheme="minorEastAsia" w:hAnsiTheme="minorEastAsia" w:cstheme="minorEastAsia"/>
                <w:color w:val="auto"/>
                <w:szCs w:val="21"/>
                <w:highlight w:val="none"/>
                <w:lang w:val="en-US" w:eastAsia="zh-CN"/>
              </w:rPr>
              <w:t>80</w:t>
            </w:r>
            <w:r>
              <w:rPr>
                <w:rFonts w:hint="eastAsia" w:asciiTheme="minorEastAsia" w:hAnsiTheme="minorEastAsia" w:cstheme="minorEastAsia"/>
                <w:color w:val="auto"/>
                <w:szCs w:val="21"/>
                <w:highlight w:val="none"/>
              </w:rPr>
              <w:t>分）</w:t>
            </w: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zh-CN"/>
              </w:rPr>
              <w:t>项目业绩</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ascii="宋体" w:hAnsi="宋体" w:cs="宋体"/>
                <w:color w:val="auto"/>
                <w:szCs w:val="21"/>
                <w:highlight w:val="none"/>
              </w:rPr>
            </w:pPr>
            <w:r>
              <w:rPr>
                <w:rFonts w:hint="eastAsia" w:ascii="宋体" w:hAnsi="宋体" w:cs="宋体"/>
                <w:color w:val="auto"/>
                <w:szCs w:val="21"/>
                <w:highlight w:val="none"/>
              </w:rPr>
              <w:t>30</w:t>
            </w:r>
          </w:p>
        </w:tc>
        <w:tc>
          <w:tcPr>
            <w:tcW w:w="7078" w:type="dxa"/>
            <w:tcBorders>
              <w:top w:val="single" w:color="auto" w:sz="6" w:space="0"/>
              <w:left w:val="single" w:color="auto" w:sz="6" w:space="0"/>
              <w:right w:val="single" w:color="auto" w:sz="6" w:space="0"/>
            </w:tcBorders>
            <w:noWrap/>
            <w:vAlign w:val="center"/>
          </w:tcPr>
          <w:p>
            <w:pPr>
              <w:autoSpaceDE w:val="0"/>
              <w:autoSpaceDN w:val="0"/>
              <w:adjustRightInd w:val="0"/>
              <w:snapToGrid w:val="0"/>
              <w:rPr>
                <w:rFonts w:hint="eastAsia" w:ascii="宋体" w:hAnsi="宋体" w:eastAsia="宋体" w:cs="宋体"/>
                <w:color w:val="auto"/>
                <w:highlight w:val="none"/>
              </w:rPr>
            </w:pPr>
            <w:r>
              <w:rPr>
                <w:rFonts w:hint="eastAsia" w:ascii="宋体" w:hAnsi="宋体" w:eastAsia="宋体" w:cs="宋体"/>
                <w:color w:val="auto"/>
                <w:highlight w:val="none"/>
              </w:rPr>
              <w:t>1.2017年1月1日至今承接过老旧小区微改造实施方案</w:t>
            </w:r>
            <w:r>
              <w:rPr>
                <w:rFonts w:hint="eastAsia" w:ascii="宋体" w:hAnsi="宋体" w:eastAsia="宋体" w:cs="宋体"/>
                <w:color w:val="auto"/>
                <w:highlight w:val="none"/>
                <w:lang w:val="en-US" w:eastAsia="zh-CN"/>
              </w:rPr>
              <w:t>编制</w:t>
            </w:r>
            <w:r>
              <w:rPr>
                <w:rFonts w:hint="eastAsia" w:ascii="宋体" w:hAnsi="宋体" w:eastAsia="宋体" w:cs="宋体"/>
                <w:color w:val="auto"/>
                <w:highlight w:val="none"/>
              </w:rPr>
              <w:t>的，每项得</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分，最高得</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分。</w:t>
            </w:r>
          </w:p>
          <w:p>
            <w:pPr>
              <w:autoSpaceDE w:val="0"/>
              <w:autoSpaceDN w:val="0"/>
              <w:adjustRightInd w:val="0"/>
              <w:snapToGrid w:val="0"/>
              <w:rPr>
                <w:rFonts w:hint="eastAsia" w:ascii="宋体" w:hAnsi="宋体" w:eastAsia="宋体" w:cs="宋体"/>
                <w:color w:val="auto"/>
                <w:kern w:val="2"/>
                <w:sz w:val="21"/>
                <w:szCs w:val="22"/>
                <w:highlight w:val="none"/>
                <w:lang w:bidi="ar"/>
              </w:rPr>
            </w:pPr>
            <w:r>
              <w:rPr>
                <w:rFonts w:hint="eastAsia" w:ascii="宋体" w:hAnsi="宋体" w:eastAsia="宋体" w:cs="宋体"/>
                <w:color w:val="auto"/>
                <w:kern w:val="2"/>
                <w:sz w:val="21"/>
                <w:szCs w:val="22"/>
                <w:highlight w:val="none"/>
                <w:lang w:val="en-US" w:eastAsia="zh-CN" w:bidi="ar"/>
              </w:rPr>
              <w:t>2</w:t>
            </w:r>
            <w:r>
              <w:rPr>
                <w:rFonts w:hint="eastAsia" w:ascii="宋体" w:hAnsi="宋体" w:eastAsia="宋体" w:cs="宋体"/>
                <w:color w:val="auto"/>
                <w:kern w:val="2"/>
                <w:sz w:val="21"/>
                <w:szCs w:val="22"/>
                <w:highlight w:val="none"/>
                <w:lang w:bidi="ar"/>
              </w:rPr>
              <w:t>.2017年1月1日起至今承接过老旧小区微改造可行性研究报告编制的，每项得</w:t>
            </w:r>
            <w:r>
              <w:rPr>
                <w:rFonts w:hint="eastAsia" w:ascii="宋体" w:hAnsi="宋体" w:eastAsia="宋体" w:cs="宋体"/>
                <w:color w:val="auto"/>
                <w:kern w:val="2"/>
                <w:sz w:val="21"/>
                <w:szCs w:val="22"/>
                <w:highlight w:val="none"/>
                <w:lang w:val="en-US" w:eastAsia="zh-CN" w:bidi="ar"/>
              </w:rPr>
              <w:t>1</w:t>
            </w:r>
            <w:r>
              <w:rPr>
                <w:rFonts w:hint="eastAsia" w:ascii="宋体" w:hAnsi="宋体" w:eastAsia="宋体" w:cs="宋体"/>
                <w:color w:val="auto"/>
                <w:kern w:val="2"/>
                <w:sz w:val="21"/>
                <w:szCs w:val="22"/>
                <w:highlight w:val="none"/>
                <w:lang w:bidi="ar"/>
              </w:rPr>
              <w:t>分，最高得10分。</w:t>
            </w:r>
          </w:p>
          <w:p>
            <w:pPr>
              <w:autoSpaceDE w:val="0"/>
              <w:autoSpaceDN w:val="0"/>
              <w:adjustRightInd w:val="0"/>
              <w:snapToGrid w:val="0"/>
              <w:rPr>
                <w:rFonts w:ascii="宋体" w:hAnsi="宋体" w:cs="宋体"/>
                <w:color w:val="auto"/>
                <w:highlight w:val="none"/>
              </w:rPr>
            </w:pPr>
            <w:r>
              <w:rPr>
                <w:rFonts w:hint="eastAsia" w:ascii="宋体" w:hAnsi="宋体" w:eastAsia="宋体" w:cs="宋体"/>
                <w:bCs w:val="0"/>
                <w:color w:val="auto"/>
                <w:highlight w:val="none"/>
                <w:lang w:val="zh-CN"/>
              </w:rPr>
              <w:t>本项合计最高得3</w:t>
            </w:r>
            <w:r>
              <w:rPr>
                <w:rFonts w:hint="eastAsia" w:ascii="宋体" w:hAnsi="宋体" w:eastAsia="宋体" w:cs="宋体"/>
                <w:bCs w:val="0"/>
                <w:color w:val="auto"/>
                <w:highlight w:val="none"/>
              </w:rPr>
              <w:t>0</w:t>
            </w:r>
            <w:r>
              <w:rPr>
                <w:rFonts w:hint="eastAsia" w:ascii="宋体" w:hAnsi="宋体" w:eastAsia="宋体" w:cs="宋体"/>
                <w:bCs w:val="0"/>
                <w:color w:val="auto"/>
                <w:highlight w:val="none"/>
                <w:lang w:val="zh-CN"/>
              </w:rPr>
              <w:t>分。</w:t>
            </w:r>
          </w:p>
        </w:tc>
      </w:tr>
      <w:tr>
        <w:tblPrEx>
          <w:tblCellMar>
            <w:top w:w="0" w:type="dxa"/>
            <w:left w:w="108" w:type="dxa"/>
            <w:bottom w:w="0" w:type="dxa"/>
            <w:right w:w="108" w:type="dxa"/>
          </w:tblCellMar>
        </w:tblPrEx>
        <w:trPr>
          <w:trHeight w:val="1270"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jc w:val="center"/>
              <w:rPr>
                <w:rFonts w:hint="eastAsia" w:asciiTheme="minorEastAsia" w:hAnsiTheme="minorEastAsia" w:cstheme="minorEastAsia"/>
                <w:color w:val="auto"/>
                <w:szCs w:val="21"/>
                <w:highlight w:val="none"/>
              </w:rPr>
            </w:pPr>
          </w:p>
        </w:tc>
        <w:tc>
          <w:tcPr>
            <w:tcW w:w="1105"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40" w:lineRule="exact"/>
              <w:jc w:val="center"/>
              <w:rPr>
                <w:rFonts w:hint="eastAsia"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获奖情况</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260" w:lineRule="exact"/>
              <w:jc w:val="center"/>
              <w:rPr>
                <w:rFonts w:hint="eastAsia"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5</w:t>
            </w:r>
          </w:p>
        </w:tc>
        <w:tc>
          <w:tcPr>
            <w:tcW w:w="7078" w:type="dxa"/>
            <w:tcBorders>
              <w:top w:val="single" w:color="auto" w:sz="6" w:space="0"/>
              <w:left w:val="single" w:color="auto" w:sz="6" w:space="0"/>
              <w:right w:val="single" w:color="auto" w:sz="6" w:space="0"/>
            </w:tcBorders>
            <w:noWrap/>
            <w:vAlign w:val="center"/>
          </w:tcPr>
          <w:p>
            <w:pPr>
              <w:autoSpaceDE w:val="0"/>
              <w:autoSpaceDN w:val="0"/>
              <w:adjustRightInd w:val="0"/>
              <w:snapToGrid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2017年1月1日至今，</w:t>
            </w:r>
            <w:r>
              <w:rPr>
                <w:rFonts w:hint="eastAsia" w:ascii="宋体" w:hAnsi="宋体" w:eastAsia="宋体" w:cs="宋体"/>
                <w:color w:val="auto"/>
                <w:highlight w:val="none"/>
              </w:rPr>
              <w:t>获得过国家级城乡规划设计类奖项</w:t>
            </w:r>
            <w:r>
              <w:rPr>
                <w:rFonts w:hint="eastAsia" w:ascii="宋体" w:hAnsi="宋体" w:eastAsia="宋体" w:cs="宋体"/>
                <w:color w:val="auto"/>
                <w:highlight w:val="none"/>
                <w:lang w:val="en-US" w:eastAsia="zh-CN"/>
              </w:rPr>
              <w:t>的，每项得2分；</w:t>
            </w:r>
            <w:r>
              <w:rPr>
                <w:rFonts w:hint="eastAsia" w:ascii="宋体" w:hAnsi="宋体" w:eastAsia="宋体" w:cs="宋体"/>
                <w:color w:val="auto"/>
                <w:highlight w:val="none"/>
              </w:rPr>
              <w:t>获得过省级优秀城乡规划设计类奖项的</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每项得1分。最高得5分</w:t>
            </w:r>
          </w:p>
          <w:p>
            <w:pPr>
              <w:autoSpaceDE w:val="0"/>
              <w:autoSpaceDN w:val="0"/>
              <w:adjustRightInd w:val="0"/>
              <w:snapToGrid w:val="0"/>
              <w:rPr>
                <w:rFonts w:hint="default"/>
                <w:color w:val="auto"/>
                <w:highlight w:val="none"/>
                <w:lang w:val="en-US" w:eastAsia="zh-CN"/>
              </w:rPr>
            </w:pPr>
            <w:r>
              <w:rPr>
                <w:rFonts w:hint="eastAsia" w:ascii="宋体" w:hAnsi="宋体" w:eastAsia="宋体" w:cs="宋体"/>
                <w:color w:val="auto"/>
                <w:highlight w:val="none"/>
                <w:lang w:val="en-US" w:eastAsia="zh-CN"/>
              </w:rPr>
              <w:t>注：奖项须提供相关获奖证书复印件并加盖公章。（同一获奖项目，按获奖最高级别计算，不重复计分，以获奖证书的颁发时间为准。）</w:t>
            </w:r>
          </w:p>
        </w:tc>
      </w:tr>
      <w:tr>
        <w:tblPrEx>
          <w:tblCellMar>
            <w:top w:w="0" w:type="dxa"/>
            <w:left w:w="108" w:type="dxa"/>
            <w:bottom w:w="0" w:type="dxa"/>
            <w:right w:w="108" w:type="dxa"/>
          </w:tblCellMar>
        </w:tblPrEx>
        <w:trPr>
          <w:trHeight w:val="2268" w:hRule="atLeast"/>
          <w:jc w:val="center"/>
        </w:trPr>
        <w:tc>
          <w:tcPr>
            <w:tcW w:w="767" w:type="dxa"/>
            <w:vMerge w:val="continue"/>
            <w:tcBorders>
              <w:left w:val="single" w:color="auto" w:sz="6" w:space="0"/>
              <w:right w:val="single" w:color="auto" w:sz="6" w:space="0"/>
            </w:tcBorders>
            <w:noWrap/>
            <w:vAlign w:val="center"/>
          </w:tcPr>
          <w:p>
            <w:pPr>
              <w:autoSpaceDE w:val="0"/>
              <w:autoSpaceDN w:val="0"/>
              <w:adjustRightInd w:val="0"/>
              <w:spacing w:line="400" w:lineRule="exact"/>
              <w:jc w:val="center"/>
              <w:rPr>
                <w:rFonts w:asciiTheme="minorEastAsia" w:hAnsiTheme="minorEastAsia" w:cstheme="minorEastAsia"/>
                <w:color w:val="auto"/>
                <w:szCs w:val="21"/>
                <w:highlight w:val="none"/>
                <w:lang w:val="zh-CN"/>
              </w:rPr>
            </w:pPr>
          </w:p>
        </w:tc>
        <w:tc>
          <w:tcPr>
            <w:tcW w:w="1105" w:type="dxa"/>
            <w:tcBorders>
              <w:top w:val="single" w:color="auto" w:sz="6" w:space="0"/>
              <w:left w:val="single" w:color="auto" w:sz="6" w:space="0"/>
              <w:bottom w:val="single" w:color="auto" w:sz="4" w:space="0"/>
              <w:right w:val="single" w:color="auto" w:sz="6" w:space="0"/>
            </w:tcBorders>
            <w:noWrap/>
            <w:vAlign w:val="center"/>
          </w:tcPr>
          <w:p>
            <w:pPr>
              <w:autoSpaceDE w:val="0"/>
              <w:autoSpaceDN w:val="0"/>
              <w:adjustRightInd w:val="0"/>
              <w:spacing w:line="240" w:lineRule="exact"/>
              <w:jc w:val="center"/>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lang w:val="zh-CN"/>
              </w:rPr>
              <w:t>人员配备及技术水平</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24</w:t>
            </w:r>
          </w:p>
        </w:tc>
        <w:tc>
          <w:tcPr>
            <w:tcW w:w="7078" w:type="dxa"/>
            <w:tcBorders>
              <w:top w:val="single" w:color="auto" w:sz="6" w:space="0"/>
              <w:left w:val="single" w:color="auto" w:sz="6" w:space="0"/>
              <w:bottom w:val="single" w:color="auto" w:sz="4" w:space="0"/>
              <w:right w:val="single" w:color="auto" w:sz="6" w:space="0"/>
            </w:tcBorders>
            <w:noWrap/>
            <w:vAlign w:val="center"/>
          </w:tcPr>
          <w:p>
            <w:pPr>
              <w:pStyle w:val="2"/>
              <w:autoSpaceDE w:val="0"/>
              <w:autoSpaceDN w:val="0"/>
              <w:adjustRightInd w:val="0"/>
              <w:snapToGrid w:val="0"/>
              <w:rPr>
                <w:rFonts w:ascii="宋体" w:hAnsi="宋体" w:cs="宋体"/>
                <w:color w:val="auto"/>
                <w:highlight w:val="none"/>
              </w:rPr>
            </w:pPr>
            <w:r>
              <w:rPr>
                <w:rFonts w:hint="eastAsia" w:ascii="宋体" w:hAnsi="宋体" w:cs="宋体"/>
                <w:color w:val="auto"/>
                <w:highlight w:val="none"/>
              </w:rPr>
              <w:t>1.项目负责人具有城市（乡）规划师资格得6分；</w:t>
            </w:r>
          </w:p>
          <w:p>
            <w:pPr>
              <w:pStyle w:val="2"/>
              <w:rPr>
                <w:rFonts w:ascii="宋体" w:hAnsi="宋体" w:cs="宋体"/>
                <w:color w:val="auto"/>
                <w:highlight w:val="none"/>
              </w:rPr>
            </w:pPr>
            <w:r>
              <w:rPr>
                <w:rFonts w:hint="eastAsia" w:ascii="宋体" w:hAnsi="宋体" w:cs="宋体"/>
                <w:color w:val="auto"/>
                <w:highlight w:val="none"/>
              </w:rPr>
              <w:t>2.除项目负责人外，项目组成员，涵盖工程咨询、规划、建筑、电气、给排水、造价类注册人员的，每个专业得</w:t>
            </w:r>
            <w:r>
              <w:rPr>
                <w:rFonts w:hint="eastAsia" w:ascii="宋体" w:hAnsi="宋体" w:cs="宋体"/>
                <w:color w:val="auto"/>
                <w:highlight w:val="none"/>
                <w:lang w:val="en-US" w:eastAsia="zh-CN"/>
              </w:rPr>
              <w:t>3</w:t>
            </w:r>
            <w:r>
              <w:rPr>
                <w:rFonts w:hint="eastAsia" w:ascii="宋体" w:hAnsi="宋体" w:cs="宋体"/>
                <w:color w:val="auto"/>
                <w:highlight w:val="none"/>
              </w:rPr>
              <w:t>分，同一专业不重复得分，本项最高得</w:t>
            </w:r>
            <w:r>
              <w:rPr>
                <w:rFonts w:hint="eastAsia" w:ascii="宋体" w:hAnsi="宋体" w:cs="宋体"/>
                <w:color w:val="auto"/>
                <w:highlight w:val="none"/>
                <w:lang w:val="en-US" w:eastAsia="zh-CN"/>
              </w:rPr>
              <w:t>18</w:t>
            </w:r>
            <w:r>
              <w:rPr>
                <w:rFonts w:hint="eastAsia" w:ascii="宋体" w:hAnsi="宋体" w:cs="宋体"/>
                <w:color w:val="auto"/>
                <w:highlight w:val="none"/>
              </w:rPr>
              <w:t>分。</w:t>
            </w:r>
          </w:p>
          <w:p>
            <w:pPr>
              <w:pStyle w:val="2"/>
              <w:rPr>
                <w:rFonts w:ascii="宋体" w:hAnsi="宋体" w:cs="宋体"/>
                <w:color w:val="auto"/>
                <w:szCs w:val="21"/>
                <w:highlight w:val="none"/>
                <w:lang w:val="zh-CN"/>
              </w:rPr>
            </w:pPr>
            <w:r>
              <w:rPr>
                <w:rFonts w:hint="eastAsia" w:ascii="宋体" w:hAnsi="宋体" w:cs="宋体"/>
                <w:bCs/>
                <w:color w:val="auto"/>
                <w:szCs w:val="21"/>
                <w:highlight w:val="none"/>
              </w:rPr>
              <w:t>注：提供相关证明资料复印件并加盖公章，同一人员不重复计分，须提供相关人员近1个月在报价单位参加社会保险证明的证明文件（个人社保证明页）；没有的不得分。</w:t>
            </w:r>
          </w:p>
        </w:tc>
      </w:tr>
      <w:tr>
        <w:tblPrEx>
          <w:tblCellMar>
            <w:top w:w="0" w:type="dxa"/>
            <w:left w:w="108" w:type="dxa"/>
            <w:bottom w:w="0" w:type="dxa"/>
            <w:right w:w="108" w:type="dxa"/>
          </w:tblCellMar>
        </w:tblPrEx>
        <w:trPr>
          <w:trHeight w:val="1632" w:hRule="atLeast"/>
          <w:jc w:val="center"/>
        </w:trPr>
        <w:tc>
          <w:tcPr>
            <w:tcW w:w="767" w:type="dxa"/>
            <w:vMerge w:val="continue"/>
            <w:tcBorders>
              <w:left w:val="single" w:color="auto" w:sz="6" w:space="0"/>
              <w:bottom w:val="single" w:color="auto" w:sz="4"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Cs w:val="21"/>
                <w:highlight w:val="none"/>
                <w:lang w:val="zh-CN"/>
              </w:rPr>
            </w:pPr>
          </w:p>
        </w:tc>
        <w:tc>
          <w:tcPr>
            <w:tcW w:w="1105" w:type="dxa"/>
            <w:tcBorders>
              <w:top w:val="single" w:color="auto" w:sz="4" w:space="0"/>
              <w:left w:val="single" w:color="auto" w:sz="4" w:space="0"/>
              <w:bottom w:val="single" w:color="auto" w:sz="4" w:space="0"/>
              <w:right w:val="single" w:color="auto" w:sz="6" w:space="0"/>
            </w:tcBorders>
            <w:noWrap/>
            <w:vAlign w:val="center"/>
          </w:tcPr>
          <w:p>
            <w:pPr>
              <w:autoSpaceDE w:val="0"/>
              <w:autoSpaceDN w:val="0"/>
              <w:adjustRightInd w:val="0"/>
              <w:jc w:val="center"/>
              <w:rPr>
                <w:rFonts w:asciiTheme="minorEastAsia" w:hAnsiTheme="minorEastAsia" w:cstheme="minorEastAsia"/>
                <w:color w:val="auto"/>
                <w:szCs w:val="21"/>
                <w:highlight w:val="none"/>
                <w:lang w:val="zh-CN"/>
              </w:rPr>
            </w:pPr>
            <w:r>
              <w:rPr>
                <w:rFonts w:hint="eastAsia" w:asciiTheme="minorEastAsia" w:hAnsiTheme="minorEastAsia" w:cstheme="minorEastAsia"/>
                <w:color w:val="auto"/>
                <w:szCs w:val="21"/>
                <w:highlight w:val="none"/>
              </w:rPr>
              <w:t>企业</w:t>
            </w:r>
            <w:r>
              <w:rPr>
                <w:rFonts w:hint="eastAsia" w:asciiTheme="minorEastAsia" w:hAnsiTheme="minorEastAsia" w:cstheme="minorEastAsia"/>
                <w:color w:val="auto"/>
                <w:szCs w:val="21"/>
                <w:highlight w:val="none"/>
                <w:lang w:val="zh-CN"/>
              </w:rPr>
              <w:t>信用资信</w:t>
            </w:r>
          </w:p>
        </w:tc>
        <w:tc>
          <w:tcPr>
            <w:tcW w:w="541" w:type="dxa"/>
            <w:tcBorders>
              <w:top w:val="single" w:color="auto" w:sz="6" w:space="0"/>
              <w:left w:val="single" w:color="auto" w:sz="6" w:space="0"/>
              <w:right w:val="single" w:color="auto" w:sz="6" w:space="0"/>
            </w:tcBorders>
            <w:noWrap/>
            <w:vAlign w:val="center"/>
          </w:tcPr>
          <w:p>
            <w:pPr>
              <w:autoSpaceDE w:val="0"/>
              <w:autoSpaceDN w:val="0"/>
              <w:adjustRightInd w:val="0"/>
              <w:spacing w:line="260" w:lineRule="exact"/>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21</w:t>
            </w:r>
          </w:p>
        </w:tc>
        <w:tc>
          <w:tcPr>
            <w:tcW w:w="7078" w:type="dxa"/>
            <w:tcBorders>
              <w:top w:val="single" w:color="auto" w:sz="6" w:space="0"/>
              <w:left w:val="single" w:color="auto" w:sz="6" w:space="0"/>
              <w:bottom w:val="single" w:color="auto" w:sz="6" w:space="0"/>
              <w:right w:val="single" w:color="auto" w:sz="6" w:space="0"/>
            </w:tcBorders>
            <w:noWrap/>
            <w:vAlign w:val="center"/>
          </w:tcPr>
          <w:p>
            <w:pPr>
              <w:pStyle w:val="2"/>
              <w:rPr>
                <w:rFonts w:hint="eastAsia" w:ascii="宋体" w:hAnsi="宋体" w:cs="宋体"/>
                <w:color w:val="auto"/>
                <w:szCs w:val="21"/>
                <w:highlight w:val="none"/>
                <w:lang w:val="zh-CN"/>
              </w:rPr>
            </w:pPr>
            <w:r>
              <w:rPr>
                <w:rFonts w:hint="eastAsia" w:ascii="宋体" w:hAnsi="宋体" w:cs="宋体"/>
                <w:color w:val="auto"/>
                <w:szCs w:val="21"/>
                <w:highlight w:val="none"/>
                <w:lang w:val="zh-CN"/>
              </w:rPr>
              <w:t>1.至最新可查年度（含）获得过市级或以上守合同重信用企业证书连续年限：15年（不含15年）以上的得16分；10-15年的得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val="zh-CN"/>
              </w:rPr>
              <w:t>分；5-9年的得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分；4年及以下的得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分。没有不得分。</w:t>
            </w:r>
          </w:p>
          <w:p>
            <w:pPr>
              <w:pStyle w:val="2"/>
              <w:rPr>
                <w:rFonts w:hint="eastAsia" w:ascii="宋体" w:hAnsi="宋体" w:cs="宋体"/>
                <w:color w:val="auto"/>
                <w:szCs w:val="21"/>
                <w:highlight w:val="none"/>
                <w:lang w:val="zh-CN"/>
              </w:rPr>
            </w:pPr>
            <w:r>
              <w:rPr>
                <w:rFonts w:hint="eastAsia" w:ascii="宋体" w:hAnsi="宋体" w:cs="宋体"/>
                <w:color w:val="auto"/>
                <w:szCs w:val="21"/>
                <w:highlight w:val="none"/>
                <w:lang w:val="zh-CN"/>
              </w:rPr>
              <w:t>2.具有工程咨询单位甲级资信证书（专业包含建筑）的得5分；具有工程咨询单位乙级资信证书（专业包含建筑）的得</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val="zh-CN"/>
              </w:rPr>
              <w:t>分；没有的不得分。</w:t>
            </w:r>
          </w:p>
          <w:p>
            <w:pPr>
              <w:pStyle w:val="2"/>
              <w:rPr>
                <w:rFonts w:ascii="宋体" w:hAnsi="宋体" w:cs="宋体"/>
                <w:color w:val="auto"/>
                <w:highlight w:val="none"/>
              </w:rPr>
            </w:pPr>
            <w:r>
              <w:rPr>
                <w:rFonts w:hint="eastAsia" w:ascii="宋体" w:hAnsi="宋体" w:cs="宋体"/>
                <w:color w:val="auto"/>
                <w:szCs w:val="21"/>
                <w:highlight w:val="none"/>
                <w:lang w:val="zh-CN"/>
              </w:rPr>
              <w:t>本项合计最高得21分。</w:t>
            </w:r>
          </w:p>
        </w:tc>
      </w:tr>
      <w:tr>
        <w:tblPrEx>
          <w:tblCellMar>
            <w:top w:w="0" w:type="dxa"/>
            <w:left w:w="108" w:type="dxa"/>
            <w:bottom w:w="0" w:type="dxa"/>
            <w:right w:w="108" w:type="dxa"/>
          </w:tblCellMar>
        </w:tblPrEx>
        <w:trPr>
          <w:trHeight w:val="2269" w:hRule="atLeast"/>
          <w:jc w:val="center"/>
        </w:trPr>
        <w:tc>
          <w:tcPr>
            <w:tcW w:w="767" w:type="dxa"/>
            <w:tcBorders>
              <w:top w:val="single" w:color="auto" w:sz="6" w:space="0"/>
              <w:left w:val="single" w:color="auto" w:sz="6" w:space="0"/>
              <w:bottom w:val="single" w:color="auto" w:sz="6" w:space="0"/>
              <w:right w:val="single" w:color="auto" w:sz="4" w:space="0"/>
            </w:tcBorders>
            <w:noWrap/>
            <w:vAlign w:val="center"/>
          </w:tcPr>
          <w:p>
            <w:pPr>
              <w:autoSpaceDE w:val="0"/>
              <w:autoSpaceDN w:val="0"/>
              <w:adjustRightInd w:val="0"/>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报价</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部分</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（20分）</w:t>
            </w:r>
          </w:p>
        </w:tc>
        <w:tc>
          <w:tcPr>
            <w:tcW w:w="1105" w:type="dxa"/>
            <w:tcBorders>
              <w:top w:val="single" w:color="auto" w:sz="6" w:space="0"/>
              <w:left w:val="single" w:color="auto" w:sz="4" w:space="0"/>
              <w:bottom w:val="single" w:color="auto" w:sz="6" w:space="0"/>
              <w:right w:val="single" w:color="auto" w:sz="6" w:space="0"/>
            </w:tcBorders>
            <w:noWrap/>
            <w:vAlign w:val="center"/>
          </w:tcPr>
          <w:p>
            <w:pPr>
              <w:autoSpaceDE w:val="0"/>
              <w:autoSpaceDN w:val="0"/>
              <w:adjustRightInd w:val="0"/>
              <w:spacing w:line="360" w:lineRule="exact"/>
              <w:jc w:val="center"/>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报价</w:t>
            </w:r>
          </w:p>
        </w:tc>
        <w:tc>
          <w:tcPr>
            <w:tcW w:w="541"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20</w:t>
            </w:r>
          </w:p>
        </w:tc>
        <w:tc>
          <w:tcPr>
            <w:tcW w:w="7078" w:type="dxa"/>
            <w:tcBorders>
              <w:top w:val="single" w:color="auto" w:sz="6" w:space="0"/>
              <w:left w:val="single" w:color="auto" w:sz="6" w:space="0"/>
              <w:bottom w:val="single" w:color="auto" w:sz="6" w:space="0"/>
              <w:right w:val="single" w:color="auto" w:sz="6" w:space="0"/>
            </w:tcBorders>
            <w:noWrap/>
            <w:vAlign w:val="center"/>
          </w:tcPr>
          <w:p>
            <w:pPr>
              <w:ind w:firstLine="31" w:firstLineChars="15"/>
              <w:rPr>
                <w:rFonts w:ascii="宋体" w:hAnsi="宋体" w:cs="宋体"/>
                <w:color w:val="auto"/>
                <w:kern w:val="0"/>
                <w:szCs w:val="21"/>
                <w:highlight w:val="none"/>
              </w:rPr>
            </w:pPr>
            <w:r>
              <w:rPr>
                <w:rFonts w:hint="eastAsia" w:ascii="宋体" w:hAnsi="宋体" w:cs="宋体"/>
                <w:color w:val="auto"/>
                <w:kern w:val="0"/>
                <w:szCs w:val="21"/>
                <w:highlight w:val="none"/>
              </w:rPr>
              <w:t>当有效报价等于报价基准价时，报价得分为20分，报价每高于报价基准价1%，扣</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分，每低于1%，扣</w:t>
            </w:r>
            <w:r>
              <w:rPr>
                <w:rFonts w:hint="eastAsia" w:ascii="宋体" w:hAnsi="宋体" w:cs="宋体"/>
                <w:color w:val="auto"/>
                <w:kern w:val="0"/>
                <w:szCs w:val="21"/>
                <w:highlight w:val="none"/>
                <w:lang w:val="en-US" w:eastAsia="zh-CN"/>
              </w:rPr>
              <w:t>0.3</w:t>
            </w:r>
            <w:r>
              <w:rPr>
                <w:rFonts w:hint="eastAsia" w:ascii="宋体" w:hAnsi="宋体" w:cs="宋体"/>
                <w:color w:val="auto"/>
                <w:kern w:val="0"/>
                <w:szCs w:val="21"/>
                <w:highlight w:val="none"/>
              </w:rPr>
              <w:t>分，扣至0分为止，计算出报价得分，精确到小数点后两位。</w:t>
            </w:r>
          </w:p>
          <w:p>
            <w:pPr>
              <w:pStyle w:val="11"/>
              <w:jc w:val="left"/>
              <w:rPr>
                <w:rFonts w:hAnsi="宋体" w:eastAsia="宋体" w:cs="宋体"/>
                <w:color w:val="auto"/>
                <w:highlight w:val="none"/>
              </w:rPr>
            </w:pPr>
            <w:r>
              <w:rPr>
                <w:rFonts w:hint="eastAsia" w:hAnsi="宋体" w:eastAsia="宋体" w:cs="宋体"/>
                <w:color w:val="auto"/>
                <w:kern w:val="0"/>
                <w:szCs w:val="21"/>
                <w:highlight w:val="none"/>
              </w:rPr>
              <w:t>注：当有效报价人大于或等于5家时，去掉一个最高价和一个最低价，取余下有效报价的算术平均值的作为报价基准价。当有效报价人小于5家时，取所有入围有效报价的算术平均值的作为报价基准价</w:t>
            </w:r>
            <w:r>
              <w:rPr>
                <w:rFonts w:hint="eastAsia" w:hAnsi="宋体" w:eastAsia="宋体" w:cs="宋体"/>
                <w:color w:val="auto"/>
                <w:kern w:val="0"/>
                <w:szCs w:val="21"/>
                <w:highlight w:val="none"/>
                <w:lang w:eastAsia="zh-CN"/>
              </w:rPr>
              <w:t>。</w:t>
            </w:r>
            <w:r>
              <w:rPr>
                <w:rFonts w:hint="eastAsia" w:hAnsi="宋体" w:eastAsia="宋体" w:cs="宋体"/>
                <w:color w:val="auto"/>
                <w:kern w:val="0"/>
                <w:szCs w:val="21"/>
                <w:highlight w:val="none"/>
              </w:rPr>
              <w:t>（保留小数点后二位，第三位小数四舍五入）</w:t>
            </w:r>
          </w:p>
        </w:tc>
      </w:tr>
      <w:tr>
        <w:tblPrEx>
          <w:tblCellMar>
            <w:top w:w="0" w:type="dxa"/>
            <w:left w:w="108" w:type="dxa"/>
            <w:bottom w:w="0" w:type="dxa"/>
            <w:right w:w="108" w:type="dxa"/>
          </w:tblCellMar>
        </w:tblPrEx>
        <w:trPr>
          <w:trHeight w:val="342" w:hRule="atLeast"/>
          <w:jc w:val="center"/>
        </w:trPr>
        <w:tc>
          <w:tcPr>
            <w:tcW w:w="1872"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zh-CN"/>
              </w:rPr>
              <w:t>总计</w:t>
            </w:r>
          </w:p>
        </w:tc>
        <w:tc>
          <w:tcPr>
            <w:tcW w:w="7619" w:type="dxa"/>
            <w:gridSpan w:val="2"/>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360" w:lineRule="exact"/>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100</w:t>
            </w:r>
          </w:p>
        </w:tc>
      </w:tr>
    </w:tbl>
    <w:p>
      <w:pPr>
        <w:pStyle w:val="2"/>
        <w:rPr>
          <w:rFonts w:ascii="宋体" w:hAnsi="宋体" w:cs="宋体"/>
          <w:color w:val="auto"/>
          <w:szCs w:val="21"/>
          <w:highlight w:val="none"/>
          <w:lang w:val="zh-CN"/>
        </w:rPr>
      </w:pPr>
      <w:r>
        <w:rPr>
          <w:rFonts w:hint="eastAsia" w:ascii="宋体" w:hAnsi="宋体" w:cs="宋体"/>
          <w:color w:val="auto"/>
          <w:szCs w:val="21"/>
          <w:highlight w:val="none"/>
          <w:lang w:val="zh-CN"/>
        </w:rPr>
        <w:t>注：</w:t>
      </w:r>
      <w:r>
        <w:rPr>
          <w:rFonts w:hint="eastAsia" w:ascii="宋体" w:hAnsi="宋体" w:cs="宋体"/>
          <w:color w:val="auto"/>
          <w:szCs w:val="21"/>
          <w:highlight w:val="none"/>
        </w:rPr>
        <w:t>1.</w:t>
      </w:r>
      <w:r>
        <w:rPr>
          <w:rFonts w:hint="eastAsia" w:ascii="宋体" w:hAnsi="宋体" w:cs="宋体"/>
          <w:color w:val="auto"/>
          <w:szCs w:val="21"/>
          <w:highlight w:val="none"/>
          <w:lang w:val="zh-CN"/>
        </w:rPr>
        <w:t>企业业绩证明材料须提供合同和批复文件关键页复印件。（以合同签订时间为准），同一项目只计分一次。</w:t>
      </w:r>
    </w:p>
    <w:p>
      <w:pPr>
        <w:pStyle w:val="2"/>
        <w:rPr>
          <w:rFonts w:ascii="宋体" w:hAnsi="宋体" w:cs="宋体"/>
          <w:color w:val="auto"/>
          <w:szCs w:val="21"/>
          <w:highlight w:val="none"/>
        </w:rPr>
        <w:sectPr>
          <w:pgSz w:w="11906" w:h="16838"/>
          <w:pgMar w:top="1134" w:right="1134" w:bottom="850" w:left="1134" w:header="851" w:footer="595" w:gutter="0"/>
          <w:cols w:space="0" w:num="1"/>
          <w:docGrid w:type="lines" w:linePitch="312" w:charSpace="0"/>
        </w:sectPr>
      </w:pPr>
      <w:r>
        <w:rPr>
          <w:rFonts w:hint="eastAsia" w:ascii="宋体" w:hAnsi="宋体" w:cs="宋体"/>
          <w:color w:val="auto"/>
          <w:szCs w:val="21"/>
          <w:highlight w:val="none"/>
        </w:rPr>
        <w:t xml:space="preserve">    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项目人员</w:t>
      </w:r>
      <w:r>
        <w:rPr>
          <w:rFonts w:hint="eastAsia" w:ascii="宋体" w:hAnsi="宋体" w:cs="宋体"/>
          <w:color w:val="auto"/>
          <w:szCs w:val="21"/>
          <w:highlight w:val="none"/>
          <w:lang w:eastAsia="zh-CN"/>
        </w:rPr>
        <w:t>须</w:t>
      </w:r>
      <w:r>
        <w:rPr>
          <w:rFonts w:hint="eastAsia" w:ascii="宋体" w:hAnsi="宋体" w:cs="宋体"/>
          <w:color w:val="auto"/>
          <w:szCs w:val="21"/>
          <w:highlight w:val="none"/>
        </w:rPr>
        <w:t>按要求提供职称证、注册证复印件</w:t>
      </w:r>
      <w:r>
        <w:rPr>
          <w:rFonts w:hint="eastAsia" w:ascii="宋体" w:hAnsi="宋体" w:cs="宋体"/>
          <w:color w:val="auto"/>
          <w:szCs w:val="21"/>
          <w:highlight w:val="none"/>
          <w:lang w:eastAsia="zh-CN"/>
        </w:rPr>
        <w:t>且</w:t>
      </w:r>
      <w:r>
        <w:rPr>
          <w:rFonts w:hint="eastAsia" w:ascii="宋体" w:hAnsi="宋体" w:cs="宋体"/>
          <w:color w:val="auto"/>
          <w:szCs w:val="21"/>
          <w:highlight w:val="none"/>
          <w:lang w:val="zh-CN"/>
        </w:rPr>
        <w:t>为报价单位人员，以提供的本单位近</w:t>
      </w:r>
      <w:r>
        <w:rPr>
          <w:rFonts w:hint="eastAsia" w:ascii="宋体" w:hAnsi="宋体" w:cs="宋体"/>
          <w:color w:val="auto"/>
          <w:szCs w:val="21"/>
          <w:highlight w:val="none"/>
        </w:rPr>
        <w:t>1</w:t>
      </w:r>
      <w:r>
        <w:rPr>
          <w:rFonts w:hint="eastAsia" w:ascii="宋体" w:hAnsi="宋体" w:cs="宋体"/>
          <w:color w:val="auto"/>
          <w:szCs w:val="21"/>
          <w:highlight w:val="none"/>
          <w:lang w:val="zh-CN"/>
        </w:rPr>
        <w:t>月社保证明为准，若不能提供的则本项不给予评分。</w:t>
      </w:r>
    </w:p>
    <w:p>
      <w:pPr>
        <w:widowControl/>
        <w:shd w:val="clear" w:color="auto" w:fill="FFFFFF"/>
        <w:spacing w:before="150" w:after="15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附件三</w:t>
      </w:r>
    </w:p>
    <w:p>
      <w:pPr>
        <w:pStyle w:val="36"/>
        <w:ind w:firstLine="0" w:firstLineChars="0"/>
        <w:jc w:val="center"/>
        <w:rPr>
          <w:rFonts w:asciiTheme="minorEastAsia" w:hAnsiTheme="minorEastAsia" w:eastAsiaTheme="minorEastAsia" w:cstheme="minorEastAsia"/>
          <w:b/>
          <w:snapToGrid/>
          <w:color w:val="auto"/>
          <w:spacing w:val="0"/>
          <w:kern w:val="2"/>
          <w:sz w:val="28"/>
          <w:szCs w:val="28"/>
          <w:highlight w:val="none"/>
        </w:rPr>
      </w:pPr>
      <w:r>
        <w:rPr>
          <w:rFonts w:hint="eastAsia" w:asciiTheme="minorEastAsia" w:hAnsiTheme="minorEastAsia" w:eastAsiaTheme="minorEastAsia" w:cstheme="minorEastAsia"/>
          <w:b/>
          <w:snapToGrid/>
          <w:color w:val="auto"/>
          <w:spacing w:val="0"/>
          <w:kern w:val="2"/>
          <w:sz w:val="28"/>
          <w:szCs w:val="28"/>
          <w:highlight w:val="none"/>
        </w:rPr>
        <w:t>报价表</w:t>
      </w:r>
    </w:p>
    <w:p>
      <w:pPr>
        <w:pStyle w:val="36"/>
        <w:ind w:firstLine="218" w:firstLineChars="100"/>
        <w:jc w:val="left"/>
        <w:rPr>
          <w:rFonts w:asciiTheme="minorEastAsia" w:hAnsiTheme="minorEastAsia" w:eastAsiaTheme="minorEastAsia" w:cstheme="minorEastAsia"/>
          <w:bCs/>
          <w:snapToGrid/>
          <w:color w:val="auto"/>
          <w:spacing w:val="0"/>
          <w:kern w:val="2"/>
          <w:sz w:val="21"/>
          <w:szCs w:val="21"/>
          <w:highlight w:val="none"/>
        </w:rPr>
      </w:pPr>
      <w:r>
        <w:rPr>
          <w:rFonts w:hint="eastAsia" w:asciiTheme="minorEastAsia" w:hAnsiTheme="minorEastAsia" w:eastAsiaTheme="minorEastAsia" w:cstheme="minorEastAsia"/>
          <w:bCs/>
          <w:color w:val="auto"/>
          <w:sz w:val="21"/>
          <w:szCs w:val="21"/>
          <w:highlight w:val="none"/>
        </w:rPr>
        <w:t>项目名称：</w:t>
      </w:r>
      <w:r>
        <w:rPr>
          <w:rFonts w:hint="eastAsia" w:asciiTheme="minorEastAsia" w:hAnsiTheme="minorEastAsia" w:eastAsiaTheme="minorEastAsia" w:cstheme="minorEastAsia"/>
          <w:color w:val="auto"/>
          <w:sz w:val="21"/>
          <w:szCs w:val="21"/>
          <w:highlight w:val="none"/>
          <w:u w:val="single"/>
        </w:rPr>
        <w:t>多宝街丛桂、恩宁片区微改造项目（丛桂、恩宁社区）可行性研究报告及实施方案编制</w:t>
      </w:r>
    </w:p>
    <w:tbl>
      <w:tblPr>
        <w:tblStyle w:val="20"/>
        <w:tblW w:w="93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7"/>
        <w:gridCol w:w="2145"/>
        <w:gridCol w:w="1575"/>
        <w:gridCol w:w="1440"/>
        <w:gridCol w:w="1517"/>
        <w:gridCol w:w="1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6" w:hRule="atLeast"/>
          <w:jc w:val="center"/>
        </w:trPr>
        <w:tc>
          <w:tcPr>
            <w:tcW w:w="707"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序号</w:t>
            </w:r>
          </w:p>
        </w:tc>
        <w:tc>
          <w:tcPr>
            <w:tcW w:w="2145"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服务内容</w:t>
            </w:r>
          </w:p>
        </w:tc>
        <w:tc>
          <w:tcPr>
            <w:tcW w:w="1575"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最高限价（元）</w:t>
            </w:r>
          </w:p>
        </w:tc>
        <w:tc>
          <w:tcPr>
            <w:tcW w:w="1440" w:type="dxa"/>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报价（元）</w:t>
            </w:r>
          </w:p>
        </w:tc>
        <w:tc>
          <w:tcPr>
            <w:tcW w:w="1517" w:type="dxa"/>
            <w:tcBorders>
              <w:bottom w:val="single" w:color="auto" w:sz="4" w:space="0"/>
            </w:tcBorders>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报价下浮率（%）</w:t>
            </w:r>
          </w:p>
        </w:tc>
        <w:tc>
          <w:tcPr>
            <w:tcW w:w="1933" w:type="dxa"/>
            <w:tcBorders>
              <w:bottom w:val="single" w:color="auto" w:sz="4" w:space="0"/>
            </w:tcBorders>
            <w:vAlign w:val="center"/>
          </w:tcPr>
          <w:p>
            <w:pPr>
              <w:adjustRightInd w:val="0"/>
              <w:snapToGrid w:val="0"/>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9" w:hRule="exact"/>
          <w:jc w:val="center"/>
        </w:trPr>
        <w:tc>
          <w:tcPr>
            <w:tcW w:w="707" w:type="dxa"/>
            <w:vAlign w:val="center"/>
          </w:tcPr>
          <w:p>
            <w:pPr>
              <w:adjustRightInd w:val="0"/>
              <w:snapToGrid w:val="0"/>
              <w:spacing w:line="360" w:lineRule="auto"/>
              <w:jc w:val="center"/>
              <w:rPr>
                <w:rFonts w:asciiTheme="minorEastAsia" w:hAnsiTheme="minorEastAsia" w:cstheme="minorEastAsia"/>
                <w:bCs/>
                <w:color w:val="auto"/>
                <w:sz w:val="24"/>
                <w:szCs w:val="24"/>
                <w:highlight w:val="none"/>
              </w:rPr>
            </w:pPr>
            <w:r>
              <w:rPr>
                <w:rFonts w:hint="eastAsia" w:asciiTheme="minorEastAsia" w:hAnsiTheme="minorEastAsia" w:cstheme="minorEastAsia"/>
                <w:bCs/>
                <w:color w:val="auto"/>
                <w:sz w:val="24"/>
                <w:szCs w:val="24"/>
                <w:highlight w:val="none"/>
              </w:rPr>
              <w:t>一</w:t>
            </w:r>
          </w:p>
        </w:tc>
        <w:tc>
          <w:tcPr>
            <w:tcW w:w="2145" w:type="dxa"/>
            <w:vAlign w:val="center"/>
          </w:tcPr>
          <w:p>
            <w:pPr>
              <w:adjustRightInd w:val="0"/>
              <w:snapToGrid w:val="0"/>
              <w:jc w:val="left"/>
              <w:rPr>
                <w:rFonts w:asciiTheme="minorEastAsia" w:hAnsiTheme="minorEastAsia" w:cstheme="minorEastAsia"/>
                <w:bCs/>
                <w:color w:val="auto"/>
                <w:sz w:val="24"/>
                <w:szCs w:val="24"/>
                <w:highlight w:val="none"/>
              </w:rPr>
            </w:pPr>
            <w:r>
              <w:rPr>
                <w:rFonts w:hint="eastAsia" w:asciiTheme="minorEastAsia" w:hAnsiTheme="minorEastAsia" w:cstheme="minorEastAsia"/>
                <w:color w:val="auto"/>
                <w:highlight w:val="none"/>
                <w:u w:val="single"/>
              </w:rPr>
              <w:t>可行性研究报告编制</w:t>
            </w:r>
          </w:p>
        </w:tc>
        <w:tc>
          <w:tcPr>
            <w:tcW w:w="1575"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94628.57</w:t>
            </w:r>
          </w:p>
        </w:tc>
        <w:tc>
          <w:tcPr>
            <w:tcW w:w="1440" w:type="dxa"/>
            <w:tcBorders>
              <w:right w:val="single" w:color="auto" w:sz="4" w:space="0"/>
            </w:tcBorders>
            <w:vAlign w:val="center"/>
          </w:tcPr>
          <w:p>
            <w:pPr>
              <w:keepNext/>
              <w:keepLines/>
              <w:spacing w:before="340" w:after="330" w:line="360" w:lineRule="auto"/>
              <w:jc w:val="center"/>
              <w:outlineLvl w:val="0"/>
              <w:rPr>
                <w:rFonts w:asciiTheme="minorEastAsia" w:hAnsiTheme="minorEastAsia" w:cstheme="minorEastAsia"/>
                <w:color w:val="auto"/>
                <w:sz w:val="24"/>
                <w:szCs w:val="24"/>
                <w:highlight w:val="none"/>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asciiTheme="minorEastAsia" w:hAnsiTheme="minorEastAsia" w:cstheme="minorEastAsia"/>
                <w:color w:val="auto"/>
                <w:sz w:val="24"/>
                <w:szCs w:val="24"/>
                <w:highlight w:val="none"/>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left"/>
              <w:rPr>
                <w:rFonts w:asciiTheme="minorEastAsia" w:hAnsiTheme="minorEastAsia" w:cstheme="minorEastAsia"/>
                <w:color w:val="auto"/>
                <w:sz w:val="18"/>
                <w:szCs w:val="18"/>
                <w:highlight w:val="none"/>
              </w:rPr>
            </w:pPr>
            <w:r>
              <w:rPr>
                <w:rFonts w:hint="eastAsia" w:asciiTheme="minorEastAsia" w:hAnsiTheme="minorEastAsia" w:cstheme="minorEastAsia"/>
                <w:color w:val="auto"/>
                <w:sz w:val="24"/>
                <w:szCs w:val="24"/>
                <w:highlight w:val="none"/>
                <w:lang w:eastAsia="zh-CN"/>
              </w:rPr>
              <w:t>有效报价下浮率为</w:t>
            </w:r>
            <w:r>
              <w:rPr>
                <w:rFonts w:hint="eastAsia" w:asciiTheme="minorEastAsia" w:hAnsiTheme="minorEastAsia" w:cstheme="minorEastAsia"/>
                <w:color w:val="auto"/>
                <w:sz w:val="24"/>
                <w:szCs w:val="24"/>
                <w:highlight w:val="none"/>
                <w:lang w:val="en-US" w:eastAsia="zh-CN"/>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2" w:hRule="exact"/>
          <w:jc w:val="center"/>
        </w:trPr>
        <w:tc>
          <w:tcPr>
            <w:tcW w:w="707" w:type="dxa"/>
            <w:vAlign w:val="center"/>
          </w:tcPr>
          <w:p>
            <w:pPr>
              <w:adjustRightInd w:val="0"/>
              <w:snapToGrid w:val="0"/>
              <w:spacing w:line="360" w:lineRule="auto"/>
              <w:jc w:val="center"/>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cstheme="minorEastAsia"/>
                <w:bCs/>
                <w:color w:val="auto"/>
                <w:sz w:val="24"/>
                <w:szCs w:val="24"/>
                <w:highlight w:val="none"/>
                <w:lang w:eastAsia="zh-CN"/>
              </w:rPr>
              <w:t>二</w:t>
            </w:r>
          </w:p>
        </w:tc>
        <w:tc>
          <w:tcPr>
            <w:tcW w:w="2145" w:type="dxa"/>
            <w:vAlign w:val="center"/>
          </w:tcPr>
          <w:p>
            <w:pPr>
              <w:adjustRightInd w:val="0"/>
              <w:snapToGrid w:val="0"/>
              <w:jc w:val="center"/>
              <w:rPr>
                <w:rFonts w:hint="eastAsia" w:asciiTheme="minorEastAsia" w:hAnsiTheme="minorEastAsia" w:eastAsiaTheme="minorEastAsia" w:cstheme="minorEastAsia"/>
                <w:color w:val="auto"/>
                <w:highlight w:val="none"/>
                <w:u w:val="single"/>
                <w:lang w:eastAsia="zh-CN"/>
              </w:rPr>
            </w:pPr>
            <w:r>
              <w:rPr>
                <w:rFonts w:hint="eastAsia" w:asciiTheme="minorEastAsia" w:hAnsiTheme="minorEastAsia" w:cstheme="minorEastAsia"/>
                <w:color w:val="auto"/>
                <w:highlight w:val="none"/>
                <w:u w:val="single"/>
                <w:lang w:eastAsia="zh-CN"/>
              </w:rPr>
              <w:t>实施方案编制</w:t>
            </w:r>
          </w:p>
        </w:tc>
        <w:tc>
          <w:tcPr>
            <w:tcW w:w="1575" w:type="dxa"/>
            <w:vAlign w:val="center"/>
          </w:tcPr>
          <w:p>
            <w:pPr>
              <w:widowControl/>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300000.00</w:t>
            </w:r>
          </w:p>
        </w:tc>
        <w:tc>
          <w:tcPr>
            <w:tcW w:w="1440" w:type="dxa"/>
            <w:tcBorders>
              <w:right w:val="single" w:color="auto" w:sz="4" w:space="0"/>
            </w:tcBorders>
            <w:vAlign w:val="center"/>
          </w:tcPr>
          <w:p>
            <w:pPr>
              <w:keepNext/>
              <w:keepLines/>
              <w:spacing w:before="340" w:after="330" w:line="360" w:lineRule="auto"/>
              <w:jc w:val="center"/>
              <w:outlineLvl w:val="0"/>
              <w:rPr>
                <w:rFonts w:hint="default" w:asciiTheme="minorEastAsia" w:hAnsiTheme="minorEastAsia" w:eastAsiaTheme="minorEastAsia" w:cstheme="minorEastAsia"/>
                <w:color w:val="auto"/>
                <w:sz w:val="24"/>
                <w:szCs w:val="24"/>
                <w:highlight w:val="none"/>
                <w:lang w:val="en-US" w:eastAsia="zh-CN"/>
              </w:rPr>
            </w:pPr>
          </w:p>
        </w:tc>
        <w:tc>
          <w:tcPr>
            <w:tcW w:w="15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hint="eastAsia" w:asciiTheme="minorEastAsia" w:hAnsiTheme="minorEastAsia" w:eastAsiaTheme="minorEastAsia" w:cstheme="minorEastAsia"/>
                <w:color w:val="auto"/>
                <w:sz w:val="24"/>
                <w:szCs w:val="24"/>
                <w:highlight w:val="none"/>
                <w:lang w:val="en-US" w:eastAsia="zh-CN"/>
              </w:rPr>
            </w:pPr>
          </w:p>
        </w:tc>
        <w:tc>
          <w:tcPr>
            <w:tcW w:w="19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20"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有效报价下浮率为</w:t>
            </w:r>
            <w:r>
              <w:rPr>
                <w:rFonts w:hint="eastAsia" w:asciiTheme="minorEastAsia" w:hAnsiTheme="minorEastAsia" w:cstheme="minorEastAsia"/>
                <w:color w:val="auto"/>
                <w:sz w:val="24"/>
                <w:szCs w:val="24"/>
                <w:highlight w:val="none"/>
                <w:lang w:val="en-US" w:eastAsia="zh-CN"/>
              </w:rPr>
              <w:t>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exact"/>
          <w:jc w:val="center"/>
        </w:trPr>
        <w:tc>
          <w:tcPr>
            <w:tcW w:w="4427" w:type="dxa"/>
            <w:gridSpan w:val="3"/>
            <w:vAlign w:val="center"/>
          </w:tcPr>
          <w:p>
            <w:pPr>
              <w:adjustRightInd w:val="0"/>
              <w:snapToGrid w:val="0"/>
              <w:spacing w:after="120" w:line="360" w:lineRule="auto"/>
              <w:jc w:val="center"/>
              <w:rPr>
                <w:rFonts w:asciiTheme="minorEastAsia" w:hAnsiTheme="minorEastAsia" w:cstheme="minorEastAsia"/>
                <w:b/>
                <w:color w:val="auto"/>
                <w:sz w:val="24"/>
                <w:szCs w:val="24"/>
                <w:highlight w:val="none"/>
              </w:rPr>
            </w:pPr>
            <w:r>
              <w:rPr>
                <w:rFonts w:hint="eastAsia" w:asciiTheme="minorEastAsia" w:hAnsiTheme="minorEastAsia" w:cstheme="minorEastAsia"/>
                <w:b/>
                <w:color w:val="auto"/>
                <w:sz w:val="24"/>
                <w:szCs w:val="24"/>
                <w:highlight w:val="none"/>
              </w:rPr>
              <w:t>报价总金额（单位：人民币元）</w:t>
            </w:r>
          </w:p>
        </w:tc>
        <w:tc>
          <w:tcPr>
            <w:tcW w:w="4890" w:type="dxa"/>
            <w:gridSpan w:val="3"/>
            <w:vAlign w:val="center"/>
          </w:tcPr>
          <w:p>
            <w:pPr>
              <w:pStyle w:val="15"/>
              <w:adjustRightInd w:val="0"/>
              <w:snapToGrid w:val="0"/>
              <w:spacing w:after="156" w:afterLines="50"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大写：</w:t>
            </w:r>
          </w:p>
          <w:p>
            <w:pPr>
              <w:keepNext/>
              <w:keepLines/>
              <w:adjustRightInd w:val="0"/>
              <w:snapToGrid w:val="0"/>
              <w:spacing w:before="260" w:after="260" w:line="360" w:lineRule="auto"/>
              <w:outlineLvl w:val="2"/>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小写：</w:t>
            </w:r>
          </w:p>
        </w:tc>
      </w:tr>
    </w:tbl>
    <w:p>
      <w:pPr>
        <w:adjustRightInd w:val="0"/>
        <w:snapToGrid w:val="0"/>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注：1.该报价金额保留小数点后两位，第三位四舍五入，若大小写不一致时，以大写为准。</w:t>
      </w:r>
    </w:p>
    <w:p>
      <w:pPr>
        <w:pStyle w:val="2"/>
        <w:rPr>
          <w:rFonts w:asciiTheme="minorEastAsia" w:hAnsiTheme="minorEastAsia" w:eastAsiaTheme="minorEastAsia" w:cstheme="minorEastAsia"/>
          <w:color w:val="auto"/>
          <w:sz w:val="24"/>
          <w:szCs w:val="24"/>
          <w:highlight w:val="none"/>
        </w:rPr>
      </w:pPr>
      <w:r>
        <w:rPr>
          <w:rFonts w:hint="eastAsia" w:ascii="宋体" w:hAnsi="宋体" w:cs="宋体"/>
          <w:color w:val="auto"/>
          <w:szCs w:val="21"/>
          <w:highlight w:val="none"/>
        </w:rPr>
        <w:t xml:space="preserve">      2.若报价总金额与报价下浮率不一致时，以报价总金额为准，并修改报价下浮率。</w:t>
      </w:r>
    </w:p>
    <w:p>
      <w:pPr>
        <w:pStyle w:val="2"/>
        <w:ind w:firstLine="630" w:firstLineChars="300"/>
        <w:rPr>
          <w:rFonts w:ascii="宋体" w:hAnsi="宋体" w:cs="宋体"/>
          <w:color w:val="auto"/>
          <w:szCs w:val="21"/>
          <w:highlight w:val="none"/>
        </w:rPr>
      </w:pPr>
      <w:r>
        <w:rPr>
          <w:rFonts w:hint="eastAsia" w:ascii="宋体" w:hAnsi="宋体" w:cs="宋体"/>
          <w:color w:val="auto"/>
          <w:szCs w:val="21"/>
          <w:highlight w:val="none"/>
        </w:rPr>
        <w:t>3.报价应包括报价人履行本项目合同（如果中选）所必须的劳务（含技术人员及阶段性驻场技术人员）、设备（含各种车辆、办公用品、软件等使用费、进出场费）、</w:t>
      </w:r>
      <w:r>
        <w:rPr>
          <w:rFonts w:hint="eastAsia" w:ascii="宋体" w:hAnsi="宋体" w:cs="宋体"/>
          <w:color w:val="auto"/>
          <w:szCs w:val="21"/>
          <w:highlight w:val="none"/>
          <w:lang w:eastAsia="zh-CN"/>
        </w:rPr>
        <w:t>文印费、</w:t>
      </w:r>
      <w:r>
        <w:rPr>
          <w:rFonts w:hint="eastAsia" w:ascii="宋体" w:hAnsi="宋体" w:cs="宋体"/>
          <w:color w:val="auto"/>
          <w:szCs w:val="21"/>
          <w:highlight w:val="none"/>
        </w:rPr>
        <w:t>差旅交通、报告编写费、各项管理费、就餐、住宿、管理、利润、规费、税金、保险等所有全部相关费用，以及合同明示或暗示的所有责任、义务和一般风险（含施工工期的延长），是对完成合同的全部偿付，与可行性研究报告编制（含修编及调整）工作相关的其它辅助工作，其相关费用（含评审费）已包含在报价人的报价中，不再另行支付。</w:t>
      </w:r>
    </w:p>
    <w:p>
      <w:pPr>
        <w:pStyle w:val="2"/>
        <w:spacing w:line="360" w:lineRule="auto"/>
        <w:rPr>
          <w:rFonts w:asciiTheme="minorEastAsia" w:hAnsiTheme="minorEastAsia" w:eastAsiaTheme="minorEastAsia" w:cstheme="minorEastAsia"/>
          <w:color w:val="auto"/>
          <w:sz w:val="24"/>
          <w:szCs w:val="24"/>
          <w:highlight w:val="none"/>
        </w:rPr>
      </w:pPr>
    </w:p>
    <w:p>
      <w:pPr>
        <w:pStyle w:val="2"/>
        <w:spacing w:line="360" w:lineRule="auto"/>
        <w:rPr>
          <w:rFonts w:asciiTheme="minorEastAsia" w:hAnsiTheme="minorEastAsia" w:eastAsiaTheme="minorEastAsia" w:cstheme="minorEastAsia"/>
          <w:color w:val="auto"/>
          <w:sz w:val="24"/>
          <w:szCs w:val="24"/>
          <w:highlight w:val="none"/>
        </w:rPr>
      </w:pPr>
    </w:p>
    <w:p>
      <w:pPr>
        <w:pStyle w:val="2"/>
        <w:spacing w:line="360" w:lineRule="auto"/>
        <w:rPr>
          <w:rFonts w:asciiTheme="minorEastAsia" w:hAnsiTheme="minorEastAsia" w:eastAsiaTheme="minorEastAsia" w:cstheme="minorEastAsia"/>
          <w:color w:val="auto"/>
          <w:sz w:val="24"/>
          <w:szCs w:val="24"/>
          <w:highlight w:val="none"/>
        </w:rPr>
      </w:pP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pStyle w:val="11"/>
        <w:adjustRightInd w:val="0"/>
        <w:snapToGrid w:val="0"/>
        <w:spacing w:line="360" w:lineRule="auto"/>
        <w:jc w:val="center"/>
        <w:rPr>
          <w:rFonts w:asciiTheme="minorEastAsia" w:hAnsiTheme="minorEastAsia" w:eastAsiaTheme="minorEastAsia" w:cstheme="minorEastAsia"/>
          <w:color w:val="auto"/>
          <w:sz w:val="24"/>
          <w:szCs w:val="24"/>
          <w:highlight w:val="none"/>
        </w:rPr>
        <w:sectPr>
          <w:pgSz w:w="11906" w:h="16838"/>
          <w:pgMar w:top="1134" w:right="1134" w:bottom="1134" w:left="1134" w:header="851" w:footer="992" w:gutter="0"/>
          <w:cols w:space="425" w:num="1"/>
          <w:docGrid w:type="lines" w:linePitch="312" w:charSpace="0"/>
        </w:sectPr>
      </w:pPr>
      <w:r>
        <w:rPr>
          <w:rFonts w:hint="eastAsia" w:asciiTheme="minorEastAsia" w:hAnsiTheme="minorEastAsia" w:eastAsiaTheme="minorEastAsia" w:cstheme="minorEastAsia"/>
          <w:color w:val="auto"/>
          <w:sz w:val="24"/>
          <w:szCs w:val="24"/>
          <w:highlight w:val="none"/>
        </w:rPr>
        <w:t xml:space="preserve">       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widowControl/>
        <w:shd w:val="clear" w:color="auto" w:fill="FFFFFF"/>
        <w:spacing w:before="150" w:after="150"/>
        <w:jc w:val="left"/>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附件四</w:t>
      </w:r>
      <w:bookmarkStart w:id="5" w:name="_GoBack"/>
      <w:bookmarkEnd w:id="5"/>
    </w:p>
    <w:p>
      <w:pPr>
        <w:pStyle w:val="11"/>
        <w:adjustRightInd w:val="0"/>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bCs/>
          <w:color w:val="auto"/>
          <w:sz w:val="24"/>
          <w:szCs w:val="24"/>
          <w:highlight w:val="none"/>
        </w:rPr>
        <w:t>业绩</w:t>
      </w:r>
      <w:r>
        <w:rPr>
          <w:rFonts w:hint="eastAsia" w:asciiTheme="minorEastAsia" w:hAnsiTheme="minorEastAsia" w:eastAsiaTheme="minorEastAsia" w:cstheme="minorEastAsia"/>
          <w:b/>
          <w:color w:val="auto"/>
          <w:sz w:val="24"/>
          <w:szCs w:val="24"/>
          <w:highlight w:val="none"/>
        </w:rPr>
        <w:t>情况汇总表</w:t>
      </w:r>
    </w:p>
    <w:p>
      <w:pPr>
        <w:pStyle w:val="11"/>
        <w:adjustRightInd w:val="0"/>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（20</w:t>
      </w:r>
      <w:r>
        <w:rPr>
          <w:rFonts w:hint="eastAsia" w:asciiTheme="minorEastAsia" w:hAnsiTheme="minorEastAsia" w:eastAsiaTheme="minorEastAsia" w:cstheme="minorEastAsia"/>
          <w:b/>
          <w:color w:val="auto"/>
          <w:sz w:val="24"/>
          <w:szCs w:val="24"/>
          <w:highlight w:val="none"/>
          <w:u w:val="single"/>
        </w:rPr>
        <w:t xml:space="preserve">  </w:t>
      </w:r>
      <w:r>
        <w:rPr>
          <w:rFonts w:hint="eastAsia" w:asciiTheme="minorEastAsia" w:hAnsiTheme="minorEastAsia" w:eastAsiaTheme="minorEastAsia" w:cstheme="minorEastAsia"/>
          <w:b/>
          <w:color w:val="auto"/>
          <w:sz w:val="24"/>
          <w:szCs w:val="24"/>
          <w:highlight w:val="none"/>
        </w:rPr>
        <w:t>年1月1日至今）</w:t>
      </w:r>
    </w:p>
    <w:p>
      <w:pPr>
        <w:pStyle w:val="11"/>
        <w:adjustRightInd w:val="0"/>
        <w:snapToGrid w:val="0"/>
        <w:spacing w:line="360" w:lineRule="auto"/>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24"/>
          <w:szCs w:val="24"/>
          <w:highlight w:val="none"/>
        </w:rPr>
        <w:t xml:space="preserve">   </w:t>
      </w:r>
      <w:r>
        <w:rPr>
          <w:rFonts w:hint="eastAsia" w:asciiTheme="minorEastAsia" w:hAnsiTheme="minorEastAsia" w:eastAsiaTheme="minorEastAsia" w:cstheme="minorEastAsia"/>
          <w:bCs/>
          <w:color w:val="auto"/>
          <w:szCs w:val="21"/>
          <w:highlight w:val="none"/>
        </w:rPr>
        <w:t>项目名称：</w:t>
      </w:r>
      <w:r>
        <w:rPr>
          <w:rFonts w:hint="eastAsia" w:asciiTheme="minorEastAsia" w:hAnsiTheme="minorEastAsia" w:eastAsiaTheme="minorEastAsia" w:cstheme="minorEastAsia"/>
          <w:color w:val="auto"/>
          <w:szCs w:val="21"/>
          <w:highlight w:val="none"/>
          <w:u w:val="single"/>
        </w:rPr>
        <w:t>多宝街丛桂、恩宁片区微改造项目（丛桂、恩宁社区）可行性研究报告及实施方案编制</w:t>
      </w:r>
    </w:p>
    <w:tbl>
      <w:tblPr>
        <w:tblStyle w:val="20"/>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04"/>
        <w:gridCol w:w="1465"/>
        <w:gridCol w:w="1596"/>
        <w:gridCol w:w="2013"/>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序号</w:t>
            </w:r>
          </w:p>
        </w:tc>
        <w:tc>
          <w:tcPr>
            <w:tcW w:w="1304"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项目名称</w:t>
            </w:r>
          </w:p>
        </w:tc>
        <w:tc>
          <w:tcPr>
            <w:tcW w:w="1465"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项目业主</w:t>
            </w:r>
          </w:p>
        </w:tc>
        <w:tc>
          <w:tcPr>
            <w:tcW w:w="1596"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lang w:eastAsia="zh-CN"/>
              </w:rPr>
              <w:t>中标价或</w:t>
            </w:r>
            <w:r>
              <w:rPr>
                <w:rFonts w:hint="eastAsia" w:asciiTheme="minorEastAsia" w:hAnsiTheme="minorEastAsia" w:cstheme="minorEastAsia"/>
                <w:b/>
                <w:bCs/>
                <w:color w:val="auto"/>
                <w:sz w:val="24"/>
                <w:szCs w:val="24"/>
                <w:highlight w:val="none"/>
              </w:rPr>
              <w:t>合同价（万元）</w:t>
            </w:r>
          </w:p>
        </w:tc>
        <w:tc>
          <w:tcPr>
            <w:tcW w:w="2013"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bCs/>
                <w:color w:val="auto"/>
                <w:sz w:val="24"/>
                <w:szCs w:val="24"/>
                <w:highlight w:val="none"/>
              </w:rPr>
              <w:t>项目类型</w:t>
            </w:r>
          </w:p>
        </w:tc>
        <w:tc>
          <w:tcPr>
            <w:tcW w:w="2064" w:type="dxa"/>
            <w:vAlign w:val="center"/>
          </w:tcPr>
          <w:p>
            <w:pPr>
              <w:jc w:val="center"/>
              <w:rPr>
                <w:rFonts w:asciiTheme="minorEastAsia" w:hAnsiTheme="minorEastAsia" w:cstheme="minorEastAsia"/>
                <w:b/>
                <w:bCs/>
                <w:color w:val="auto"/>
                <w:sz w:val="24"/>
                <w:szCs w:val="24"/>
                <w:highlight w:val="none"/>
              </w:rPr>
            </w:pPr>
            <w:r>
              <w:rPr>
                <w:rFonts w:hint="eastAsia" w:asciiTheme="minorEastAsia" w:hAnsiTheme="minorEastAsia" w:cstheme="minorEastAsia"/>
                <w:b/>
                <w:color w:val="auto"/>
                <w:sz w:val="24"/>
                <w:szCs w:val="24"/>
                <w:highlight w:val="none"/>
              </w:rPr>
              <w:t>建设单位联系人及电话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304" w:type="dxa"/>
            <w:vAlign w:val="center"/>
          </w:tcPr>
          <w:p>
            <w:pPr>
              <w:spacing w:line="360" w:lineRule="auto"/>
              <w:jc w:val="center"/>
              <w:rPr>
                <w:rFonts w:asciiTheme="minorEastAsia" w:hAnsiTheme="minorEastAsia" w:cstheme="minorEastAsia"/>
                <w:bCs/>
                <w:color w:val="auto"/>
                <w:sz w:val="24"/>
                <w:szCs w:val="24"/>
                <w:highlight w:val="none"/>
              </w:rPr>
            </w:pPr>
          </w:p>
        </w:tc>
        <w:tc>
          <w:tcPr>
            <w:tcW w:w="1465" w:type="dxa"/>
            <w:vAlign w:val="center"/>
          </w:tcPr>
          <w:p>
            <w:pPr>
              <w:spacing w:line="360" w:lineRule="auto"/>
              <w:jc w:val="center"/>
              <w:rPr>
                <w:rFonts w:asciiTheme="minorEastAsia" w:hAnsiTheme="minorEastAsia" w:cstheme="minorEastAsia"/>
                <w:bCs/>
                <w:color w:val="auto"/>
                <w:sz w:val="24"/>
                <w:szCs w:val="24"/>
                <w:highlight w:val="none"/>
              </w:rPr>
            </w:pPr>
          </w:p>
        </w:tc>
        <w:tc>
          <w:tcPr>
            <w:tcW w:w="1596" w:type="dxa"/>
            <w:vAlign w:val="center"/>
          </w:tcPr>
          <w:p>
            <w:pPr>
              <w:spacing w:line="360" w:lineRule="auto"/>
              <w:jc w:val="center"/>
              <w:rPr>
                <w:rFonts w:asciiTheme="minorEastAsia" w:hAnsiTheme="minorEastAsia" w:cstheme="minorEastAsia"/>
                <w:bCs/>
                <w:color w:val="auto"/>
                <w:sz w:val="24"/>
                <w:szCs w:val="24"/>
                <w:highlight w:val="none"/>
              </w:rPr>
            </w:pPr>
          </w:p>
        </w:tc>
        <w:tc>
          <w:tcPr>
            <w:tcW w:w="2013" w:type="dxa"/>
            <w:vAlign w:val="center"/>
          </w:tcPr>
          <w:p>
            <w:pPr>
              <w:spacing w:line="360" w:lineRule="auto"/>
              <w:jc w:val="center"/>
              <w:rPr>
                <w:rFonts w:asciiTheme="minorEastAsia" w:hAnsiTheme="minorEastAsia" w:cstheme="minorEastAsia"/>
                <w:bCs/>
                <w:color w:val="auto"/>
                <w:sz w:val="24"/>
                <w:szCs w:val="24"/>
                <w:highlight w:val="none"/>
              </w:rPr>
            </w:pPr>
          </w:p>
        </w:tc>
        <w:tc>
          <w:tcPr>
            <w:tcW w:w="2064" w:type="dxa"/>
            <w:vAlign w:val="center"/>
          </w:tcPr>
          <w:p>
            <w:pPr>
              <w:spacing w:line="360" w:lineRule="auto"/>
              <w:jc w:val="center"/>
              <w:rPr>
                <w:rFonts w:asciiTheme="minorEastAsia" w:hAnsi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1304" w:type="dxa"/>
            <w:vAlign w:val="center"/>
          </w:tcPr>
          <w:p>
            <w:pPr>
              <w:spacing w:line="360" w:lineRule="auto"/>
              <w:jc w:val="center"/>
              <w:rPr>
                <w:rFonts w:asciiTheme="minorEastAsia" w:hAnsiTheme="minorEastAsia" w:cstheme="minorEastAsia"/>
                <w:bCs/>
                <w:color w:val="auto"/>
                <w:sz w:val="24"/>
                <w:szCs w:val="24"/>
                <w:highlight w:val="none"/>
              </w:rPr>
            </w:pPr>
          </w:p>
        </w:tc>
        <w:tc>
          <w:tcPr>
            <w:tcW w:w="1465" w:type="dxa"/>
            <w:vAlign w:val="center"/>
          </w:tcPr>
          <w:p>
            <w:pPr>
              <w:spacing w:line="360" w:lineRule="auto"/>
              <w:jc w:val="center"/>
              <w:rPr>
                <w:rFonts w:asciiTheme="minorEastAsia" w:hAnsiTheme="minorEastAsia" w:cstheme="minorEastAsia"/>
                <w:bCs/>
                <w:color w:val="auto"/>
                <w:sz w:val="24"/>
                <w:szCs w:val="24"/>
                <w:highlight w:val="none"/>
              </w:rPr>
            </w:pPr>
          </w:p>
        </w:tc>
        <w:tc>
          <w:tcPr>
            <w:tcW w:w="1596" w:type="dxa"/>
            <w:vAlign w:val="center"/>
          </w:tcPr>
          <w:p>
            <w:pPr>
              <w:spacing w:line="360" w:lineRule="auto"/>
              <w:jc w:val="center"/>
              <w:rPr>
                <w:rFonts w:asciiTheme="minorEastAsia" w:hAnsiTheme="minorEastAsia" w:cstheme="minorEastAsia"/>
                <w:bCs/>
                <w:color w:val="auto"/>
                <w:sz w:val="24"/>
                <w:szCs w:val="24"/>
                <w:highlight w:val="none"/>
              </w:rPr>
            </w:pPr>
          </w:p>
        </w:tc>
        <w:tc>
          <w:tcPr>
            <w:tcW w:w="2013" w:type="dxa"/>
            <w:vAlign w:val="center"/>
          </w:tcPr>
          <w:p>
            <w:pPr>
              <w:spacing w:line="360" w:lineRule="auto"/>
              <w:jc w:val="center"/>
              <w:rPr>
                <w:rFonts w:asciiTheme="minorEastAsia" w:hAnsiTheme="minorEastAsia" w:cstheme="minorEastAsia"/>
                <w:bCs/>
                <w:color w:val="auto"/>
                <w:sz w:val="24"/>
                <w:szCs w:val="24"/>
                <w:highlight w:val="none"/>
              </w:rPr>
            </w:pPr>
          </w:p>
        </w:tc>
        <w:tc>
          <w:tcPr>
            <w:tcW w:w="2064" w:type="dxa"/>
            <w:vAlign w:val="center"/>
          </w:tcPr>
          <w:p>
            <w:pPr>
              <w:spacing w:line="360" w:lineRule="auto"/>
              <w:jc w:val="center"/>
              <w:rPr>
                <w:rFonts w:asciiTheme="minorEastAsia" w:hAnsiTheme="minorEastAsia" w:cstheme="minorEastAsia"/>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34" w:type="dxa"/>
            <w:vAlign w:val="center"/>
          </w:tcPr>
          <w:p>
            <w:pPr>
              <w:spacing w:line="360" w:lineRule="auto"/>
              <w:jc w:val="center"/>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tc>
        <w:tc>
          <w:tcPr>
            <w:tcW w:w="1304" w:type="dxa"/>
            <w:vAlign w:val="center"/>
          </w:tcPr>
          <w:p>
            <w:pPr>
              <w:spacing w:line="360" w:lineRule="auto"/>
              <w:jc w:val="center"/>
              <w:rPr>
                <w:rFonts w:asciiTheme="minorEastAsia" w:hAnsiTheme="minorEastAsia" w:cstheme="minorEastAsia"/>
                <w:bCs/>
                <w:color w:val="auto"/>
                <w:sz w:val="24"/>
                <w:szCs w:val="24"/>
                <w:highlight w:val="none"/>
              </w:rPr>
            </w:pPr>
          </w:p>
        </w:tc>
        <w:tc>
          <w:tcPr>
            <w:tcW w:w="1465" w:type="dxa"/>
            <w:vAlign w:val="center"/>
          </w:tcPr>
          <w:p>
            <w:pPr>
              <w:spacing w:line="360" w:lineRule="auto"/>
              <w:jc w:val="center"/>
              <w:rPr>
                <w:rFonts w:asciiTheme="minorEastAsia" w:hAnsiTheme="minorEastAsia" w:cstheme="minorEastAsia"/>
                <w:bCs/>
                <w:color w:val="auto"/>
                <w:sz w:val="24"/>
                <w:szCs w:val="24"/>
                <w:highlight w:val="none"/>
              </w:rPr>
            </w:pPr>
          </w:p>
        </w:tc>
        <w:tc>
          <w:tcPr>
            <w:tcW w:w="1596" w:type="dxa"/>
            <w:vAlign w:val="center"/>
          </w:tcPr>
          <w:p>
            <w:pPr>
              <w:spacing w:line="360" w:lineRule="auto"/>
              <w:jc w:val="center"/>
              <w:rPr>
                <w:rFonts w:asciiTheme="minorEastAsia" w:hAnsiTheme="minorEastAsia" w:cstheme="minorEastAsia"/>
                <w:bCs/>
                <w:color w:val="auto"/>
                <w:sz w:val="24"/>
                <w:szCs w:val="24"/>
                <w:highlight w:val="none"/>
              </w:rPr>
            </w:pPr>
          </w:p>
        </w:tc>
        <w:tc>
          <w:tcPr>
            <w:tcW w:w="2013" w:type="dxa"/>
            <w:vAlign w:val="center"/>
          </w:tcPr>
          <w:p>
            <w:pPr>
              <w:spacing w:line="360" w:lineRule="auto"/>
              <w:jc w:val="center"/>
              <w:rPr>
                <w:rFonts w:asciiTheme="minorEastAsia" w:hAnsiTheme="minorEastAsia" w:cstheme="minorEastAsia"/>
                <w:bCs/>
                <w:color w:val="auto"/>
                <w:sz w:val="24"/>
                <w:szCs w:val="24"/>
                <w:highlight w:val="none"/>
              </w:rPr>
            </w:pPr>
          </w:p>
        </w:tc>
        <w:tc>
          <w:tcPr>
            <w:tcW w:w="2064" w:type="dxa"/>
            <w:vAlign w:val="center"/>
          </w:tcPr>
          <w:p>
            <w:pPr>
              <w:spacing w:line="360" w:lineRule="auto"/>
              <w:jc w:val="center"/>
              <w:rPr>
                <w:rFonts w:asciiTheme="minorEastAsia" w:hAnsiTheme="minorEastAsia" w:cstheme="minorEastAsia"/>
                <w:bCs/>
                <w:color w:val="auto"/>
                <w:sz w:val="24"/>
                <w:szCs w:val="24"/>
                <w:highlight w:val="none"/>
              </w:rPr>
            </w:pPr>
          </w:p>
        </w:tc>
      </w:tr>
    </w:tbl>
    <w:p>
      <w:pPr>
        <w:adjustRightInd w:val="0"/>
        <w:snapToGrid w:val="0"/>
        <w:spacing w:line="360" w:lineRule="auto"/>
        <w:ind w:firstLine="420" w:firstLineChars="200"/>
        <w:rPr>
          <w:rFonts w:asciiTheme="minorEastAsia" w:hAnsiTheme="minorEastAsia" w:cstheme="minorEastAsia"/>
          <w:color w:val="auto"/>
          <w:sz w:val="21"/>
          <w:szCs w:val="21"/>
          <w:highlight w:val="none"/>
        </w:rPr>
      </w:pPr>
      <w:r>
        <w:rPr>
          <w:rFonts w:hint="eastAsia" w:asciiTheme="minorEastAsia" w:hAnsiTheme="minorEastAsia" w:cstheme="minorEastAsia"/>
          <w:bCs/>
          <w:color w:val="auto"/>
          <w:sz w:val="21"/>
          <w:szCs w:val="21"/>
          <w:highlight w:val="none"/>
        </w:rPr>
        <w:t>注：</w:t>
      </w:r>
      <w:r>
        <w:rPr>
          <w:rFonts w:hint="eastAsia" w:asciiTheme="minorEastAsia" w:hAnsiTheme="minorEastAsia" w:cstheme="minorEastAsia"/>
          <w:color w:val="auto"/>
          <w:sz w:val="21"/>
          <w:szCs w:val="21"/>
          <w:highlight w:val="none"/>
        </w:rPr>
        <w:t>本表后应按要求附业绩证明材料。</w:t>
      </w: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2397" w:firstLineChars="999"/>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3112" w:firstLineChars="12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3112" w:firstLineChars="12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widowControl/>
        <w:jc w:val="left"/>
        <w:rPr>
          <w:rFonts w:asciiTheme="minorEastAsia" w:hAnsiTheme="minorEastAsia" w:cstheme="minorEastAsia"/>
          <w:color w:val="auto"/>
          <w:kern w:val="0"/>
          <w:szCs w:val="21"/>
          <w:highlight w:val="none"/>
        </w:rPr>
      </w:pPr>
      <w:r>
        <w:rPr>
          <w:rFonts w:hint="eastAsia" w:asciiTheme="minorEastAsia" w:hAnsiTheme="minorEastAsia" w:cstheme="minorEastAsia"/>
          <w:color w:val="auto"/>
          <w:sz w:val="24"/>
          <w:szCs w:val="24"/>
          <w:highlight w:val="none"/>
        </w:rPr>
        <w:t xml:space="preserve">                                日期：</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日</w:t>
      </w:r>
    </w:p>
    <w:p>
      <w:pPr>
        <w:rPr>
          <w:rFonts w:asciiTheme="minorEastAsia" w:hAnsiTheme="minorEastAsia" w:cstheme="minorEastAsia"/>
          <w:b/>
          <w:color w:val="auto"/>
          <w:sz w:val="28"/>
          <w:szCs w:val="28"/>
          <w:highlight w:val="none"/>
        </w:rPr>
      </w:pPr>
      <w:r>
        <w:rPr>
          <w:rFonts w:hint="eastAsia" w:asciiTheme="minorEastAsia" w:hAnsiTheme="minorEastAsia" w:cstheme="minorEastAsia"/>
          <w:b/>
          <w:color w:val="auto"/>
          <w:sz w:val="28"/>
          <w:szCs w:val="28"/>
          <w:highlight w:val="none"/>
        </w:rPr>
        <w:t xml:space="preserve">  </w:t>
      </w: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rPr>
          <w:rFonts w:asciiTheme="minorEastAsia" w:hAnsiTheme="minorEastAsia" w:cstheme="minorEastAsia"/>
          <w:b/>
          <w:color w:val="auto"/>
          <w:sz w:val="28"/>
          <w:szCs w:val="28"/>
          <w:highlight w:val="none"/>
        </w:rPr>
      </w:pPr>
    </w:p>
    <w:p>
      <w:pPr>
        <w:pStyle w:val="2"/>
        <w:rPr>
          <w:rFonts w:asciiTheme="minorEastAsia" w:hAnsiTheme="minorEastAsia" w:eastAsiaTheme="minorEastAsia" w:cstheme="minorEastAsia"/>
          <w:color w:val="auto"/>
          <w:highlight w:val="none"/>
        </w:rPr>
      </w:pPr>
    </w:p>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pPr>
        <w:pStyle w:val="11"/>
        <w:spacing w:line="360" w:lineRule="auto"/>
        <w:jc w:val="left"/>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color w:val="auto"/>
          <w:sz w:val="24"/>
          <w:szCs w:val="24"/>
          <w:highlight w:val="none"/>
        </w:rPr>
        <w:t>附件五</w:t>
      </w:r>
    </w:p>
    <w:p>
      <w:pPr>
        <w:pStyle w:val="11"/>
        <w:adjustRightInd w:val="0"/>
        <w:snapToGrid w:val="0"/>
        <w:spacing w:line="360" w:lineRule="auto"/>
        <w:jc w:val="center"/>
        <w:rPr>
          <w:rFonts w:asciiTheme="minorEastAsia" w:hAnsiTheme="minorEastAsia" w:eastAsiaTheme="minorEastAsia" w:cstheme="minorEastAsia"/>
          <w:color w:val="auto"/>
          <w:sz w:val="24"/>
          <w:szCs w:val="24"/>
          <w:highlight w:val="none"/>
        </w:rPr>
      </w:pPr>
    </w:p>
    <w:p>
      <w:pPr>
        <w:pStyle w:val="11"/>
        <w:adjustRightInd w:val="0"/>
        <w:snapToGrid w:val="0"/>
        <w:spacing w:line="360" w:lineRule="auto"/>
        <w:jc w:val="center"/>
        <w:rPr>
          <w:rFonts w:asciiTheme="minorEastAsia" w:hAnsiTheme="minorEastAsia" w:eastAsiaTheme="minorEastAsia" w:cstheme="minorEastAsia"/>
          <w:color w:val="auto"/>
          <w:sz w:val="24"/>
          <w:szCs w:val="24"/>
          <w:highlight w:val="none"/>
        </w:rPr>
      </w:pPr>
    </w:p>
    <w:p>
      <w:pPr>
        <w:pStyle w:val="11"/>
        <w:adjustRightInd w:val="0"/>
        <w:snapToGrid w:val="0"/>
        <w:spacing w:line="360" w:lineRule="auto"/>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项目负责人及其他人员配备情况表</w:t>
      </w:r>
    </w:p>
    <w:p>
      <w:pPr>
        <w:pStyle w:val="11"/>
        <w:adjustRightInd w:val="0"/>
        <w:snapToGrid w:val="0"/>
        <w:spacing w:line="360" w:lineRule="auto"/>
        <w:ind w:firstLine="210" w:firstLineChars="1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项目名称：</w:t>
      </w:r>
      <w:r>
        <w:rPr>
          <w:rFonts w:hint="eastAsia" w:asciiTheme="minorEastAsia" w:hAnsiTheme="minorEastAsia" w:eastAsiaTheme="minorEastAsia" w:cstheme="minorEastAsia"/>
          <w:color w:val="auto"/>
          <w:szCs w:val="21"/>
          <w:highlight w:val="none"/>
          <w:u w:val="single"/>
        </w:rPr>
        <w:t>多宝街丛桂、恩宁片区微改造项目（丛桂、恩宁社区）可行性研究报告及实施方案编制</w:t>
      </w:r>
    </w:p>
    <w:tbl>
      <w:tblPr>
        <w:tblStyle w:val="20"/>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518"/>
        <w:gridCol w:w="1620"/>
        <w:gridCol w:w="1424"/>
        <w:gridCol w:w="139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85" w:type="dxa"/>
            <w:vAlign w:val="center"/>
          </w:tcPr>
          <w:p>
            <w:pPr>
              <w:autoSpaceDE w:val="0"/>
              <w:autoSpaceDN w:val="0"/>
              <w:adjustRightInd w:val="0"/>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序号</w:t>
            </w:r>
          </w:p>
        </w:tc>
        <w:tc>
          <w:tcPr>
            <w:tcW w:w="1518" w:type="dxa"/>
            <w:vAlign w:val="center"/>
          </w:tcPr>
          <w:p>
            <w:pPr>
              <w:autoSpaceDE w:val="0"/>
              <w:autoSpaceDN w:val="0"/>
              <w:adjustRightInd w:val="0"/>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职责</w:t>
            </w:r>
          </w:p>
          <w:p>
            <w:pPr>
              <w:tabs>
                <w:tab w:val="left" w:pos="1322"/>
              </w:tabs>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b/>
                <w:bCs/>
                <w:color w:val="auto"/>
                <w:kern w:val="0"/>
                <w:sz w:val="24"/>
                <w:szCs w:val="24"/>
                <w:highlight w:val="none"/>
              </w:rPr>
              <w:t>分工</w:t>
            </w:r>
          </w:p>
        </w:tc>
        <w:tc>
          <w:tcPr>
            <w:tcW w:w="1620" w:type="dxa"/>
            <w:vAlign w:val="center"/>
          </w:tcPr>
          <w:p>
            <w:pPr>
              <w:tabs>
                <w:tab w:val="left" w:pos="1322"/>
              </w:tabs>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b/>
                <w:bCs/>
                <w:color w:val="auto"/>
                <w:kern w:val="0"/>
                <w:sz w:val="24"/>
                <w:szCs w:val="24"/>
                <w:highlight w:val="none"/>
              </w:rPr>
              <w:t>姓名</w:t>
            </w:r>
          </w:p>
        </w:tc>
        <w:tc>
          <w:tcPr>
            <w:tcW w:w="1424" w:type="dxa"/>
            <w:vAlign w:val="center"/>
          </w:tcPr>
          <w:p>
            <w:pPr>
              <w:tabs>
                <w:tab w:val="left" w:pos="1322"/>
              </w:tabs>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学历</w:t>
            </w:r>
          </w:p>
        </w:tc>
        <w:tc>
          <w:tcPr>
            <w:tcW w:w="1399" w:type="dxa"/>
            <w:vAlign w:val="center"/>
          </w:tcPr>
          <w:p>
            <w:pPr>
              <w:tabs>
                <w:tab w:val="left" w:pos="1322"/>
              </w:tabs>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职称/注册执业资格</w:t>
            </w:r>
          </w:p>
        </w:tc>
        <w:tc>
          <w:tcPr>
            <w:tcW w:w="2269" w:type="dxa"/>
            <w:vAlign w:val="center"/>
          </w:tcPr>
          <w:p>
            <w:pPr>
              <w:tabs>
                <w:tab w:val="left" w:pos="1322"/>
              </w:tabs>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b/>
                <w:bCs/>
                <w:color w:val="auto"/>
                <w:kern w:val="0"/>
                <w:sz w:val="24"/>
                <w:szCs w:val="24"/>
                <w:highlight w:val="none"/>
              </w:rPr>
              <w:t>证书编号（如有）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85" w:type="dxa"/>
            <w:vAlign w:val="center"/>
          </w:tcPr>
          <w:p>
            <w:pPr>
              <w:tabs>
                <w:tab w:val="left" w:pos="1322"/>
              </w:tabs>
              <w:spacing w:line="360" w:lineRule="auto"/>
              <w:jc w:val="center"/>
              <w:rPr>
                <w:rFonts w:asciiTheme="minorEastAsia" w:hAnsiTheme="minorEastAsia" w:cstheme="minorEastAsia"/>
                <w:color w:val="auto"/>
                <w:sz w:val="24"/>
                <w:szCs w:val="24"/>
                <w:highlight w:val="none"/>
              </w:rPr>
            </w:pPr>
            <w:r>
              <w:rPr>
                <w:rFonts w:hint="eastAsia" w:asciiTheme="minorEastAsia" w:hAnsiTheme="minorEastAsia" w:cstheme="minorEastAsia"/>
                <w:color w:val="auto"/>
                <w:kern w:val="0"/>
                <w:sz w:val="24"/>
                <w:szCs w:val="24"/>
                <w:highlight w:val="none"/>
              </w:rPr>
              <w:t>1</w:t>
            </w:r>
          </w:p>
        </w:tc>
        <w:tc>
          <w:tcPr>
            <w:tcW w:w="1518"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color w:val="auto"/>
                <w:kern w:val="0"/>
                <w:sz w:val="24"/>
                <w:szCs w:val="24"/>
                <w:highlight w:val="none"/>
              </w:rPr>
              <w:t>项目负责人</w:t>
            </w: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2</w:t>
            </w:r>
          </w:p>
        </w:tc>
        <w:tc>
          <w:tcPr>
            <w:tcW w:w="1518" w:type="dxa"/>
            <w:vMerge w:val="restart"/>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r>
              <w:rPr>
                <w:rFonts w:hint="eastAsia" w:asciiTheme="minorEastAsia" w:hAnsiTheme="minorEastAsia" w:cstheme="minorEastAsia"/>
                <w:color w:val="auto"/>
                <w:kern w:val="0"/>
                <w:sz w:val="24"/>
                <w:szCs w:val="24"/>
                <w:highlight w:val="none"/>
              </w:rPr>
              <w:t>主要经办人员及其他人员配备情况</w:t>
            </w: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3</w:t>
            </w:r>
          </w:p>
        </w:tc>
        <w:tc>
          <w:tcPr>
            <w:tcW w:w="1518" w:type="dxa"/>
            <w:vMerge w:val="continue"/>
            <w:vAlign w:val="center"/>
          </w:tcPr>
          <w:p>
            <w:pPr>
              <w:tabs>
                <w:tab w:val="left" w:pos="1322"/>
              </w:tabs>
              <w:spacing w:line="360" w:lineRule="auto"/>
              <w:jc w:val="center"/>
              <w:rPr>
                <w:rFonts w:asciiTheme="minorEastAsia" w:hAnsiTheme="minorEastAsia" w:cstheme="minorEastAsia"/>
                <w:color w:val="auto"/>
                <w:kern w:val="0"/>
                <w:sz w:val="24"/>
                <w:szCs w:val="24"/>
                <w:highlight w:val="none"/>
              </w:rPr>
            </w:pP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4</w:t>
            </w:r>
          </w:p>
        </w:tc>
        <w:tc>
          <w:tcPr>
            <w:tcW w:w="1518" w:type="dxa"/>
            <w:vMerge w:val="continue"/>
            <w:vAlign w:val="center"/>
          </w:tcPr>
          <w:p>
            <w:pPr>
              <w:tabs>
                <w:tab w:val="left" w:pos="1322"/>
              </w:tabs>
              <w:spacing w:line="360" w:lineRule="auto"/>
              <w:jc w:val="center"/>
              <w:rPr>
                <w:rFonts w:asciiTheme="minorEastAsia" w:hAnsiTheme="minorEastAsia" w:cstheme="minorEastAsia"/>
                <w:color w:val="auto"/>
                <w:kern w:val="0"/>
                <w:sz w:val="24"/>
                <w:szCs w:val="24"/>
                <w:highlight w:val="none"/>
              </w:rPr>
            </w:pP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885" w:type="dxa"/>
            <w:vAlign w:val="center"/>
          </w:tcPr>
          <w:p>
            <w:pPr>
              <w:autoSpaceDE w:val="0"/>
              <w:autoSpaceDN w:val="0"/>
              <w:adjustRightInd w:val="0"/>
              <w:spacing w:line="360" w:lineRule="auto"/>
              <w:jc w:val="center"/>
              <w:rPr>
                <w:rFonts w:asciiTheme="minorEastAsia" w:hAnsiTheme="minorEastAsia" w:cstheme="minorEastAsia"/>
                <w:color w:val="auto"/>
                <w:kern w:val="0"/>
                <w:sz w:val="24"/>
                <w:szCs w:val="24"/>
                <w:highlight w:val="none"/>
              </w:rPr>
            </w:pPr>
            <w:r>
              <w:rPr>
                <w:rFonts w:hint="eastAsia" w:asciiTheme="minorEastAsia" w:hAnsiTheme="minorEastAsia" w:cstheme="minorEastAsia"/>
                <w:color w:val="auto"/>
                <w:kern w:val="0"/>
                <w:sz w:val="24"/>
                <w:szCs w:val="24"/>
                <w:highlight w:val="none"/>
              </w:rPr>
              <w:t>…</w:t>
            </w:r>
          </w:p>
        </w:tc>
        <w:tc>
          <w:tcPr>
            <w:tcW w:w="1518" w:type="dxa"/>
            <w:vMerge w:val="continue"/>
            <w:vAlign w:val="center"/>
          </w:tcPr>
          <w:p>
            <w:pPr>
              <w:tabs>
                <w:tab w:val="left" w:pos="1322"/>
              </w:tabs>
              <w:spacing w:line="360" w:lineRule="auto"/>
              <w:jc w:val="center"/>
              <w:rPr>
                <w:rFonts w:asciiTheme="minorEastAsia" w:hAnsiTheme="minorEastAsia" w:cstheme="minorEastAsia"/>
                <w:color w:val="auto"/>
                <w:kern w:val="0"/>
                <w:sz w:val="24"/>
                <w:szCs w:val="24"/>
                <w:highlight w:val="none"/>
              </w:rPr>
            </w:pPr>
          </w:p>
        </w:tc>
        <w:tc>
          <w:tcPr>
            <w:tcW w:w="1620"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424"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139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c>
          <w:tcPr>
            <w:tcW w:w="2269" w:type="dxa"/>
            <w:vAlign w:val="center"/>
          </w:tcPr>
          <w:p>
            <w:pPr>
              <w:tabs>
                <w:tab w:val="left" w:pos="1322"/>
              </w:tabs>
              <w:spacing w:line="360" w:lineRule="auto"/>
              <w:jc w:val="center"/>
              <w:rPr>
                <w:rFonts w:asciiTheme="minorEastAsia" w:hAnsiTheme="minorEastAsia" w:cstheme="minorEastAsia"/>
                <w:color w:val="auto"/>
                <w:sz w:val="24"/>
                <w:szCs w:val="24"/>
                <w:highlight w:val="none"/>
                <w:lang w:val="en-GB"/>
              </w:rPr>
            </w:pPr>
          </w:p>
        </w:tc>
      </w:tr>
    </w:tbl>
    <w:p>
      <w:pPr>
        <w:adjustRightInd w:val="0"/>
        <w:snapToGrid w:val="0"/>
        <w:spacing w:line="360" w:lineRule="auto"/>
        <w:ind w:firstLine="210" w:firstLineChars="100"/>
        <w:rPr>
          <w:rFonts w:asciiTheme="minorEastAsia" w:hAnsiTheme="minorEastAsia" w:cstheme="minorEastAsia"/>
          <w:bCs/>
          <w:color w:val="auto"/>
          <w:kern w:val="0"/>
          <w:sz w:val="21"/>
          <w:szCs w:val="21"/>
          <w:highlight w:val="none"/>
        </w:rPr>
      </w:pPr>
      <w:r>
        <w:rPr>
          <w:rFonts w:hint="eastAsia" w:asciiTheme="minorEastAsia" w:hAnsiTheme="minorEastAsia" w:cstheme="minorEastAsia"/>
          <w:bCs/>
          <w:color w:val="auto"/>
          <w:kern w:val="0"/>
          <w:sz w:val="21"/>
          <w:szCs w:val="21"/>
          <w:highlight w:val="none"/>
        </w:rPr>
        <w:t>注：</w:t>
      </w:r>
      <w:r>
        <w:rPr>
          <w:rFonts w:hint="eastAsia" w:asciiTheme="minorEastAsia" w:hAnsiTheme="minorEastAsia" w:cstheme="minorEastAsia"/>
          <w:color w:val="auto"/>
          <w:sz w:val="21"/>
          <w:szCs w:val="21"/>
          <w:highlight w:val="none"/>
        </w:rPr>
        <w:t>本表后应按要求附相关人员的资格证书证明材料及本单位近1个月的个人社保证明页。</w:t>
      </w:r>
    </w:p>
    <w:p>
      <w:pPr>
        <w:tabs>
          <w:tab w:val="left" w:pos="1260"/>
        </w:tabs>
        <w:adjustRightInd w:val="0"/>
        <w:snapToGrid w:val="0"/>
        <w:spacing w:line="360" w:lineRule="auto"/>
        <w:rPr>
          <w:rFonts w:asciiTheme="minorEastAsia" w:hAnsiTheme="minorEastAsia" w:cstheme="minorEastAsia"/>
          <w:b/>
          <w:color w:val="auto"/>
          <w:sz w:val="24"/>
          <w:szCs w:val="24"/>
          <w:highlight w:val="none"/>
        </w:rPr>
      </w:pP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highlight w:val="none"/>
        </w:rPr>
      </w:pP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2635" w:firstLineChars="1098"/>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pStyle w:val="11"/>
        <w:spacing w:line="360" w:lineRule="auto"/>
        <w:ind w:firstLine="3360" w:firstLineChars="1400"/>
        <w:rPr>
          <w:rFonts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日</w:t>
      </w:r>
    </w:p>
    <w:p>
      <w:pPr>
        <w:pStyle w:val="11"/>
        <w:adjustRightInd w:val="0"/>
        <w:snapToGrid w:val="0"/>
        <w:spacing w:line="360" w:lineRule="auto"/>
        <w:jc w:val="left"/>
        <w:rPr>
          <w:rFonts w:asciiTheme="minorEastAsia" w:hAnsiTheme="minorEastAsia" w:eastAsiaTheme="minorEastAsia" w:cstheme="minorEastAsia"/>
          <w:color w:val="auto"/>
          <w:sz w:val="24"/>
          <w:szCs w:val="24"/>
          <w:highlight w:val="none"/>
        </w:rPr>
      </w:pPr>
    </w:p>
    <w:p>
      <w:pPr>
        <w:adjustRightInd w:val="0"/>
        <w:snapToGrid w:val="0"/>
        <w:spacing w:line="360" w:lineRule="auto"/>
        <w:jc w:val="center"/>
        <w:rPr>
          <w:rFonts w:asciiTheme="minorEastAsia" w:hAnsiTheme="minorEastAsia" w:cstheme="minorEastAsia"/>
          <w:b/>
          <w:bCs/>
          <w:color w:val="auto"/>
          <w:sz w:val="48"/>
          <w:szCs w:val="48"/>
          <w:highlight w:val="none"/>
        </w:rPr>
      </w:pPr>
    </w:p>
    <w:p>
      <w:pPr>
        <w:adjustRightInd w:val="0"/>
        <w:snapToGrid w:val="0"/>
        <w:spacing w:line="360" w:lineRule="auto"/>
        <w:jc w:val="center"/>
        <w:rPr>
          <w:rFonts w:asciiTheme="minorEastAsia" w:hAnsiTheme="minorEastAsia" w:cstheme="minorEastAsia"/>
          <w:b/>
          <w:bCs/>
          <w:color w:val="auto"/>
          <w:sz w:val="48"/>
          <w:szCs w:val="48"/>
          <w:highlight w:val="none"/>
        </w:rPr>
      </w:pPr>
    </w:p>
    <w:p>
      <w:pPr>
        <w:adjustRightInd w:val="0"/>
        <w:snapToGrid w:val="0"/>
        <w:spacing w:line="360" w:lineRule="auto"/>
        <w:jc w:val="center"/>
        <w:rPr>
          <w:rFonts w:asciiTheme="minorEastAsia" w:hAnsiTheme="minorEastAsia" w:cstheme="minorEastAsia"/>
          <w:b/>
          <w:bCs/>
          <w:color w:val="auto"/>
          <w:sz w:val="48"/>
          <w:szCs w:val="48"/>
          <w:highlight w:val="none"/>
        </w:rPr>
      </w:pPr>
    </w:p>
    <w:p>
      <w:pPr>
        <w:pStyle w:val="11"/>
        <w:spacing w:line="360" w:lineRule="auto"/>
        <w:rPr>
          <w:rFonts w:asciiTheme="minorEastAsia" w:hAnsiTheme="minorEastAsia" w:eastAsiaTheme="minorEastAsia" w:cstheme="minorEastAsia"/>
          <w:color w:val="auto"/>
          <w:sz w:val="24"/>
          <w:szCs w:val="24"/>
          <w:highlight w:val="none"/>
        </w:rPr>
      </w:pPr>
    </w:p>
    <w:p>
      <w:pPr>
        <w:pStyle w:val="11"/>
        <w:spacing w:line="360" w:lineRule="auto"/>
        <w:rPr>
          <w:rFonts w:asciiTheme="minorEastAsia" w:hAnsiTheme="minorEastAsia" w:eastAsiaTheme="minorEastAsia" w:cstheme="minorEastAsia"/>
          <w:color w:val="auto"/>
          <w:sz w:val="24"/>
          <w:szCs w:val="24"/>
          <w:highlight w:val="none"/>
        </w:rPr>
      </w:pPr>
    </w:p>
    <w:p>
      <w:pPr>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br w:type="page"/>
      </w:r>
    </w:p>
    <w:p>
      <w:pPr>
        <w:pStyle w:val="11"/>
        <w:spacing w:line="360" w:lineRule="auto"/>
        <w:rPr>
          <w:rFonts w:asciiTheme="minorEastAsia" w:hAnsiTheme="minorEastAsia" w:eastAsiaTheme="minorEastAsia" w:cstheme="minorEastAsia"/>
          <w:color w:val="auto"/>
          <w:sz w:val="18"/>
          <w:szCs w:val="18"/>
          <w:highlight w:val="none"/>
          <w:shd w:val="clear" w:color="auto" w:fill="FFFFFF"/>
        </w:rPr>
      </w:pPr>
      <w:r>
        <w:rPr>
          <w:rFonts w:hint="eastAsia" w:asciiTheme="minorEastAsia" w:hAnsiTheme="minorEastAsia" w:eastAsiaTheme="minorEastAsia" w:cstheme="minorEastAsia"/>
          <w:color w:val="auto"/>
          <w:sz w:val="24"/>
          <w:szCs w:val="24"/>
          <w:highlight w:val="none"/>
        </w:rPr>
        <w:t>附件六</w:t>
      </w:r>
    </w:p>
    <w:p>
      <w:pPr>
        <w:adjustRightInd w:val="0"/>
        <w:snapToGrid w:val="0"/>
        <w:spacing w:line="360" w:lineRule="auto"/>
        <w:jc w:val="center"/>
        <w:rPr>
          <w:rFonts w:asciiTheme="minorEastAsia" w:hAnsiTheme="minorEastAsia" w:cstheme="minorEastAsia"/>
          <w:b/>
          <w:bCs/>
          <w:color w:val="auto"/>
          <w:sz w:val="32"/>
          <w:szCs w:val="32"/>
          <w:highlight w:val="none"/>
        </w:rPr>
      </w:pPr>
      <w:r>
        <w:rPr>
          <w:rFonts w:hint="eastAsia" w:asciiTheme="minorEastAsia" w:hAnsiTheme="minorEastAsia" w:cstheme="minorEastAsia"/>
          <w:b/>
          <w:bCs/>
          <w:color w:val="auto"/>
          <w:sz w:val="32"/>
          <w:szCs w:val="32"/>
          <w:highlight w:val="none"/>
        </w:rPr>
        <w:t>承诺书</w:t>
      </w:r>
    </w:p>
    <w:p>
      <w:pPr>
        <w:adjustRightInd w:val="0"/>
        <w:snapToGrid w:val="0"/>
        <w:spacing w:line="360" w:lineRule="auto"/>
        <w:ind w:firstLine="560" w:firstLineChars="200"/>
        <w:rPr>
          <w:rFonts w:asciiTheme="minorEastAsia" w:hAnsiTheme="minorEastAsia" w:cstheme="minorEastAsia"/>
          <w:b/>
          <w:bCs/>
          <w:color w:val="auto"/>
          <w:sz w:val="28"/>
          <w:szCs w:val="28"/>
          <w:highlight w:val="none"/>
        </w:rPr>
      </w:pPr>
      <w:r>
        <w:rPr>
          <w:rFonts w:hint="eastAsia" w:asciiTheme="minorEastAsia" w:hAnsiTheme="minorEastAsia" w:cstheme="minorEastAsia"/>
          <w:color w:val="auto"/>
          <w:sz w:val="28"/>
          <w:szCs w:val="28"/>
          <w:highlight w:val="none"/>
        </w:rPr>
        <w:t>本公司承诺本次关于</w:t>
      </w:r>
      <w:r>
        <w:rPr>
          <w:rFonts w:hint="eastAsia" w:asciiTheme="minorEastAsia" w:hAnsiTheme="minorEastAsia" w:cstheme="minorEastAsia"/>
          <w:color w:val="auto"/>
          <w:sz w:val="28"/>
          <w:szCs w:val="28"/>
          <w:highlight w:val="none"/>
          <w:u w:val="single"/>
        </w:rPr>
        <w:t>多宝街丛桂、恩宁片区微改造项目（丛桂、恩宁社区）可行性研究报告及实施方案编制</w:t>
      </w:r>
      <w:r>
        <w:rPr>
          <w:rFonts w:hint="eastAsia" w:asciiTheme="minorEastAsia" w:hAnsiTheme="minorEastAsia" w:cstheme="minorEastAsia"/>
          <w:color w:val="auto"/>
          <w:sz w:val="28"/>
          <w:szCs w:val="28"/>
          <w:highlight w:val="none"/>
        </w:rPr>
        <w:t>报价文件中所提供的全部材料均为属实，提交本承诺书的前3年内在经营活动中没有重大违法记录，如有虚假，本公司将承担一切后果及法律责任，特此承诺。</w:t>
      </w:r>
    </w:p>
    <w:p>
      <w:pPr>
        <w:spacing w:line="360" w:lineRule="auto"/>
        <w:jc w:val="left"/>
        <w:rPr>
          <w:rFonts w:asciiTheme="minorEastAsia" w:hAnsiTheme="minorEastAsia" w:cstheme="minorEastAsia"/>
          <w:b/>
          <w:bCs/>
          <w:color w:val="auto"/>
          <w:sz w:val="36"/>
          <w:szCs w:val="36"/>
          <w:highlight w:val="none"/>
        </w:rPr>
      </w:pPr>
      <w:r>
        <w:rPr>
          <w:rFonts w:hint="eastAsia" w:asciiTheme="minorEastAsia" w:hAnsiTheme="minorEastAsia" w:cstheme="minorEastAsia"/>
          <w:color w:val="auto"/>
          <w:sz w:val="28"/>
          <w:szCs w:val="28"/>
          <w:highlight w:val="none"/>
        </w:rPr>
        <w:t xml:space="preserve">       </w:t>
      </w:r>
    </w:p>
    <w:p>
      <w:pPr>
        <w:adjustRightInd w:val="0"/>
        <w:snapToGrid w:val="0"/>
        <w:spacing w:line="360" w:lineRule="auto"/>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 xml:space="preserve"> </w:t>
      </w:r>
    </w:p>
    <w:p>
      <w:pPr>
        <w:adjustRightInd w:val="0"/>
        <w:snapToGrid w:val="0"/>
        <w:spacing w:line="360" w:lineRule="auto"/>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 xml:space="preserve"> </w:t>
      </w:r>
    </w:p>
    <w:p>
      <w:pPr>
        <w:adjustRightInd w:val="0"/>
        <w:snapToGrid w:val="0"/>
        <w:spacing w:line="360" w:lineRule="auto"/>
        <w:rPr>
          <w:rFonts w:asciiTheme="minorEastAsia" w:hAnsiTheme="minorEastAsia" w:cstheme="minorEastAsia"/>
          <w:b/>
          <w:bCs/>
          <w:color w:val="auto"/>
          <w:sz w:val="36"/>
          <w:szCs w:val="36"/>
          <w:highlight w:val="none"/>
        </w:rPr>
      </w:pPr>
      <w:r>
        <w:rPr>
          <w:rFonts w:hint="eastAsia" w:asciiTheme="minorEastAsia" w:hAnsiTheme="minorEastAsia" w:cstheme="minorEastAsia"/>
          <w:b/>
          <w:bCs/>
          <w:color w:val="auto"/>
          <w:sz w:val="36"/>
          <w:szCs w:val="36"/>
          <w:highlight w:val="non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报价人（公章）：</w:t>
      </w:r>
      <w:r>
        <w:rPr>
          <w:rFonts w:hint="eastAsia" w:asciiTheme="minorEastAsia" w:hAnsiTheme="minorEastAsia" w:cstheme="minorEastAsia"/>
          <w:color w:val="auto"/>
          <w:sz w:val="24"/>
          <w:szCs w:val="24"/>
          <w:highlight w:val="none"/>
          <w:u w:val="single"/>
        </w:rPr>
        <w:t xml:space="preserve">                        </w:t>
      </w:r>
    </w:p>
    <w:p>
      <w:pPr>
        <w:tabs>
          <w:tab w:val="left" w:pos="13320"/>
        </w:tabs>
        <w:snapToGrid w:val="0"/>
        <w:spacing w:line="360" w:lineRule="auto"/>
        <w:ind w:left="718" w:leftChars="342" w:right="-52" w:firstLine="2872" w:firstLineChars="1197"/>
        <w:rPr>
          <w:rFonts w:asciiTheme="minorEastAsia" w:hAnsiTheme="minorEastAsia" w:cstheme="minorEastAsia"/>
          <w:color w:val="auto"/>
          <w:sz w:val="24"/>
          <w:szCs w:val="24"/>
          <w:highlight w:val="none"/>
          <w:u w:val="single"/>
        </w:rPr>
      </w:pPr>
      <w:r>
        <w:rPr>
          <w:rFonts w:hint="eastAsia" w:asciiTheme="minorEastAsia" w:hAnsiTheme="minorEastAsia" w:cstheme="minorEastAsia"/>
          <w:color w:val="auto"/>
          <w:sz w:val="24"/>
          <w:szCs w:val="24"/>
          <w:highlight w:val="none"/>
        </w:rPr>
        <w:t>法定代表人或授权代表（签字或盖章）：</w:t>
      </w:r>
      <w:r>
        <w:rPr>
          <w:rFonts w:hint="eastAsia" w:asciiTheme="minorEastAsia" w:hAnsiTheme="minorEastAsia" w:cstheme="minorEastAsia"/>
          <w:color w:val="auto"/>
          <w:sz w:val="24"/>
          <w:szCs w:val="24"/>
          <w:highlight w:val="none"/>
          <w:u w:val="single"/>
        </w:rPr>
        <w:t xml:space="preserve">        </w:t>
      </w:r>
    </w:p>
    <w:p>
      <w:pPr>
        <w:adjustRightInd w:val="0"/>
        <w:snapToGrid w:val="0"/>
        <w:spacing w:line="360" w:lineRule="auto"/>
        <w:ind w:right="480" w:firstLine="3600" w:firstLineChars="1500"/>
        <w:rPr>
          <w:rFonts w:asciiTheme="minorEastAsia" w:hAnsiTheme="minorEastAsia" w:cstheme="minorEastAsia"/>
          <w:color w:val="auto"/>
          <w:highlight w:val="none"/>
        </w:rPr>
      </w:pPr>
      <w:r>
        <w:rPr>
          <w:rFonts w:hint="eastAsia" w:asciiTheme="minorEastAsia" w:hAnsiTheme="minorEastAsia" w:cstheme="minorEastAsia"/>
          <w:color w:val="auto"/>
          <w:sz w:val="24"/>
          <w:szCs w:val="24"/>
          <w:highlight w:val="none"/>
        </w:rPr>
        <w:t>日期：</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年</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月</w:t>
      </w:r>
      <w:r>
        <w:rPr>
          <w:rFonts w:hint="eastAsia" w:asciiTheme="minorEastAsia" w:hAnsiTheme="minorEastAsia" w:cstheme="minorEastAsia"/>
          <w:color w:val="auto"/>
          <w:sz w:val="24"/>
          <w:szCs w:val="24"/>
          <w:highlight w:val="none"/>
          <w:u w:val="single"/>
        </w:rPr>
        <w:t xml:space="preserve">     </w:t>
      </w:r>
      <w:r>
        <w:rPr>
          <w:rFonts w:hint="eastAsia" w:asciiTheme="minorEastAsia" w:hAnsiTheme="minorEastAsia" w:cstheme="minorEastAsia"/>
          <w:color w:val="auto"/>
          <w:sz w:val="24"/>
          <w:szCs w:val="24"/>
          <w:highlight w:val="none"/>
        </w:rPr>
        <w:t>日</w:t>
      </w:r>
    </w:p>
    <w:p>
      <w:pPr>
        <w:adjustRightInd w:val="0"/>
        <w:snapToGrid w:val="0"/>
        <w:spacing w:line="360" w:lineRule="auto"/>
        <w:ind w:right="480" w:firstLine="3150" w:firstLineChars="1500"/>
        <w:rPr>
          <w:rFonts w:asciiTheme="minorEastAsia" w:hAnsiTheme="minorEastAsia" w:cstheme="minorEastAsia"/>
          <w:color w:val="auto"/>
          <w:highlight w:val="none"/>
        </w:rPr>
      </w:pPr>
    </w:p>
    <w:p>
      <w:pPr>
        <w:widowControl/>
        <w:shd w:val="clear" w:color="auto" w:fill="FFFFFF"/>
        <w:jc w:val="center"/>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rPr>
          <w:rFonts w:asciiTheme="minorEastAsia" w:hAnsiTheme="minorEastAsia" w:cstheme="minorEastAsia"/>
          <w:color w:val="auto"/>
          <w:kern w:val="0"/>
          <w:sz w:val="24"/>
          <w:szCs w:val="24"/>
          <w:highlight w:val="none"/>
        </w:rPr>
      </w:pPr>
    </w:p>
    <w:p>
      <w:pPr>
        <w:pStyle w:val="2"/>
        <w:jc w:val="center"/>
        <w:rPr>
          <w:rFonts w:asciiTheme="minorEastAsia" w:hAnsiTheme="minorEastAsia" w:cstheme="minorEastAsia"/>
          <w:color w:val="auto"/>
          <w:kern w:val="0"/>
          <w:sz w:val="24"/>
          <w:szCs w:val="24"/>
          <w:highlight w:val="none"/>
        </w:rPr>
      </w:pPr>
    </w:p>
    <w:p>
      <w:pPr>
        <w:pStyle w:val="2"/>
        <w:jc w:val="center"/>
        <w:rPr>
          <w:rFonts w:asciiTheme="minorEastAsia" w:hAnsiTheme="minorEastAsia" w:cstheme="minorEastAsia"/>
          <w:color w:val="auto"/>
          <w:kern w:val="0"/>
          <w:sz w:val="24"/>
          <w:szCs w:val="24"/>
          <w:highlight w:val="none"/>
        </w:rPr>
        <w:sectPr>
          <w:pgSz w:w="11906" w:h="16838"/>
          <w:pgMar w:top="1134" w:right="1134" w:bottom="1134" w:left="1134" w:header="851" w:footer="992" w:gutter="0"/>
          <w:cols w:space="425" w:num="1"/>
          <w:docGrid w:type="lines" w:linePitch="312" w:charSpace="0"/>
        </w:sectPr>
      </w:pPr>
    </w:p>
    <w:p>
      <w:pPr>
        <w:pStyle w:val="2"/>
        <w:jc w:val="center"/>
        <w:rPr>
          <w:rFonts w:asciiTheme="minorEastAsia" w:hAnsiTheme="minorEastAsia" w:cstheme="minorEastAsia"/>
          <w:color w:val="auto"/>
          <w:kern w:val="0"/>
          <w:sz w:val="24"/>
          <w:szCs w:val="24"/>
          <w:highlight w:val="none"/>
        </w:rPr>
      </w:pPr>
    </w:p>
    <w:p>
      <w:pPr>
        <w:pStyle w:val="11"/>
        <w:spacing w:line="360" w:lineRule="auto"/>
        <w:rPr>
          <w:rFonts w:hint="eastAsia" w:ascii="宋体" w:hAnsi="宋体" w:eastAsia="宋体" w:cs="宋体"/>
          <w:color w:val="auto"/>
          <w:sz w:val="18"/>
          <w:szCs w:val="18"/>
          <w:highlight w:val="none"/>
          <w:shd w:val="clear" w:color="auto" w:fill="FFFFFF"/>
        </w:rPr>
      </w:pPr>
      <w:r>
        <w:rPr>
          <w:rFonts w:hint="eastAsia" w:ascii="宋体" w:hAnsi="宋体" w:eastAsia="宋体" w:cs="宋体"/>
          <w:color w:val="auto"/>
          <w:sz w:val="24"/>
          <w:szCs w:val="24"/>
          <w:highlight w:val="none"/>
        </w:rPr>
        <w:t>附件七</w:t>
      </w:r>
    </w:p>
    <w:p>
      <w:pPr>
        <w:pStyle w:val="11"/>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b/>
          <w:bCs/>
          <w:color w:val="auto"/>
          <w:sz w:val="32"/>
          <w:highlight w:val="none"/>
        </w:rPr>
        <w:t>联合体共同报价协议</w:t>
      </w:r>
      <w:r>
        <w:rPr>
          <w:rFonts w:hint="eastAsia" w:hAnsi="宋体" w:eastAsia="宋体" w:cs="宋体"/>
          <w:b/>
          <w:bCs/>
          <w:color w:val="auto"/>
          <w:sz w:val="32"/>
          <w:highlight w:val="none"/>
          <w:lang w:eastAsia="zh-CN"/>
        </w:rPr>
        <w:t>（格式自拟）</w:t>
      </w:r>
    </w:p>
    <w:p>
      <w:pPr>
        <w:rPr>
          <w:rFonts w:hint="eastAsia" w:asciiTheme="minorEastAsia" w:hAnsiTheme="minorEastAsia" w:cstheme="minorEastAsia"/>
          <w:b w:val="0"/>
          <w:bCs w:val="0"/>
          <w:color w:val="auto"/>
          <w:kern w:val="0"/>
          <w:sz w:val="24"/>
          <w:szCs w:val="24"/>
          <w:highlight w:val="none"/>
          <w:lang w:val="en-US" w:eastAsia="zh-CN"/>
        </w:rPr>
      </w:pPr>
      <w:r>
        <w:rPr>
          <w:rFonts w:hint="eastAsia" w:asciiTheme="minorEastAsia" w:hAnsiTheme="minorEastAsia" w:cstheme="minorEastAsia"/>
          <w:b/>
          <w:bCs/>
          <w:color w:val="auto"/>
          <w:kern w:val="0"/>
          <w:sz w:val="24"/>
          <w:szCs w:val="24"/>
          <w:highlight w:val="none"/>
        </w:rPr>
        <w:br w:type="page"/>
      </w:r>
      <w:r>
        <w:rPr>
          <w:rFonts w:hint="eastAsia" w:asciiTheme="minorEastAsia" w:hAnsiTheme="minorEastAsia" w:cstheme="minorEastAsia"/>
          <w:b w:val="0"/>
          <w:bCs w:val="0"/>
          <w:color w:val="auto"/>
          <w:kern w:val="0"/>
          <w:sz w:val="24"/>
          <w:szCs w:val="24"/>
          <w:highlight w:val="none"/>
          <w:lang w:eastAsia="zh-CN"/>
        </w:rPr>
        <w:t>附件八</w:t>
      </w:r>
      <w:r>
        <w:rPr>
          <w:rFonts w:hint="eastAsia" w:asciiTheme="minorEastAsia" w:hAnsiTheme="minorEastAsia" w:cstheme="minorEastAsia"/>
          <w:b w:val="0"/>
          <w:bCs w:val="0"/>
          <w:color w:val="auto"/>
          <w:kern w:val="0"/>
          <w:sz w:val="24"/>
          <w:szCs w:val="24"/>
          <w:highlight w:val="none"/>
          <w:lang w:val="en-US" w:eastAsia="zh-CN"/>
        </w:rPr>
        <w:t xml:space="preserve">                      </w:t>
      </w:r>
    </w:p>
    <w:p>
      <w:pPr>
        <w:pStyle w:val="2"/>
        <w:jc w:val="center"/>
        <w:rPr>
          <w:rFonts w:hint="eastAsia" w:asciiTheme="minorEastAsia" w:hAnsiTheme="minorEastAsia" w:cstheme="minorEastAsia"/>
          <w:b w:val="0"/>
          <w:bCs w:val="0"/>
          <w:color w:val="auto"/>
          <w:kern w:val="0"/>
          <w:sz w:val="24"/>
          <w:szCs w:val="24"/>
          <w:highlight w:val="none"/>
          <w:lang w:val="en-US" w:eastAsia="zh-CN"/>
        </w:rPr>
      </w:pPr>
      <w:r>
        <w:rPr>
          <w:rFonts w:hint="eastAsia" w:asciiTheme="minorEastAsia" w:hAnsiTheme="minorEastAsia" w:cstheme="minorEastAsia"/>
          <w:b w:val="0"/>
          <w:bCs w:val="0"/>
          <w:color w:val="auto"/>
          <w:kern w:val="0"/>
          <w:sz w:val="24"/>
          <w:szCs w:val="24"/>
          <w:highlight w:val="none"/>
          <w:lang w:val="en-US" w:eastAsia="zh-CN"/>
        </w:rPr>
        <w:t>附图</w:t>
      </w:r>
    </w:p>
    <w:p>
      <w:pPr>
        <w:pStyle w:val="2"/>
        <w:rPr>
          <w:rFonts w:hint="default" w:asciiTheme="minorEastAsia" w:hAnsiTheme="minorEastAsia" w:cstheme="minorEastAsia"/>
          <w:b w:val="0"/>
          <w:bCs w:val="0"/>
          <w:color w:val="auto"/>
          <w:kern w:val="0"/>
          <w:sz w:val="24"/>
          <w:szCs w:val="24"/>
          <w:highlight w:val="none"/>
          <w:lang w:val="en-US" w:eastAsia="zh-CN"/>
        </w:rPr>
      </w:pPr>
    </w:p>
    <w:p>
      <w:pPr>
        <w:pStyle w:val="2"/>
        <w:rPr>
          <w:rFonts w:hint="eastAsia" w:asciiTheme="minorEastAsia" w:hAnsiTheme="minorEastAsia" w:cstheme="minorEastAsia"/>
          <w:b w:val="0"/>
          <w:bCs w:val="0"/>
          <w:color w:val="auto"/>
          <w:kern w:val="0"/>
          <w:sz w:val="24"/>
          <w:szCs w:val="24"/>
          <w:highlight w:val="none"/>
          <w:lang w:eastAsia="zh-CN"/>
        </w:rPr>
      </w:pPr>
    </w:p>
    <w:p>
      <w:pPr>
        <w:pStyle w:val="2"/>
        <w:rPr>
          <w:rFonts w:hint="eastAsia" w:asciiTheme="minorEastAsia" w:hAnsiTheme="minorEastAsia" w:cstheme="minorEastAsia"/>
          <w:b w:val="0"/>
          <w:bCs w:val="0"/>
          <w:color w:val="auto"/>
          <w:kern w:val="0"/>
          <w:sz w:val="24"/>
          <w:szCs w:val="24"/>
          <w:highlight w:val="none"/>
          <w:lang w:eastAsia="zh-CN"/>
        </w:rPr>
      </w:pPr>
    </w:p>
    <w:p>
      <w:pPr>
        <w:rPr>
          <w:rFonts w:hint="eastAsia" w:asciiTheme="minorEastAsia" w:hAnsiTheme="minorEastAsia" w:eastAsiaTheme="minorEastAsia" w:cstheme="minorEastAsia"/>
          <w:b/>
          <w:bCs/>
          <w:color w:val="auto"/>
          <w:kern w:val="0"/>
          <w:sz w:val="24"/>
          <w:szCs w:val="24"/>
          <w:highlight w:val="none"/>
          <w:lang w:eastAsia="zh-CN"/>
        </w:rPr>
      </w:pPr>
      <w:r>
        <w:rPr>
          <w:rFonts w:hint="eastAsia" w:asciiTheme="minorEastAsia" w:hAnsiTheme="minorEastAsia" w:eastAsiaTheme="minorEastAsia" w:cstheme="minorEastAsia"/>
          <w:b/>
          <w:bCs/>
          <w:color w:val="auto"/>
          <w:kern w:val="0"/>
          <w:sz w:val="24"/>
          <w:szCs w:val="24"/>
          <w:highlight w:val="none"/>
          <w:lang w:eastAsia="zh-CN"/>
        </w:rPr>
        <w:drawing>
          <wp:anchor distT="0" distB="0" distL="114300" distR="114300" simplePos="0" relativeHeight="251659264" behindDoc="0" locked="0" layoutInCell="1" allowOverlap="1">
            <wp:simplePos x="0" y="0"/>
            <wp:positionH relativeFrom="column">
              <wp:posOffset>190500</wp:posOffset>
            </wp:positionH>
            <wp:positionV relativeFrom="page">
              <wp:posOffset>1415415</wp:posOffset>
            </wp:positionV>
            <wp:extent cx="5786755" cy="4086860"/>
            <wp:effectExtent l="0" t="0" r="4445" b="8890"/>
            <wp:wrapSquare wrapText="bothSides"/>
            <wp:docPr id="2" name="图片 2" descr="2a6169cfdb91e8d19eac746caf84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a6169cfdb91e8d19eac746caf84659"/>
                    <pic:cNvPicPr>
                      <a:picLocks noChangeAspect="1"/>
                    </pic:cNvPicPr>
                  </pic:nvPicPr>
                  <pic:blipFill>
                    <a:blip r:embed="rId13"/>
                    <a:stretch>
                      <a:fillRect/>
                    </a:stretch>
                  </pic:blipFill>
                  <pic:spPr>
                    <a:xfrm>
                      <a:off x="0" y="0"/>
                      <a:ext cx="5786755" cy="4086860"/>
                    </a:xfrm>
                    <a:prstGeom prst="rect">
                      <a:avLst/>
                    </a:prstGeom>
                  </pic:spPr>
                </pic:pic>
              </a:graphicData>
            </a:graphic>
          </wp:anchor>
        </w:drawing>
      </w:r>
    </w:p>
    <w:p>
      <w:pPr>
        <w:pStyle w:val="2"/>
        <w:rPr>
          <w:rFonts w:hint="eastAsia"/>
        </w:rPr>
      </w:pPr>
    </w:p>
    <w:p>
      <w:pPr>
        <w:rPr>
          <w:rFonts w:hint="eastAsia"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br w:type="page"/>
      </w:r>
    </w:p>
    <w:p>
      <w:pPr>
        <w:pStyle w:val="2"/>
        <w:jc w:val="center"/>
        <w:rPr>
          <w:rFonts w:asciiTheme="minorEastAsia" w:hAnsiTheme="minorEastAsia" w:cstheme="minorEastAsia"/>
          <w:b/>
          <w:bCs/>
          <w:color w:val="auto"/>
          <w:kern w:val="0"/>
          <w:sz w:val="24"/>
          <w:szCs w:val="24"/>
          <w:highlight w:val="none"/>
        </w:rPr>
      </w:pPr>
      <w:r>
        <w:rPr>
          <w:rFonts w:hint="eastAsia" w:asciiTheme="minorEastAsia" w:hAnsiTheme="minorEastAsia" w:cstheme="minorEastAsia"/>
          <w:b/>
          <w:bCs/>
          <w:color w:val="auto"/>
          <w:kern w:val="0"/>
          <w:sz w:val="24"/>
          <w:szCs w:val="24"/>
          <w:highlight w:val="none"/>
        </w:rPr>
        <w:t>第四章 合同</w:t>
      </w:r>
    </w:p>
    <w:p>
      <w:pPr>
        <w:rPr>
          <w:rFonts w:ascii="黑体" w:hAnsi="黑体" w:eastAsia="黑体"/>
          <w:color w:val="auto"/>
          <w:sz w:val="28"/>
          <w:szCs w:val="28"/>
          <w:highlight w:val="none"/>
        </w:rPr>
      </w:pPr>
      <w:r>
        <w:rPr>
          <w:rFonts w:hint="eastAsia" w:eastAsia="黑体" w:cs="黑体"/>
          <w:color w:val="auto"/>
          <w:sz w:val="28"/>
          <w:szCs w:val="28"/>
          <w:highlight w:val="none"/>
        </w:rPr>
        <w:t xml:space="preserve">合同编号：    </w:t>
      </w:r>
      <w:r>
        <w:rPr>
          <w:rFonts w:eastAsia="黑体" w:cs="黑体"/>
          <w:color w:val="auto"/>
          <w:sz w:val="28"/>
          <w:szCs w:val="28"/>
          <w:highlight w:val="none"/>
        </w:rPr>
        <w:t xml:space="preserve"> </w:t>
      </w:r>
      <w:r>
        <w:rPr>
          <w:rFonts w:hint="eastAsia" w:eastAsia="黑体" w:cs="黑体"/>
          <w:color w:val="auto"/>
          <w:sz w:val="28"/>
          <w:szCs w:val="28"/>
          <w:highlight w:val="none"/>
        </w:rPr>
        <w:t>号</w:t>
      </w:r>
    </w:p>
    <w:p>
      <w:pPr>
        <w:rPr>
          <w:rFonts w:ascii="黑体" w:eastAsia="黑体"/>
          <w:color w:val="auto"/>
          <w:sz w:val="28"/>
          <w:szCs w:val="28"/>
          <w:highlight w:val="none"/>
        </w:rPr>
      </w:pPr>
    </w:p>
    <w:p>
      <w:pPr>
        <w:rPr>
          <w:rFonts w:ascii="黑体" w:eastAsia="黑体"/>
          <w:color w:val="auto"/>
          <w:sz w:val="28"/>
          <w:szCs w:val="28"/>
          <w:highlight w:val="none"/>
        </w:rPr>
      </w:pPr>
    </w:p>
    <w:p>
      <w:pPr>
        <w:ind w:left="360" w:right="271"/>
        <w:rPr>
          <w:rFonts w:ascii="黑体" w:eastAsia="黑体"/>
          <w:color w:val="auto"/>
          <w:sz w:val="28"/>
          <w:szCs w:val="28"/>
          <w:highlight w:val="none"/>
        </w:rPr>
      </w:pPr>
      <w:r>
        <w:rPr>
          <w:rFonts w:ascii="宋体" w:hAnsi="宋体" w:cs="宋体"/>
          <w:color w:val="auto"/>
          <w:sz w:val="24"/>
          <w:szCs w:val="24"/>
          <w:highlight w:val="none"/>
        </w:rPr>
        <w:t xml:space="preserve">      </w:t>
      </w:r>
      <w:r>
        <w:rPr>
          <w:rFonts w:ascii="黑体" w:eastAsia="黑体" w:cs="黑体"/>
          <w:color w:val="auto"/>
          <w:sz w:val="28"/>
          <w:szCs w:val="28"/>
          <w:highlight w:val="none"/>
        </w:rPr>
        <w:t xml:space="preserve">      </w:t>
      </w:r>
    </w:p>
    <w:p>
      <w:pPr>
        <w:ind w:left="360" w:right="271"/>
        <w:rPr>
          <w:color w:val="auto"/>
          <w:sz w:val="28"/>
          <w:szCs w:val="28"/>
          <w:highlight w:val="none"/>
        </w:rPr>
      </w:pPr>
    </w:p>
    <w:p>
      <w:pPr>
        <w:ind w:left="360" w:right="271"/>
        <w:rPr>
          <w:color w:val="auto"/>
          <w:sz w:val="28"/>
          <w:szCs w:val="28"/>
          <w:highlight w:val="none"/>
        </w:rPr>
      </w:pPr>
    </w:p>
    <w:p>
      <w:pPr>
        <w:ind w:left="360" w:right="271"/>
        <w:rPr>
          <w:color w:val="auto"/>
          <w:sz w:val="28"/>
          <w:szCs w:val="28"/>
          <w:highlight w:val="none"/>
        </w:rPr>
      </w:pPr>
    </w:p>
    <w:p>
      <w:pPr>
        <w:tabs>
          <w:tab w:val="left" w:pos="2520"/>
        </w:tabs>
        <w:ind w:left="360" w:right="271"/>
        <w:jc w:val="center"/>
        <w:rPr>
          <w:rFonts w:eastAsia="黑体" w:cs="黑体"/>
          <w:b/>
          <w:bCs/>
          <w:color w:val="auto"/>
          <w:spacing w:val="40"/>
          <w:sz w:val="44"/>
          <w:szCs w:val="44"/>
          <w:highlight w:val="none"/>
        </w:rPr>
      </w:pPr>
      <w:r>
        <w:rPr>
          <w:rFonts w:hint="eastAsia" w:eastAsia="黑体" w:cs="黑体"/>
          <w:b/>
          <w:bCs/>
          <w:color w:val="auto"/>
          <w:spacing w:val="40"/>
          <w:sz w:val="44"/>
          <w:szCs w:val="44"/>
          <w:highlight w:val="none"/>
        </w:rPr>
        <w:t>技术咨询合同</w:t>
      </w:r>
    </w:p>
    <w:p>
      <w:pPr>
        <w:tabs>
          <w:tab w:val="left" w:pos="2520"/>
        </w:tabs>
        <w:ind w:left="360" w:right="271"/>
        <w:jc w:val="center"/>
        <w:rPr>
          <w:rFonts w:eastAsia="黑体"/>
          <w:b/>
          <w:bCs/>
          <w:color w:val="auto"/>
          <w:spacing w:val="40"/>
          <w:sz w:val="44"/>
          <w:szCs w:val="44"/>
          <w:highlight w:val="none"/>
        </w:rPr>
      </w:pPr>
    </w:p>
    <w:p>
      <w:pPr>
        <w:tabs>
          <w:tab w:val="left" w:pos="2520"/>
        </w:tabs>
        <w:ind w:left="360" w:right="271"/>
        <w:jc w:val="center"/>
        <w:rPr>
          <w:rFonts w:eastAsia="黑体"/>
          <w:b/>
          <w:bCs/>
          <w:color w:val="auto"/>
          <w:spacing w:val="40"/>
          <w:sz w:val="44"/>
          <w:szCs w:val="44"/>
          <w:highlight w:val="none"/>
        </w:rPr>
      </w:pPr>
    </w:p>
    <w:p>
      <w:pPr>
        <w:ind w:left="360" w:right="271"/>
        <w:rPr>
          <w:color w:val="auto"/>
          <w:sz w:val="28"/>
          <w:szCs w:val="28"/>
          <w:highlight w:val="none"/>
        </w:rPr>
      </w:pPr>
    </w:p>
    <w:p>
      <w:pPr>
        <w:ind w:left="2037" w:leftChars="170" w:hanging="1680" w:hangingChars="600"/>
        <w:jc w:val="left"/>
        <w:rPr>
          <w:rFonts w:ascii="宋体" w:hAnsi="宋体"/>
          <w:color w:val="auto"/>
          <w:sz w:val="28"/>
          <w:szCs w:val="28"/>
          <w:highlight w:val="none"/>
          <w:u w:val="single"/>
        </w:rPr>
      </w:pPr>
      <w:r>
        <w:rPr>
          <w:rFonts w:hint="eastAsia" w:cs="宋体"/>
          <w:color w:val="auto"/>
          <w:sz w:val="28"/>
          <w:szCs w:val="28"/>
          <w:highlight w:val="none"/>
        </w:rPr>
        <w:t>合同名称：</w:t>
      </w:r>
      <w:r>
        <w:rPr>
          <w:rFonts w:hint="eastAsia"/>
          <w:b/>
          <w:bCs/>
          <w:color w:val="auto"/>
          <w:sz w:val="28"/>
          <w:szCs w:val="28"/>
          <w:highlight w:val="none"/>
          <w:u w:val="single"/>
        </w:rPr>
        <w:t>多宝街丛桂、恩宁片区微改造项目（丛桂、恩宁社区）可行性研究报告及实施方案编制</w:t>
      </w:r>
    </w:p>
    <w:p>
      <w:pPr>
        <w:ind w:left="360" w:right="271"/>
        <w:rPr>
          <w:rFonts w:eastAsia="楷体_GB2312"/>
          <w:b/>
          <w:bCs/>
          <w:color w:val="auto"/>
          <w:sz w:val="28"/>
          <w:szCs w:val="28"/>
          <w:highlight w:val="none"/>
          <w:u w:val="single"/>
        </w:rPr>
      </w:pPr>
      <w:r>
        <w:rPr>
          <w:rFonts w:hint="eastAsia" w:cs="宋体"/>
          <w:color w:val="auto"/>
          <w:sz w:val="28"/>
          <w:szCs w:val="28"/>
          <w:highlight w:val="none"/>
        </w:rPr>
        <w:t>委托方（甲方）：</w:t>
      </w:r>
      <w:r>
        <w:rPr>
          <w:rFonts w:hint="eastAsia"/>
          <w:b/>
          <w:bCs/>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hint="eastAsia" w:eastAsia="楷体_GB2312" w:cs="楷体_GB2312"/>
          <w:b/>
          <w:bCs/>
          <w:color w:val="auto"/>
          <w:sz w:val="28"/>
          <w:szCs w:val="28"/>
          <w:highlight w:val="none"/>
          <w:u w:val="single"/>
        </w:rPr>
        <w:t xml:space="preserve"> </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 xml:space="preserve">     </w:t>
      </w:r>
      <w:r>
        <w:rPr>
          <w:rFonts w:eastAsia="楷体_GB2312"/>
          <w:b/>
          <w:bCs/>
          <w:color w:val="auto"/>
          <w:sz w:val="28"/>
          <w:szCs w:val="28"/>
          <w:highlight w:val="none"/>
          <w:u w:val="single"/>
        </w:rPr>
        <w:t xml:space="preserve">  </w:t>
      </w:r>
      <w:r>
        <w:rPr>
          <w:rFonts w:hint="eastAsia" w:eastAsia="楷体_GB2312"/>
          <w:b/>
          <w:bCs/>
          <w:color w:val="auto"/>
          <w:sz w:val="28"/>
          <w:szCs w:val="28"/>
          <w:highlight w:val="none"/>
          <w:u w:val="single"/>
        </w:rPr>
        <w:t xml:space="preserve"> </w:t>
      </w:r>
    </w:p>
    <w:p>
      <w:pPr>
        <w:ind w:left="360" w:right="271"/>
        <w:rPr>
          <w:b/>
          <w:bCs/>
          <w:color w:val="auto"/>
          <w:sz w:val="28"/>
          <w:szCs w:val="28"/>
          <w:highlight w:val="none"/>
        </w:rPr>
      </w:pPr>
      <w:r>
        <w:rPr>
          <w:rFonts w:hint="eastAsia" w:cs="宋体"/>
          <w:color w:val="auto"/>
          <w:sz w:val="28"/>
          <w:szCs w:val="28"/>
          <w:highlight w:val="none"/>
        </w:rPr>
        <w:t>受托方（乙方）：</w:t>
      </w:r>
      <w:r>
        <w:rPr>
          <w:rFonts w:hint="eastAsia"/>
          <w:b/>
          <w:bCs/>
          <w:color w:val="auto"/>
          <w:sz w:val="28"/>
          <w:szCs w:val="28"/>
          <w:highlight w:val="none"/>
          <w:u w:val="singl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hint="eastAsia" w:eastAsia="楷体_GB2312"/>
          <w:b/>
          <w:bCs/>
          <w:color w:val="auto"/>
          <w:sz w:val="28"/>
          <w:szCs w:val="28"/>
          <w:highlight w:val="none"/>
          <w:u w:val="single"/>
        </w:rPr>
        <w:t xml:space="preserve">    </w:t>
      </w:r>
      <w:r>
        <w:rPr>
          <w:b/>
          <w:bCs/>
          <w:color w:val="auto"/>
          <w:sz w:val="28"/>
          <w:szCs w:val="28"/>
          <w:highlight w:val="none"/>
        </w:rPr>
        <w:t xml:space="preserve">  </w:t>
      </w:r>
    </w:p>
    <w:p>
      <w:pPr>
        <w:spacing w:line="360" w:lineRule="auto"/>
        <w:ind w:left="360" w:right="271"/>
        <w:rPr>
          <w:b/>
          <w:bCs/>
          <w:color w:val="auto"/>
          <w:sz w:val="28"/>
          <w:szCs w:val="28"/>
          <w:highlight w:val="none"/>
        </w:rPr>
      </w:pPr>
      <w:r>
        <w:rPr>
          <w:rFonts w:hint="eastAsia" w:cs="宋体"/>
          <w:color w:val="auto"/>
          <w:sz w:val="28"/>
          <w:szCs w:val="28"/>
          <w:highlight w:val="none"/>
        </w:rPr>
        <w:t>签订地点：</w:t>
      </w:r>
      <w:r>
        <w:rPr>
          <w:color w:val="auto"/>
          <w:sz w:val="28"/>
          <w:szCs w:val="28"/>
          <w:highlight w:val="none"/>
        </w:rPr>
        <w:t xml:space="preserve"> </w:t>
      </w:r>
      <w:r>
        <w:rPr>
          <w:b/>
          <w:bCs/>
          <w:color w:val="auto"/>
          <w:sz w:val="28"/>
          <w:szCs w:val="28"/>
          <w:highlight w:val="none"/>
        </w:rPr>
        <w:t xml:space="preserve">    </w:t>
      </w:r>
      <w:r>
        <w:rPr>
          <w:b/>
          <w:bCs/>
          <w:color w:val="auto"/>
          <w:sz w:val="28"/>
          <w:szCs w:val="28"/>
          <w:highlight w:val="none"/>
          <w:u w:val="single"/>
        </w:rPr>
        <w:t xml:space="preserve">      </w:t>
      </w:r>
      <w:r>
        <w:rPr>
          <w:rFonts w:hint="eastAsia"/>
          <w:b/>
          <w:bCs/>
          <w:color w:val="auto"/>
          <w:sz w:val="28"/>
          <w:szCs w:val="28"/>
          <w:highlight w:val="none"/>
          <w:u w:val="single"/>
        </w:rPr>
        <w:t xml:space="preserve">                         </w:t>
      </w:r>
      <w:r>
        <w:rPr>
          <w:b/>
          <w:bCs/>
          <w:color w:val="auto"/>
          <w:sz w:val="28"/>
          <w:szCs w:val="28"/>
          <w:highlight w:val="none"/>
          <w:u w:val="single"/>
        </w:rPr>
        <w:t xml:space="preserve">       </w:t>
      </w:r>
      <w:r>
        <w:rPr>
          <w:b/>
          <w:bCs/>
          <w:color w:val="auto"/>
          <w:sz w:val="28"/>
          <w:szCs w:val="28"/>
          <w:highlight w:val="none"/>
        </w:rPr>
        <w:t xml:space="preserve">         </w:t>
      </w:r>
    </w:p>
    <w:p>
      <w:pPr>
        <w:spacing w:line="360" w:lineRule="auto"/>
        <w:ind w:left="360" w:right="271"/>
        <w:rPr>
          <w:b/>
          <w:bCs/>
          <w:color w:val="auto"/>
          <w:sz w:val="28"/>
          <w:szCs w:val="28"/>
          <w:highlight w:val="none"/>
        </w:rPr>
      </w:pPr>
      <w:r>
        <w:rPr>
          <w:rFonts w:hint="eastAsia" w:cs="宋体"/>
          <w:color w:val="auto"/>
          <w:sz w:val="28"/>
          <w:szCs w:val="28"/>
          <w:highlight w:val="none"/>
        </w:rPr>
        <w:t>有效期限：</w:t>
      </w:r>
      <w:r>
        <w:rPr>
          <w:b/>
          <w:bCs/>
          <w:color w:val="auto"/>
          <w:sz w:val="28"/>
          <w:szCs w:val="28"/>
          <w:highlight w:val="none"/>
        </w:rPr>
        <w:t xml:space="preserve">   </w:t>
      </w:r>
      <w:r>
        <w:rPr>
          <w:rFonts w:hint="eastAsia" w:cs="宋体"/>
          <w:b/>
          <w:bCs/>
          <w:color w:val="auto"/>
          <w:sz w:val="28"/>
          <w:szCs w:val="28"/>
          <w:highlight w:val="none"/>
        </w:rPr>
        <w:t>签订合同之日起至双方合同义务完成止</w:t>
      </w:r>
    </w:p>
    <w:p>
      <w:pPr>
        <w:ind w:left="178" w:leftChars="85"/>
        <w:jc w:val="center"/>
        <w:rPr>
          <w:b/>
          <w:bCs/>
          <w:color w:val="auto"/>
          <w:sz w:val="28"/>
          <w:szCs w:val="28"/>
          <w:highlight w:val="none"/>
        </w:rPr>
      </w:pPr>
    </w:p>
    <w:p>
      <w:pPr>
        <w:ind w:left="178" w:leftChars="85"/>
        <w:jc w:val="center"/>
        <w:rPr>
          <w:b/>
          <w:bCs/>
          <w:color w:val="auto"/>
          <w:sz w:val="28"/>
          <w:szCs w:val="28"/>
          <w:highlight w:val="none"/>
        </w:rPr>
      </w:pPr>
    </w:p>
    <w:p>
      <w:pPr>
        <w:rPr>
          <w:b/>
          <w:bCs/>
          <w:color w:val="auto"/>
          <w:sz w:val="28"/>
          <w:szCs w:val="28"/>
          <w:highlight w:val="none"/>
        </w:rPr>
      </w:pPr>
    </w:p>
    <w:p>
      <w:pPr>
        <w:ind w:left="178" w:leftChars="85"/>
        <w:jc w:val="center"/>
        <w:rPr>
          <w:b/>
          <w:bCs/>
          <w:color w:val="auto"/>
          <w:sz w:val="28"/>
          <w:szCs w:val="28"/>
          <w:highlight w:val="none"/>
        </w:rPr>
        <w:sectPr>
          <w:headerReference r:id="rId7" w:type="default"/>
          <w:footerReference r:id="rId8" w:type="default"/>
          <w:pgSz w:w="11906" w:h="16838"/>
          <w:pgMar w:top="1134" w:right="1134" w:bottom="1134" w:left="1134" w:header="851" w:footer="992" w:gutter="0"/>
          <w:cols w:space="425" w:num="1"/>
          <w:docGrid w:type="lines" w:linePitch="312" w:charSpace="0"/>
        </w:sectPr>
      </w:pPr>
    </w:p>
    <w:p>
      <w:pPr>
        <w:pStyle w:val="2"/>
        <w:rPr>
          <w:color w:val="auto"/>
          <w:highlight w:val="none"/>
        </w:rPr>
      </w:pPr>
    </w:p>
    <w:p>
      <w:pPr>
        <w:ind w:left="178" w:leftChars="85"/>
        <w:jc w:val="center"/>
        <w:rPr>
          <w:b/>
          <w:bCs/>
          <w:color w:val="auto"/>
          <w:sz w:val="28"/>
          <w:szCs w:val="28"/>
          <w:highlight w:val="none"/>
        </w:rPr>
      </w:pPr>
      <w:r>
        <w:rPr>
          <w:rFonts w:hint="eastAsia" w:cs="宋体"/>
          <w:b/>
          <w:bCs/>
          <w:color w:val="auto"/>
          <w:sz w:val="28"/>
          <w:szCs w:val="28"/>
          <w:highlight w:val="none"/>
        </w:rPr>
        <w:t>中华人民共和国科学技术部印刷</w:t>
      </w:r>
    </w:p>
    <w:p>
      <w:pPr>
        <w:jc w:val="center"/>
        <w:rPr>
          <w:b/>
          <w:bCs/>
          <w:color w:val="auto"/>
          <w:sz w:val="32"/>
          <w:szCs w:val="32"/>
          <w:highlight w:val="none"/>
        </w:rPr>
      </w:pPr>
      <w:r>
        <w:rPr>
          <w:rFonts w:hint="eastAsia" w:cs="宋体"/>
          <w:b/>
          <w:bCs/>
          <w:color w:val="auto"/>
          <w:sz w:val="32"/>
          <w:szCs w:val="32"/>
          <w:highlight w:val="none"/>
        </w:rPr>
        <w:t>填</w:t>
      </w:r>
      <w:r>
        <w:rPr>
          <w:b/>
          <w:bCs/>
          <w:color w:val="auto"/>
          <w:sz w:val="32"/>
          <w:szCs w:val="32"/>
          <w:highlight w:val="none"/>
        </w:rPr>
        <w:t xml:space="preserve"> </w:t>
      </w:r>
      <w:r>
        <w:rPr>
          <w:rFonts w:hint="eastAsia" w:cs="宋体"/>
          <w:b/>
          <w:bCs/>
          <w:color w:val="auto"/>
          <w:sz w:val="32"/>
          <w:szCs w:val="32"/>
          <w:highlight w:val="none"/>
        </w:rPr>
        <w:t>写</w:t>
      </w:r>
      <w:r>
        <w:rPr>
          <w:b/>
          <w:bCs/>
          <w:color w:val="auto"/>
          <w:sz w:val="32"/>
          <w:szCs w:val="32"/>
          <w:highlight w:val="none"/>
        </w:rPr>
        <w:t xml:space="preserve"> </w:t>
      </w:r>
      <w:r>
        <w:rPr>
          <w:rFonts w:hint="eastAsia" w:cs="宋体"/>
          <w:b/>
          <w:bCs/>
          <w:color w:val="auto"/>
          <w:sz w:val="32"/>
          <w:szCs w:val="32"/>
          <w:highlight w:val="none"/>
        </w:rPr>
        <w:t>说</w:t>
      </w:r>
      <w:r>
        <w:rPr>
          <w:b/>
          <w:bCs/>
          <w:color w:val="auto"/>
          <w:sz w:val="32"/>
          <w:szCs w:val="32"/>
          <w:highlight w:val="none"/>
        </w:rPr>
        <w:t xml:space="preserve"> </w:t>
      </w:r>
      <w:r>
        <w:rPr>
          <w:rFonts w:hint="eastAsia" w:cs="宋体"/>
          <w:b/>
          <w:bCs/>
          <w:color w:val="auto"/>
          <w:sz w:val="32"/>
          <w:szCs w:val="32"/>
          <w:highlight w:val="none"/>
        </w:rPr>
        <w:t>明</w:t>
      </w:r>
    </w:p>
    <w:p>
      <w:pPr>
        <w:rPr>
          <w:color w:val="auto"/>
          <w:sz w:val="28"/>
          <w:szCs w:val="28"/>
          <w:highlight w:val="none"/>
        </w:rPr>
      </w:pP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一、本合同为中华人民共和国科学技术部印刷的技术服务合同示范文本，各技术合同登记机构可推介技术合同当事人参照使用。</w:t>
      </w: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二、本合同书适用于一方当事人（受托方）为另一方（委托方）就特定技术项目提供可行性论证、技术预测、专题技术调查、分析评价报告所订立的合同。</w:t>
      </w:r>
    </w:p>
    <w:p>
      <w:pPr>
        <w:pStyle w:val="10"/>
        <w:rPr>
          <w:rFonts w:ascii="宋体" w:hAnsi="宋体" w:eastAsia="宋体" w:cs="宋体"/>
          <w:color w:val="auto"/>
          <w:highlight w:val="none"/>
        </w:rPr>
      </w:pPr>
      <w:r>
        <w:rPr>
          <w:rFonts w:hint="eastAsia" w:ascii="宋体" w:hAnsi="宋体" w:eastAsia="宋体" w:cs="宋体"/>
          <w:color w:val="auto"/>
          <w:highlight w:val="none"/>
        </w:rPr>
        <w:t>三、签约一方为多个当事人的，可按各自在合同关系中的作用等，在“委托方”、“受托方”项下（增页）分别排列为共同委托人或共同受托人。</w:t>
      </w: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四、本合同书未尽事项，可由当事人附页另行约定，并作为本合同的组成部分。</w:t>
      </w:r>
    </w:p>
    <w:p>
      <w:pPr>
        <w:ind w:firstLine="56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五、当事人使用本合同书时约定无需填写的条款，应在该条款处注明“无”等字样。</w:t>
      </w: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ind w:firstLine="560"/>
        <w:rPr>
          <w:color w:val="auto"/>
          <w:sz w:val="28"/>
          <w:szCs w:val="28"/>
          <w:highlight w:val="none"/>
        </w:rPr>
      </w:pPr>
    </w:p>
    <w:p>
      <w:pPr>
        <w:tabs>
          <w:tab w:val="left" w:pos="2520"/>
        </w:tabs>
        <w:spacing w:after="480" w:line="360" w:lineRule="auto"/>
        <w:jc w:val="center"/>
        <w:rPr>
          <w:rFonts w:cs="宋体"/>
          <w:b/>
          <w:bCs/>
          <w:color w:val="auto"/>
          <w:spacing w:val="40"/>
          <w:sz w:val="36"/>
          <w:szCs w:val="36"/>
          <w:highlight w:val="none"/>
        </w:rPr>
        <w:sectPr>
          <w:footerReference r:id="rId9" w:type="default"/>
          <w:pgSz w:w="11906" w:h="16838"/>
          <w:pgMar w:top="1134" w:right="1134" w:bottom="1134" w:left="1134" w:header="851" w:footer="992" w:gutter="0"/>
          <w:cols w:space="425" w:num="1"/>
          <w:docGrid w:type="lines" w:linePitch="312" w:charSpace="0"/>
        </w:sectPr>
      </w:pPr>
    </w:p>
    <w:p>
      <w:pPr>
        <w:tabs>
          <w:tab w:val="left" w:pos="2520"/>
        </w:tabs>
        <w:spacing w:after="480" w:line="360" w:lineRule="auto"/>
        <w:jc w:val="center"/>
        <w:rPr>
          <w:b/>
          <w:bCs/>
          <w:color w:val="auto"/>
          <w:spacing w:val="40"/>
          <w:sz w:val="36"/>
          <w:szCs w:val="36"/>
          <w:highlight w:val="none"/>
        </w:rPr>
      </w:pPr>
      <w:r>
        <w:rPr>
          <w:rFonts w:hint="eastAsia" w:cs="宋体"/>
          <w:b/>
          <w:bCs/>
          <w:color w:val="auto"/>
          <w:spacing w:val="40"/>
          <w:sz w:val="36"/>
          <w:szCs w:val="36"/>
          <w:highlight w:val="none"/>
        </w:rPr>
        <w:t>技术咨询合同</w:t>
      </w:r>
    </w:p>
    <w:p>
      <w:pPr>
        <w:ind w:firstLine="560" w:firstLineChars="200"/>
        <w:rPr>
          <w:color w:val="auto"/>
          <w:sz w:val="28"/>
          <w:szCs w:val="28"/>
          <w:highlight w:val="none"/>
        </w:rPr>
      </w:pPr>
      <w:r>
        <w:rPr>
          <w:rFonts w:hint="eastAsia" w:cs="宋体"/>
          <w:color w:val="auto"/>
          <w:sz w:val="28"/>
          <w:szCs w:val="28"/>
          <w:highlight w:val="none"/>
        </w:rPr>
        <w:t>本合同甲方委托乙方进行</w:t>
      </w:r>
      <w:r>
        <w:rPr>
          <w:rFonts w:hint="eastAsia" w:cs="宋体"/>
          <w:color w:val="auto"/>
          <w:sz w:val="28"/>
          <w:szCs w:val="28"/>
          <w:highlight w:val="none"/>
          <w:u w:val="single"/>
        </w:rPr>
        <w:t xml:space="preserve">  多宝街丛桂、恩宁片区微改造项目（丛桂、恩宁社区）可行性研究报告及实施方案</w:t>
      </w:r>
      <w:r>
        <w:rPr>
          <w:rFonts w:hint="eastAsia" w:cs="宋体"/>
          <w:color w:val="auto"/>
          <w:sz w:val="28"/>
          <w:szCs w:val="28"/>
          <w:highlight w:val="none"/>
        </w:rPr>
        <w:t>编制工作，并支付咨询报酬。双方经过平等协商，在真实、充分地表达各自意愿的基础上，根据《中华人民共和国民法典》的规定，达成如下协议，并由双方共同恪守。</w:t>
      </w:r>
    </w:p>
    <w:p>
      <w:pPr>
        <w:spacing w:line="360" w:lineRule="auto"/>
        <w:ind w:firstLine="570"/>
        <w:rPr>
          <w:color w:val="auto"/>
          <w:sz w:val="28"/>
          <w:szCs w:val="28"/>
          <w:highlight w:val="none"/>
        </w:rPr>
      </w:pPr>
      <w:r>
        <w:rPr>
          <w:rFonts w:hint="eastAsia" w:cs="宋体"/>
          <w:b/>
          <w:bCs/>
          <w:color w:val="auto"/>
          <w:sz w:val="28"/>
          <w:szCs w:val="28"/>
          <w:highlight w:val="none"/>
        </w:rPr>
        <w:t>第一条</w:t>
      </w:r>
      <w:r>
        <w:rPr>
          <w:b/>
          <w:bCs/>
          <w:color w:val="auto"/>
          <w:sz w:val="28"/>
          <w:szCs w:val="28"/>
          <w:highlight w:val="none"/>
        </w:rPr>
        <w:t xml:space="preserve"> </w:t>
      </w:r>
      <w:r>
        <w:rPr>
          <w:rFonts w:hint="eastAsia" w:cs="宋体"/>
          <w:color w:val="auto"/>
          <w:sz w:val="28"/>
          <w:szCs w:val="28"/>
          <w:highlight w:val="none"/>
        </w:rPr>
        <w:t>乙方进行技术咨询的内容、要求和方式：</w:t>
      </w:r>
    </w:p>
    <w:p>
      <w:pPr>
        <w:widowControl/>
        <w:adjustRightInd w:val="0"/>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1.项目内容：</w:t>
      </w:r>
      <w:r>
        <w:rPr>
          <w:rFonts w:hint="eastAsia" w:ascii="宋体" w:hAnsi="宋体" w:eastAsia="宋体" w:cs="宋体"/>
          <w:color w:val="auto"/>
          <w:sz w:val="28"/>
          <w:szCs w:val="28"/>
          <w:highlight w:val="none"/>
          <w:u w:val="single"/>
        </w:rPr>
        <w:t xml:space="preserve"> 开展多宝街丛桂、恩宁片区微改造项目（丛桂、恩宁社区）可行性研究报告及实施方案编制工作。</w:t>
      </w:r>
    </w:p>
    <w:p>
      <w:pPr>
        <w:spacing w:line="360" w:lineRule="auto"/>
        <w:ind w:firstLine="560" w:firstLineChars="200"/>
        <w:jc w:val="left"/>
        <w:textAlignment w:val="top"/>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2.咨询对象及范围：</w:t>
      </w:r>
      <w:r>
        <w:rPr>
          <w:rFonts w:hint="eastAsia" w:ascii="宋体" w:hAnsi="宋体" w:eastAsia="宋体" w:cs="宋体"/>
          <w:color w:val="auto"/>
          <w:sz w:val="28"/>
          <w:szCs w:val="28"/>
          <w:highlight w:val="none"/>
          <w:u w:val="single"/>
        </w:rPr>
        <w:t xml:space="preserve"> 项目位于荔湾区，北至恩宁路，南至蓬莱西约、蓬莱东约、十二甫西街和和平西路，西至蓬莱路，东至大同路。包含了丛桂和恩宁两个社区。改造范围约7.6公顷，建筑面积约6.73万平方米。重点改造内容是建筑本体修缮，基础设施补短板，公共空间品质提升等内容，打造“老城区，新活力”的社区新貌。</w:t>
      </w:r>
    </w:p>
    <w:p>
      <w:pPr>
        <w:spacing w:line="360" w:lineRule="auto"/>
        <w:ind w:firstLine="42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3.咨询内容：</w:t>
      </w:r>
      <w:r>
        <w:rPr>
          <w:rFonts w:hint="eastAsia" w:ascii="宋体" w:hAnsi="宋体" w:eastAsia="宋体" w:cs="宋体"/>
          <w:color w:val="auto"/>
          <w:sz w:val="28"/>
          <w:szCs w:val="28"/>
          <w:highlight w:val="none"/>
          <w:u w:val="single"/>
        </w:rPr>
        <w:t>对多宝街丛桂、恩宁片区微改造项目（丛桂、恩宁社区）进行前期研究，并按照国家发改委有关项目可行性研究报告编制内容和深度及《广州市荔湾区老旧小区改造规划（2021-2025年）》要求，分别编制</w:t>
      </w:r>
      <w:r>
        <w:rPr>
          <w:rFonts w:hint="eastAsia" w:ascii="宋体" w:hAnsi="宋体" w:eastAsia="宋体" w:cs="宋体"/>
          <w:color w:val="auto"/>
          <w:sz w:val="28"/>
          <w:szCs w:val="28"/>
          <w:highlight w:val="none"/>
          <w:u w:val="single"/>
          <w:lang w:eastAsia="zh-CN"/>
        </w:rPr>
        <w:t>完成本项目符合</w:t>
      </w:r>
      <w:r>
        <w:rPr>
          <w:rFonts w:hint="eastAsia" w:ascii="宋体" w:hAnsi="宋体" w:eastAsia="宋体" w:cs="宋体"/>
          <w:color w:val="auto"/>
          <w:sz w:val="28"/>
          <w:szCs w:val="28"/>
          <w:highlight w:val="none"/>
          <w:u w:val="single"/>
        </w:rPr>
        <w:t>报批</w:t>
      </w:r>
      <w:r>
        <w:rPr>
          <w:rFonts w:hint="eastAsia" w:ascii="宋体" w:hAnsi="宋体" w:eastAsia="宋体" w:cs="宋体"/>
          <w:color w:val="auto"/>
          <w:sz w:val="28"/>
          <w:szCs w:val="28"/>
          <w:highlight w:val="none"/>
          <w:u w:val="single"/>
          <w:lang w:eastAsia="zh-CN"/>
        </w:rPr>
        <w:t>要求的</w:t>
      </w:r>
      <w:r>
        <w:rPr>
          <w:rFonts w:hint="eastAsia" w:ascii="宋体" w:hAnsi="宋体" w:eastAsia="宋体" w:cs="宋体"/>
          <w:color w:val="auto"/>
          <w:sz w:val="28"/>
          <w:szCs w:val="28"/>
          <w:highlight w:val="none"/>
          <w:u w:val="single"/>
        </w:rPr>
        <w:t>可行性研究报告及实施方案。</w:t>
      </w:r>
    </w:p>
    <w:p>
      <w:pPr>
        <w:pStyle w:val="2"/>
        <w:ind w:firstLine="560" w:firstLineChars="200"/>
        <w:rPr>
          <w:rFonts w:ascii="宋体" w:hAnsi="宋体" w:cs="宋体"/>
          <w:color w:val="auto"/>
          <w:sz w:val="28"/>
          <w:szCs w:val="28"/>
          <w:highlight w:val="none"/>
          <w:u w:val="single"/>
        </w:rPr>
      </w:pPr>
      <w:r>
        <w:rPr>
          <w:rFonts w:hint="eastAsia" w:ascii="宋体" w:hAnsi="宋体" w:eastAsia="宋体" w:cs="宋体"/>
          <w:color w:val="auto"/>
          <w:sz w:val="28"/>
          <w:szCs w:val="28"/>
          <w:highlight w:val="none"/>
          <w:u w:val="single"/>
        </w:rPr>
        <w:t>可行性研究报告包括为编制可行性研究报告而进行的所有调查、踏勘、资料收集、分析整理等工作；以及协助业主进行项目报批工作等。</w:t>
      </w:r>
      <w:r>
        <w:rPr>
          <w:rFonts w:hint="eastAsia" w:ascii="宋体" w:hAnsi="宋体" w:cs="宋体"/>
          <w:color w:val="auto"/>
          <w:sz w:val="28"/>
          <w:szCs w:val="28"/>
          <w:highlight w:val="none"/>
          <w:u w:val="single"/>
          <w:lang w:val="en-US" w:eastAsia="zh-CN"/>
        </w:rPr>
        <w:t>根据</w:t>
      </w:r>
      <w:r>
        <w:rPr>
          <w:rFonts w:hint="eastAsia" w:ascii="宋体" w:hAnsi="宋体" w:cs="宋体"/>
          <w:color w:val="auto"/>
          <w:sz w:val="28"/>
          <w:szCs w:val="28"/>
          <w:highlight w:val="none"/>
          <w:u w:val="single"/>
          <w:lang w:eastAsia="zh-CN"/>
        </w:rPr>
        <w:t>《</w:t>
      </w:r>
      <w:r>
        <w:rPr>
          <w:rFonts w:hint="eastAsia" w:ascii="宋体" w:hAnsi="宋体" w:cs="宋体"/>
          <w:color w:val="auto"/>
          <w:sz w:val="28"/>
          <w:szCs w:val="28"/>
          <w:highlight w:val="none"/>
          <w:u w:val="single"/>
          <w:lang w:val="en-US" w:eastAsia="zh-CN"/>
        </w:rPr>
        <w:t>广州市老旧小区为改造实施方案编制工作指引（试行）</w:t>
      </w:r>
      <w:r>
        <w:rPr>
          <w:rFonts w:hint="eastAsia" w:ascii="宋体" w:hAnsi="宋体" w:cs="宋体"/>
          <w:color w:val="auto"/>
          <w:sz w:val="28"/>
          <w:szCs w:val="28"/>
          <w:highlight w:val="none"/>
          <w:u w:val="single"/>
          <w:lang w:eastAsia="zh-CN"/>
        </w:rPr>
        <w:t>》</w:t>
      </w:r>
      <w:r>
        <w:rPr>
          <w:rFonts w:hint="eastAsia" w:ascii="宋体" w:hAnsi="宋体" w:cs="宋体"/>
          <w:color w:val="auto"/>
          <w:sz w:val="28"/>
          <w:szCs w:val="28"/>
          <w:highlight w:val="none"/>
          <w:u w:val="single"/>
          <w:lang w:val="en-US" w:eastAsia="zh-CN"/>
        </w:rPr>
        <w:t>要求，</w:t>
      </w:r>
      <w:r>
        <w:rPr>
          <w:rFonts w:hint="eastAsia" w:ascii="宋体" w:hAnsi="宋体" w:eastAsia="宋体" w:cs="宋体"/>
          <w:color w:val="auto"/>
          <w:sz w:val="28"/>
          <w:szCs w:val="28"/>
          <w:highlight w:val="none"/>
          <w:u w:val="single"/>
        </w:rPr>
        <w:t>老旧</w:t>
      </w:r>
      <w:r>
        <w:rPr>
          <w:rFonts w:hint="eastAsia" w:ascii="宋体" w:hAnsi="宋体" w:cs="宋体"/>
          <w:color w:val="auto"/>
          <w:sz w:val="28"/>
          <w:szCs w:val="28"/>
          <w:highlight w:val="none"/>
          <w:u w:val="single"/>
        </w:rPr>
        <w:t>小区实施方案编制改造内容包括（但不限于）基础类：楼道修缮、小区内道路、排水系统疏通、三线整治、绿化提升、照明、安防系统、消防设施、无障碍设施、公共空间提升等改造，以及根据实际方案需要，对提升类和完善类的建设项目进行改造。</w:t>
      </w:r>
    </w:p>
    <w:p>
      <w:pPr>
        <w:spacing w:line="360" w:lineRule="auto"/>
        <w:ind w:firstLine="560" w:firstLineChars="200"/>
        <w:rPr>
          <w:rFonts w:hint="eastAsia" w:ascii="宋体" w:hAnsi="宋体" w:eastAsia="宋体" w:cs="宋体"/>
          <w:color w:val="auto"/>
          <w:sz w:val="28"/>
          <w:szCs w:val="28"/>
          <w:highlight w:val="none"/>
          <w:u w:val="single"/>
          <w:lang w:eastAsia="zh-CN"/>
        </w:rPr>
      </w:pPr>
      <w:r>
        <w:rPr>
          <w:rFonts w:hint="eastAsia" w:ascii="宋体" w:hAnsi="宋体" w:eastAsia="宋体" w:cs="宋体"/>
          <w:color w:val="auto"/>
          <w:sz w:val="28"/>
          <w:szCs w:val="28"/>
          <w:highlight w:val="none"/>
        </w:rPr>
        <w:t>4.咨询要求：</w:t>
      </w:r>
      <w:r>
        <w:rPr>
          <w:rFonts w:hint="eastAsia" w:ascii="宋体" w:hAnsi="宋体" w:eastAsia="宋体" w:cs="宋体"/>
          <w:color w:val="auto"/>
          <w:sz w:val="28"/>
          <w:szCs w:val="28"/>
          <w:highlight w:val="none"/>
          <w:u w:val="single"/>
        </w:rPr>
        <w:t>按国家、地方颁布标准及现行的规范、规定、技术条款和主管部门要求及合同书中的要求，分别编制</w:t>
      </w:r>
      <w:r>
        <w:rPr>
          <w:rFonts w:hint="eastAsia" w:ascii="宋体" w:hAnsi="宋体" w:eastAsia="宋体" w:cs="宋体"/>
          <w:color w:val="auto"/>
          <w:sz w:val="28"/>
          <w:szCs w:val="28"/>
          <w:highlight w:val="none"/>
          <w:u w:val="single"/>
          <w:lang w:eastAsia="zh-CN"/>
        </w:rPr>
        <w:t>本项目</w:t>
      </w:r>
      <w:r>
        <w:rPr>
          <w:rFonts w:hint="eastAsia" w:ascii="宋体" w:hAnsi="宋体" w:eastAsia="宋体" w:cs="宋体"/>
          <w:color w:val="auto"/>
          <w:sz w:val="28"/>
          <w:szCs w:val="28"/>
          <w:highlight w:val="none"/>
          <w:u w:val="single"/>
        </w:rPr>
        <w:t>符合报批要求的可行性研究报告及实施方案，并包括为编制成果而进行的所有调查、踏勘、资料收集、现场勘察、建设方案等工作；以及协助业主进行项目报批工作等</w:t>
      </w:r>
      <w:r>
        <w:rPr>
          <w:rFonts w:hint="eastAsia" w:ascii="宋体" w:hAnsi="宋体" w:eastAsia="宋体" w:cs="宋体"/>
          <w:color w:val="auto"/>
          <w:sz w:val="28"/>
          <w:szCs w:val="28"/>
          <w:highlight w:val="none"/>
          <w:u w:val="single"/>
          <w:lang w:eastAsia="zh-CN"/>
        </w:rPr>
        <w:t>。</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5.咨询方式：</w:t>
      </w:r>
      <w:r>
        <w:rPr>
          <w:rFonts w:hint="eastAsia" w:ascii="宋体" w:hAnsi="宋体" w:eastAsia="宋体" w:cs="宋体"/>
          <w:color w:val="auto"/>
          <w:sz w:val="28"/>
          <w:szCs w:val="28"/>
          <w:highlight w:val="none"/>
          <w:u w:val="single"/>
        </w:rPr>
        <w:t>对项目进行全面技术经济分析，包括自然、社会、经济、技术等进行调研、分析比较以及预测建成后的社会经济效益。在此基础上，针对方案综合论证项目建设的必要性，经济上的合理性，技术上的先进性和适应性以及建设条件的可能性和可行性，从而为投资决策提供科学依据。</w:t>
      </w:r>
    </w:p>
    <w:p>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6.提</w:t>
      </w:r>
      <w:r>
        <w:rPr>
          <w:rFonts w:hint="eastAsia" w:cs="宋体"/>
          <w:color w:val="auto"/>
          <w:sz w:val="28"/>
          <w:szCs w:val="28"/>
          <w:highlight w:val="none"/>
        </w:rPr>
        <w:t>供协作：</w:t>
      </w:r>
      <w:r>
        <w:rPr>
          <w:rFonts w:hint="eastAsia" w:ascii="宋体" w:hAnsi="宋体" w:eastAsia="宋体" w:cs="宋体"/>
          <w:color w:val="auto"/>
          <w:sz w:val="28"/>
          <w:szCs w:val="28"/>
          <w:highlight w:val="none"/>
          <w:u w:val="single"/>
        </w:rPr>
        <w:t>乙方除向甲方提交本合同约定的可行性研究报告及实施方案外，尚应协助相关报批工作，及项目汇报、评审工作。</w:t>
      </w:r>
    </w:p>
    <w:p>
      <w:pPr>
        <w:spacing w:line="360" w:lineRule="auto"/>
        <w:ind w:firstLine="562" w:firstLineChars="200"/>
        <w:rPr>
          <w:rFonts w:hint="eastAsia" w:ascii="宋体" w:hAnsi="宋体" w:eastAsia="宋体" w:cs="宋体"/>
          <w:color w:val="auto"/>
          <w:sz w:val="28"/>
          <w:szCs w:val="28"/>
          <w:highlight w:val="none"/>
          <w:u w:val="single"/>
          <w:lang w:eastAsia="zh-CN"/>
        </w:rPr>
      </w:pPr>
      <w:r>
        <w:rPr>
          <w:rFonts w:hint="eastAsia" w:cs="宋体"/>
          <w:b/>
          <w:bCs/>
          <w:color w:val="auto"/>
          <w:sz w:val="28"/>
          <w:szCs w:val="28"/>
          <w:highlight w:val="none"/>
        </w:rPr>
        <w:t>第二条</w:t>
      </w:r>
      <w:r>
        <w:rPr>
          <w:color w:val="auto"/>
          <w:sz w:val="28"/>
          <w:szCs w:val="28"/>
          <w:highlight w:val="none"/>
        </w:rPr>
        <w:t xml:space="preserve">  </w:t>
      </w:r>
      <w:r>
        <w:rPr>
          <w:rFonts w:hint="eastAsia" w:cs="宋体"/>
          <w:color w:val="auto"/>
          <w:sz w:val="28"/>
          <w:szCs w:val="28"/>
          <w:highlight w:val="none"/>
        </w:rPr>
        <w:t>乙方应当按照下列进度要求进行本合同项目的技术咨询工作：</w:t>
      </w:r>
      <w:r>
        <w:rPr>
          <w:rFonts w:hint="eastAsia" w:ascii="宋体" w:hAnsi="宋体" w:eastAsia="宋体" w:cs="宋体"/>
          <w:color w:val="auto"/>
          <w:sz w:val="28"/>
          <w:szCs w:val="28"/>
          <w:highlight w:val="none"/>
          <w:u w:val="single"/>
        </w:rPr>
        <w:t>按甲方要求时间、份数提交专家评审及报批所需的可行性报告、报告修改稿，最终经专家评审后修改、通过有关部门审批，并由甲方确认的成果文件（6份），并附电子文档。</w:t>
      </w:r>
      <w:r>
        <w:rPr>
          <w:rFonts w:hint="eastAsia" w:ascii="宋体" w:hAnsi="宋体" w:eastAsia="宋体" w:cs="宋体"/>
          <w:color w:val="auto"/>
          <w:sz w:val="28"/>
          <w:szCs w:val="28"/>
          <w:highlight w:val="none"/>
          <w:u w:val="single"/>
          <w:lang w:eastAsia="zh-CN"/>
        </w:rPr>
        <w:t>按甲方要求时间、份数提交项目的实施方案并通过相关部门审批。</w:t>
      </w:r>
    </w:p>
    <w:p>
      <w:pPr>
        <w:pStyle w:val="2"/>
        <w:rPr>
          <w:color w:val="auto"/>
          <w:highlight w:val="none"/>
        </w:rPr>
      </w:pPr>
    </w:p>
    <w:p>
      <w:pPr>
        <w:spacing w:line="360" w:lineRule="auto"/>
        <w:ind w:firstLine="570"/>
        <w:rPr>
          <w:color w:val="auto"/>
          <w:sz w:val="28"/>
          <w:szCs w:val="28"/>
          <w:highlight w:val="none"/>
        </w:rPr>
      </w:pPr>
      <w:r>
        <w:rPr>
          <w:rFonts w:hint="eastAsia" w:cs="宋体"/>
          <w:b/>
          <w:bCs/>
          <w:color w:val="auto"/>
          <w:sz w:val="28"/>
          <w:szCs w:val="28"/>
          <w:highlight w:val="none"/>
        </w:rPr>
        <w:t>第三条</w:t>
      </w:r>
      <w:r>
        <w:rPr>
          <w:color w:val="auto"/>
          <w:sz w:val="28"/>
          <w:szCs w:val="28"/>
          <w:highlight w:val="none"/>
        </w:rPr>
        <w:t xml:space="preserve"> </w:t>
      </w:r>
      <w:r>
        <w:rPr>
          <w:rFonts w:hint="eastAsia" w:cs="宋体"/>
          <w:color w:val="auto"/>
          <w:sz w:val="28"/>
          <w:szCs w:val="28"/>
          <w:highlight w:val="none"/>
        </w:rPr>
        <w:t>为保证乙方有效进行技术咨询工作，甲方应当向乙方提供下列协作事项：</w:t>
      </w:r>
    </w:p>
    <w:p>
      <w:pPr>
        <w:spacing w:line="360" w:lineRule="auto"/>
        <w:ind w:firstLine="560" w:firstLineChars="200"/>
        <w:rPr>
          <w:color w:val="auto"/>
          <w:sz w:val="28"/>
          <w:szCs w:val="28"/>
          <w:highlight w:val="none"/>
        </w:rPr>
      </w:pPr>
      <w:r>
        <w:rPr>
          <w:color w:val="auto"/>
          <w:sz w:val="28"/>
          <w:szCs w:val="28"/>
          <w:highlight w:val="none"/>
        </w:rPr>
        <w:t xml:space="preserve">1. </w:t>
      </w:r>
      <w:r>
        <w:rPr>
          <w:rFonts w:hint="eastAsia" w:cs="宋体"/>
          <w:color w:val="auto"/>
          <w:sz w:val="28"/>
          <w:szCs w:val="28"/>
          <w:highlight w:val="none"/>
        </w:rPr>
        <w:t>提供技术资料：</w:t>
      </w:r>
    </w:p>
    <w:p>
      <w:pPr>
        <w:spacing w:line="360" w:lineRule="auto"/>
        <w:ind w:firstLine="560" w:firstLineChars="200"/>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⑴  本项目有关技术基础资料；</w:t>
      </w:r>
    </w:p>
    <w:p>
      <w:pPr>
        <w:spacing w:line="360" w:lineRule="auto"/>
        <w:ind w:firstLine="57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⑵  本项目成交通知书。</w:t>
      </w:r>
    </w:p>
    <w:p>
      <w:pPr>
        <w:spacing w:line="360" w:lineRule="auto"/>
        <w:ind w:firstLine="570"/>
        <w:rPr>
          <w:rFonts w:cs="宋体"/>
          <w:color w:val="auto"/>
          <w:sz w:val="28"/>
          <w:szCs w:val="28"/>
          <w:highlight w:val="none"/>
        </w:rPr>
      </w:pPr>
      <w:r>
        <w:rPr>
          <w:rFonts w:hint="eastAsia" w:cs="宋体"/>
          <w:color w:val="auto"/>
          <w:sz w:val="28"/>
          <w:szCs w:val="28"/>
          <w:highlight w:val="none"/>
        </w:rPr>
        <w:t>甲方提供上述协作事项的时间及方式：甲方在签订本合同后提供上述技术资料。</w:t>
      </w:r>
      <w:r>
        <w:rPr>
          <w:rFonts w:hint="eastAsia" w:ascii="宋体" w:hAnsi="宋体" w:eastAsia="宋体" w:cs="宋体"/>
          <w:color w:val="auto"/>
          <w:sz w:val="28"/>
          <w:szCs w:val="28"/>
          <w:highlight w:val="none"/>
        </w:rPr>
        <w:t>若在甲方提供资料后3个工作日内，乙</w:t>
      </w:r>
      <w:r>
        <w:rPr>
          <w:rFonts w:hint="eastAsia" w:cs="宋体"/>
          <w:color w:val="auto"/>
          <w:sz w:val="28"/>
          <w:szCs w:val="28"/>
          <w:highlight w:val="none"/>
        </w:rPr>
        <w:t>方未提出书面异议，视为甲方提交的资料完整而准确，乙方不得事后以甲方提供资料不完整或不准确为由主张交付时间顺延。</w:t>
      </w:r>
    </w:p>
    <w:p>
      <w:pPr>
        <w:spacing w:line="360" w:lineRule="auto"/>
        <w:ind w:firstLine="570"/>
        <w:rPr>
          <w:color w:val="auto"/>
          <w:sz w:val="28"/>
          <w:szCs w:val="28"/>
          <w:highlight w:val="none"/>
        </w:rPr>
      </w:pPr>
      <w:r>
        <w:rPr>
          <w:rFonts w:hint="eastAsia" w:cs="宋体"/>
          <w:b/>
          <w:bCs/>
          <w:color w:val="auto"/>
          <w:sz w:val="28"/>
          <w:szCs w:val="28"/>
          <w:highlight w:val="none"/>
        </w:rPr>
        <w:t>第四条</w:t>
      </w:r>
      <w:r>
        <w:rPr>
          <w:color w:val="auto"/>
          <w:sz w:val="28"/>
          <w:szCs w:val="28"/>
          <w:highlight w:val="none"/>
        </w:rPr>
        <w:t xml:space="preserve"> </w:t>
      </w:r>
      <w:r>
        <w:rPr>
          <w:rFonts w:hint="eastAsia" w:cs="宋体"/>
          <w:color w:val="auto"/>
          <w:sz w:val="28"/>
          <w:szCs w:val="28"/>
          <w:highlight w:val="none"/>
        </w:rPr>
        <w:t>甲方向乙方支付技术咨询报酬及支付方式为：</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1.本项目工作技术咨询费合同价暂定为：人民币</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），其中，可行性研究报告编制</w:t>
      </w:r>
      <w:r>
        <w:rPr>
          <w:rFonts w:hint="eastAsia" w:ascii="宋体" w:hAnsi="宋体" w:eastAsia="宋体" w:cs="宋体"/>
          <w:color w:val="auto"/>
          <w:sz w:val="28"/>
          <w:szCs w:val="28"/>
          <w:highlight w:val="none"/>
          <w:lang w:val="en-US" w:eastAsia="zh-CN"/>
        </w:rPr>
        <w:t>暂定</w:t>
      </w:r>
      <w:r>
        <w:rPr>
          <w:rFonts w:hint="eastAsia" w:ascii="宋体" w:hAnsi="宋体" w:eastAsia="宋体" w:cs="宋体"/>
          <w:color w:val="auto"/>
          <w:sz w:val="28"/>
          <w:szCs w:val="28"/>
          <w:highlight w:val="none"/>
        </w:rPr>
        <w:t>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lang w:eastAsia="zh-CN"/>
        </w:rPr>
        <w:t>元（</w:t>
      </w:r>
      <w:r>
        <w:rPr>
          <w:rFonts w:hint="eastAsia" w:ascii="宋体" w:hAnsi="宋体" w:eastAsia="宋体" w:cs="宋体"/>
          <w:color w:val="auto"/>
          <w:sz w:val="28"/>
          <w:szCs w:val="28"/>
          <w:highlight w:val="none"/>
          <w:lang w:val="en-US" w:eastAsia="zh-CN"/>
        </w:rPr>
        <w:t xml:space="preserve">大写：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，实施方案编制为：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 xml:space="preserve">大写：    </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w:t>
      </w:r>
    </w:p>
    <w:p>
      <w:pPr>
        <w:pStyle w:val="2"/>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2.收费依据</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（1）可行性研究报告编制</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暂按</w:t>
      </w:r>
      <w:r>
        <w:rPr>
          <w:rFonts w:hint="eastAsia" w:ascii="宋体" w:hAnsi="宋体" w:eastAsia="宋体" w:cs="宋体"/>
          <w:color w:val="auto"/>
          <w:sz w:val="28"/>
          <w:szCs w:val="28"/>
          <w:highlight w:val="none"/>
          <w:lang w:eastAsia="zh-CN"/>
        </w:rPr>
        <w:t>估算总投资3500万元</w:t>
      </w:r>
      <w:r>
        <w:rPr>
          <w:rFonts w:hint="eastAsia" w:ascii="宋体" w:hAnsi="宋体" w:eastAsia="宋体" w:cs="宋体"/>
          <w:color w:val="auto"/>
          <w:sz w:val="28"/>
          <w:szCs w:val="28"/>
          <w:highlight w:val="none"/>
        </w:rPr>
        <w:t>计算，最终按有关部门审批通过的可行性研究的总投资作为计费基数核算咨询服务费，若结算价超过合同价则按合同价包干。费用计算详见如下：</w:t>
      </w:r>
    </w:p>
    <w:p>
      <w:pPr>
        <w:pStyle w:val="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收费执行《国家计委关于印发建设项目前期工作咨询收费暂行规定的通知》（计价格[1999]1283号），行业调整系数为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0.8</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，工程复杂程度调整系数</w:t>
      </w:r>
      <w:r>
        <w:rPr>
          <w:rFonts w:hint="eastAsia" w:ascii="宋体" w:hAnsi="宋体" w:cs="宋体"/>
          <w:color w:val="auto"/>
          <w:sz w:val="28"/>
          <w:szCs w:val="28"/>
          <w:highlight w:val="none"/>
          <w:lang w:val="en-US" w:eastAsia="zh-CN"/>
        </w:rPr>
        <w:t>为</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single"/>
          <w:lang w:val="en-US" w:eastAsia="zh-CN"/>
        </w:rPr>
        <w:t>0.9</w:t>
      </w:r>
      <w:r>
        <w:rPr>
          <w:rFonts w:hint="eastAsia" w:ascii="宋体" w:hAnsi="宋体" w:eastAsia="宋体" w:cs="宋体"/>
          <w:color w:val="auto"/>
          <w:sz w:val="28"/>
          <w:szCs w:val="28"/>
          <w:highlight w:val="none"/>
          <w:u w:val="single"/>
        </w:rPr>
        <w:t xml:space="preserve"> </w:t>
      </w:r>
      <w:r>
        <w:rPr>
          <w:rFonts w:hint="eastAsia" w:ascii="宋体" w:hAnsi="宋体" w:cs="宋体"/>
          <w:color w:val="auto"/>
          <w:sz w:val="28"/>
          <w:szCs w:val="28"/>
          <w:highlight w:val="none"/>
          <w:u w:val="none"/>
          <w:lang w:eastAsia="zh-CN"/>
        </w:rPr>
        <w:t>，</w:t>
      </w:r>
      <w:r>
        <w:rPr>
          <w:rFonts w:hint="eastAsia" w:ascii="宋体" w:hAnsi="宋体" w:cs="宋体"/>
          <w:color w:val="auto"/>
          <w:sz w:val="28"/>
          <w:szCs w:val="28"/>
          <w:highlight w:val="none"/>
          <w:u w:val="none"/>
          <w:lang w:val="en-US" w:eastAsia="zh-CN"/>
        </w:rPr>
        <w:t>下浮率</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。计算如下：</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本</w:t>
      </w:r>
      <w:r>
        <w:rPr>
          <w:rFonts w:hint="eastAsia" w:ascii="宋体" w:hAnsi="宋体" w:eastAsia="宋体" w:cs="宋体"/>
          <w:color w:val="auto"/>
          <w:sz w:val="28"/>
          <w:szCs w:val="28"/>
          <w:highlight w:val="none"/>
        </w:rPr>
        <w:t>项目咨询费=可行性研究报告编制费×（1-下浮率）。可行性研究报告编制工作全部完成后，根据批复（或经专家评审）的项目估算总投资作为计费基数，计算可行性研究报告编制总费用后，按上述公式进行结算，下浮率不变。</w:t>
      </w: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（2）实施方案编制</w:t>
      </w:r>
    </w:p>
    <w:p>
      <w:pPr>
        <w:pStyle w:val="2"/>
        <w:rPr>
          <w:rFonts w:hint="eastAsia" w:ascii="宋体" w:hAnsi="宋体" w:eastAsia="宋体" w:cs="宋体"/>
          <w:color w:val="auto"/>
          <w:sz w:val="28"/>
          <w:szCs w:val="28"/>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本</w:t>
      </w:r>
      <w:r>
        <w:rPr>
          <w:rFonts w:hint="eastAsia" w:ascii="宋体" w:hAnsi="宋体" w:eastAsia="宋体" w:cs="宋体"/>
          <w:color w:val="auto"/>
          <w:sz w:val="28"/>
          <w:szCs w:val="28"/>
          <w:highlight w:val="none"/>
        </w:rPr>
        <w:t>项目</w:t>
      </w:r>
      <w:r>
        <w:rPr>
          <w:rFonts w:hint="eastAsia" w:ascii="宋体" w:hAnsi="宋体" w:cs="宋体"/>
          <w:color w:val="auto"/>
          <w:sz w:val="28"/>
          <w:szCs w:val="28"/>
          <w:highlight w:val="none"/>
          <w:lang w:val="en-US" w:eastAsia="zh-CN"/>
        </w:rPr>
        <w:t>实施</w:t>
      </w:r>
      <w:r>
        <w:rPr>
          <w:rFonts w:hint="eastAsia" w:ascii="宋体" w:hAnsi="宋体" w:cs="宋体"/>
          <w:color w:val="auto"/>
          <w:sz w:val="28"/>
          <w:szCs w:val="28"/>
          <w:highlight w:val="none"/>
          <w:lang w:eastAsia="zh-CN"/>
        </w:rPr>
        <w:t>方案编制</w:t>
      </w:r>
      <w:r>
        <w:rPr>
          <w:rFonts w:hint="eastAsia" w:ascii="宋体" w:hAnsi="宋体" w:eastAsia="宋体" w:cs="宋体"/>
          <w:color w:val="auto"/>
          <w:sz w:val="28"/>
          <w:szCs w:val="28"/>
          <w:highlight w:val="none"/>
        </w:rPr>
        <w:t>费</w:t>
      </w:r>
      <w:r>
        <w:rPr>
          <w:rFonts w:hint="eastAsia" w:ascii="宋体" w:hAnsi="宋体" w:cs="宋体"/>
          <w:color w:val="auto"/>
          <w:sz w:val="28"/>
          <w:szCs w:val="28"/>
          <w:highlight w:val="none"/>
          <w:lang w:val="en-US" w:eastAsia="zh-CN"/>
        </w:rPr>
        <w:t>为</w:t>
      </w:r>
      <w:r>
        <w:rPr>
          <w:rFonts w:hint="eastAsia" w:ascii="宋体" w:hAnsi="宋体" w:cs="宋体"/>
          <w:color w:val="auto"/>
          <w:sz w:val="28"/>
          <w:szCs w:val="28"/>
          <w:highlight w:val="none"/>
          <w:lang w:eastAsia="zh-CN"/>
        </w:rPr>
        <w:t>包干</w:t>
      </w:r>
      <w:r>
        <w:rPr>
          <w:rFonts w:hint="eastAsia" w:ascii="宋体" w:hAnsi="宋体" w:cs="宋体"/>
          <w:color w:val="auto"/>
          <w:sz w:val="28"/>
          <w:szCs w:val="28"/>
          <w:highlight w:val="none"/>
          <w:lang w:val="en-US" w:eastAsia="zh-CN"/>
        </w:rPr>
        <w:t>价</w:t>
      </w:r>
      <w:r>
        <w:rPr>
          <w:rFonts w:hint="eastAsia" w:ascii="宋体" w:hAnsi="宋体" w:eastAsia="宋体" w:cs="宋体"/>
          <w:color w:val="auto"/>
          <w:sz w:val="28"/>
          <w:szCs w:val="28"/>
          <w:highlight w:val="none"/>
        </w:rPr>
        <w:t>。</w:t>
      </w:r>
    </w:p>
    <w:p>
      <w:pPr>
        <w:spacing w:line="360" w:lineRule="auto"/>
        <w:ind w:firstLine="57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本合同价已包括完成该可行性研究报告及实施方案的成本、利润、税金、赶工费、图纸资料</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文印费、</w:t>
      </w:r>
      <w:r>
        <w:rPr>
          <w:rFonts w:hint="eastAsia" w:ascii="宋体" w:hAnsi="宋体" w:eastAsia="宋体" w:cs="宋体"/>
          <w:color w:val="auto"/>
          <w:sz w:val="28"/>
          <w:szCs w:val="28"/>
          <w:highlight w:val="none"/>
          <w:lang w:val="en-US" w:eastAsia="zh-CN"/>
        </w:rPr>
        <w:t>展板、各种</w:t>
      </w:r>
      <w:r>
        <w:rPr>
          <w:rFonts w:hint="eastAsia" w:ascii="宋体" w:hAnsi="宋体" w:eastAsia="宋体" w:cs="宋体"/>
          <w:color w:val="auto"/>
          <w:sz w:val="28"/>
          <w:szCs w:val="28"/>
          <w:highlight w:val="none"/>
        </w:rPr>
        <w:t>评审时发生的会务费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包含资料费</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、评审专家费、</w:t>
      </w:r>
      <w:r>
        <w:rPr>
          <w:rFonts w:hint="eastAsia" w:ascii="宋体" w:hAnsi="宋体" w:eastAsia="宋体" w:cs="宋体"/>
          <w:color w:val="auto"/>
          <w:sz w:val="28"/>
          <w:szCs w:val="28"/>
          <w:highlight w:val="none"/>
          <w:lang w:val="en-US" w:eastAsia="zh-CN"/>
        </w:rPr>
        <w:t>根据专家意见修改</w:t>
      </w:r>
      <w:r>
        <w:rPr>
          <w:rFonts w:hint="eastAsia" w:ascii="宋体" w:hAnsi="宋体" w:eastAsia="宋体" w:cs="宋体"/>
          <w:color w:val="auto"/>
          <w:sz w:val="28"/>
          <w:szCs w:val="28"/>
          <w:highlight w:val="none"/>
        </w:rPr>
        <w:t>及调整等费用。</w:t>
      </w:r>
    </w:p>
    <w:p>
      <w:pPr>
        <w:pStyle w:val="2"/>
        <w:rPr>
          <w:rFonts w:hint="eastAsia" w:ascii="宋体" w:hAnsi="宋体" w:eastAsia="宋体" w:cs="宋体"/>
          <w:color w:val="auto"/>
          <w:highlight w:val="none"/>
        </w:rPr>
      </w:pPr>
    </w:p>
    <w:p>
      <w:pPr>
        <w:spacing w:line="360" w:lineRule="auto"/>
        <w:ind w:firstLine="57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 技术咨询服务支付</w:t>
      </w:r>
    </w:p>
    <w:p>
      <w:pPr>
        <w:pStyle w:val="2"/>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8"/>
          <w:szCs w:val="28"/>
          <w:highlight w:val="none"/>
        </w:rPr>
        <w:t>（1）可行性研究报告</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①合同生效后，根据项目实际情况累计可支付至合同金额（可行性研究部分）的20%；</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②乙方向甲方提交成果报告，根据项目实际情况累计可支付至合同金额（可行性研究部分）的50%；</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③成果报告经专家评审后，根据项目实际情况累计可支付至合同金额（可行性研究部分）的70%；</w:t>
      </w:r>
    </w:p>
    <w:p>
      <w:pPr>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④乙方完成根据专家评审意见修改、通过有关部门审批，经甲方确认的成果，并提交结算资料及尾款资金申请资料，经审核后一次性付清余额。</w:t>
      </w:r>
    </w:p>
    <w:p>
      <w:pPr>
        <w:pStyle w:val="2"/>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 xml:space="preserve">    （2）实施方案</w:t>
      </w:r>
    </w:p>
    <w:p>
      <w:pPr>
        <w:pStyle w:val="2"/>
        <w:ind w:firstLine="5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①合同生效后，根据项目实际情况累计可支付至合同金额（实施方案部分）的20%；</w:t>
      </w:r>
    </w:p>
    <w:p>
      <w:pPr>
        <w:pStyle w:val="2"/>
        <w:ind w:firstLine="56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②实施方案成果经专家评审后，累计支付至合同金额（实施方案部分）的50%</w:t>
      </w:r>
    </w:p>
    <w:p>
      <w:pPr>
        <w:ind w:firstLine="560" w:firstLineChars="200"/>
        <w:jc w:val="left"/>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rPr>
        <w:t>③实施方案经公示</w:t>
      </w:r>
      <w:r>
        <w:rPr>
          <w:rFonts w:hint="eastAsia" w:ascii="宋体" w:hAnsi="宋体" w:cs="宋体"/>
          <w:color w:val="auto"/>
          <w:sz w:val="28"/>
          <w:szCs w:val="28"/>
          <w:highlight w:val="none"/>
          <w:u w:val="single"/>
          <w:lang w:val="en-US" w:eastAsia="zh-CN"/>
        </w:rPr>
        <w:t>无意见并经</w:t>
      </w:r>
      <w:r>
        <w:rPr>
          <w:rFonts w:hint="eastAsia" w:ascii="宋体" w:hAnsi="宋体" w:eastAsia="宋体" w:cs="宋体"/>
          <w:color w:val="auto"/>
          <w:sz w:val="28"/>
          <w:szCs w:val="28"/>
          <w:highlight w:val="none"/>
          <w:u w:val="single"/>
        </w:rPr>
        <w:t>区政府审议通过，经甲方确认的成果，并提交结算资料及尾款资金申请资料，经审核后一次性付清余额。</w:t>
      </w:r>
    </w:p>
    <w:p>
      <w:pPr>
        <w:ind w:firstLine="560" w:firstLineChars="200"/>
        <w:jc w:val="left"/>
        <w:rPr>
          <w:rFonts w:ascii="宋体" w:hAnsi="宋体" w:eastAsia="宋体" w:cs="宋体"/>
          <w:color w:val="auto"/>
          <w:sz w:val="28"/>
          <w:szCs w:val="28"/>
          <w:highlight w:val="none"/>
          <w:u w:val="single"/>
        </w:rPr>
      </w:pPr>
      <w:bookmarkStart w:id="1" w:name="_Hlk38632925"/>
      <w:r>
        <w:rPr>
          <w:rFonts w:hint="eastAsia" w:ascii="宋体" w:hAnsi="宋体" w:eastAsia="宋体" w:cs="宋体"/>
          <w:color w:val="auto"/>
          <w:sz w:val="28"/>
          <w:szCs w:val="28"/>
          <w:highlight w:val="none"/>
          <w:u w:val="single"/>
        </w:rPr>
        <w:t>上述条款中的付款时间，</w:t>
      </w:r>
      <w:r>
        <w:rPr>
          <w:rFonts w:hint="eastAsia" w:ascii="宋体" w:hAnsi="宋体" w:eastAsia="宋体" w:cs="宋体"/>
          <w:b/>
          <w:bCs/>
          <w:color w:val="auto"/>
          <w:sz w:val="28"/>
          <w:szCs w:val="28"/>
          <w:highlight w:val="none"/>
          <w:u w:val="single"/>
        </w:rPr>
        <w:t>均是指甲方为向财政申请支付而办理申请手续的时间，而非指实际付款时间，具体付款时间以财政拨款时间为准，若因财政审批或财政支付程序原因导致支付迟延的，不属甲方违约。乙方对此无异议。</w:t>
      </w:r>
      <w:bookmarkEnd w:id="1"/>
    </w:p>
    <w:p>
      <w:pPr>
        <w:spacing w:line="360" w:lineRule="auto"/>
        <w:ind w:firstLine="573"/>
        <w:rPr>
          <w:color w:val="auto"/>
          <w:sz w:val="28"/>
          <w:szCs w:val="28"/>
          <w:highlight w:val="none"/>
        </w:rPr>
      </w:pPr>
      <w:r>
        <w:rPr>
          <w:rFonts w:hint="eastAsia" w:cs="宋体"/>
          <w:color w:val="auto"/>
          <w:sz w:val="28"/>
          <w:szCs w:val="28"/>
          <w:highlight w:val="none"/>
        </w:rPr>
        <w:t>乙方开户银行名称、地址和帐号为：</w:t>
      </w:r>
    </w:p>
    <w:p>
      <w:pPr>
        <w:spacing w:line="360" w:lineRule="auto"/>
        <w:ind w:firstLine="560" w:firstLineChars="200"/>
        <w:rPr>
          <w:rFonts w:eastAsia="楷体_GB2312" w:cs="楷体_GB2312"/>
          <w:color w:val="auto"/>
          <w:sz w:val="28"/>
          <w:szCs w:val="28"/>
          <w:highlight w:val="none"/>
          <w:u w:val="single"/>
        </w:rPr>
      </w:pPr>
      <w:r>
        <w:rPr>
          <w:rFonts w:hint="eastAsia" w:cs="宋体"/>
          <w:color w:val="auto"/>
          <w:sz w:val="28"/>
          <w:szCs w:val="28"/>
          <w:highlight w:val="none"/>
        </w:rPr>
        <w:t>户名：</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p>
    <w:p>
      <w:pPr>
        <w:spacing w:line="360" w:lineRule="auto"/>
        <w:ind w:firstLine="560" w:firstLineChars="200"/>
        <w:rPr>
          <w:color w:val="auto"/>
          <w:sz w:val="28"/>
          <w:szCs w:val="28"/>
          <w:highlight w:val="none"/>
        </w:rPr>
      </w:pPr>
      <w:r>
        <w:rPr>
          <w:rFonts w:hint="eastAsia" w:cs="宋体"/>
          <w:color w:val="auto"/>
          <w:sz w:val="28"/>
          <w:szCs w:val="28"/>
          <w:highlight w:val="none"/>
        </w:rPr>
        <w:t>开户银行：</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p>
    <w:p>
      <w:pPr>
        <w:spacing w:line="360" w:lineRule="auto"/>
        <w:ind w:firstLine="560" w:firstLineChars="200"/>
        <w:rPr>
          <w:rFonts w:eastAsia="楷体_GB2312" w:cs="楷体_GB2312"/>
          <w:color w:val="auto"/>
          <w:sz w:val="28"/>
          <w:szCs w:val="28"/>
          <w:highlight w:val="none"/>
          <w:u w:val="single"/>
        </w:rPr>
      </w:pPr>
      <w:r>
        <w:rPr>
          <w:rFonts w:hint="eastAsia" w:cs="宋体"/>
          <w:color w:val="auto"/>
          <w:sz w:val="28"/>
          <w:szCs w:val="28"/>
          <w:highlight w:val="none"/>
        </w:rPr>
        <w:t>帐号：</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r>
        <w:rPr>
          <w:rFonts w:eastAsia="楷体_GB2312" w:cs="楷体_GB2312"/>
          <w:color w:val="auto"/>
          <w:sz w:val="28"/>
          <w:szCs w:val="28"/>
          <w:highlight w:val="none"/>
          <w:u w:val="single"/>
        </w:rPr>
        <w:t xml:space="preserve">  </w:t>
      </w:r>
      <w:r>
        <w:rPr>
          <w:rFonts w:hint="eastAsia" w:eastAsia="楷体_GB2312" w:cs="楷体_GB2312"/>
          <w:color w:val="auto"/>
          <w:sz w:val="28"/>
          <w:szCs w:val="28"/>
          <w:highlight w:val="none"/>
          <w:u w:val="single"/>
        </w:rPr>
        <w:t xml:space="preserve">  </w:t>
      </w:r>
    </w:p>
    <w:p>
      <w:pPr>
        <w:spacing w:line="360" w:lineRule="auto"/>
        <w:ind w:firstLine="560" w:firstLineChars="200"/>
        <w:rPr>
          <w:color w:val="auto"/>
          <w:sz w:val="28"/>
          <w:szCs w:val="28"/>
          <w:highlight w:val="none"/>
        </w:rPr>
      </w:pPr>
      <w:r>
        <w:rPr>
          <w:rFonts w:hint="eastAsia" w:cs="宋体"/>
          <w:color w:val="auto"/>
          <w:sz w:val="28"/>
          <w:szCs w:val="28"/>
          <w:highlight w:val="none"/>
        </w:rPr>
        <w:t>地址：</w:t>
      </w:r>
      <w:r>
        <w:rPr>
          <w:rFonts w:hint="eastAsia" w:eastAsia="楷体_GB2312" w:cs="楷体_GB2312"/>
          <w:color w:val="auto"/>
          <w:sz w:val="28"/>
          <w:szCs w:val="28"/>
          <w:highlight w:val="none"/>
          <w:u w:val="single"/>
        </w:rPr>
        <w:t xml:space="preserve">                    </w:t>
      </w:r>
    </w:p>
    <w:p>
      <w:pPr>
        <w:spacing w:line="360" w:lineRule="auto"/>
        <w:ind w:firstLine="562" w:firstLineChars="200"/>
        <w:rPr>
          <w:color w:val="auto"/>
          <w:sz w:val="28"/>
          <w:szCs w:val="28"/>
          <w:highlight w:val="none"/>
        </w:rPr>
      </w:pPr>
      <w:r>
        <w:rPr>
          <w:rFonts w:hint="eastAsia" w:cs="宋体"/>
          <w:b/>
          <w:bCs/>
          <w:color w:val="auto"/>
          <w:sz w:val="28"/>
          <w:szCs w:val="28"/>
          <w:highlight w:val="none"/>
        </w:rPr>
        <w:t>第五条</w:t>
      </w:r>
      <w:r>
        <w:rPr>
          <w:color w:val="auto"/>
          <w:sz w:val="28"/>
          <w:szCs w:val="28"/>
          <w:highlight w:val="none"/>
        </w:rPr>
        <w:t xml:space="preserve"> </w:t>
      </w:r>
      <w:r>
        <w:rPr>
          <w:rFonts w:hint="eastAsia" w:cs="宋体"/>
          <w:color w:val="auto"/>
          <w:sz w:val="28"/>
          <w:szCs w:val="28"/>
          <w:highlight w:val="none"/>
        </w:rPr>
        <w:t>双方确定因履行本合同应遵守的保密义务如下：</w:t>
      </w:r>
    </w:p>
    <w:p>
      <w:pPr>
        <w:ind w:firstLine="570"/>
        <w:rPr>
          <w:color w:val="auto"/>
          <w:highlight w:val="none"/>
        </w:rPr>
      </w:pPr>
      <w:r>
        <w:rPr>
          <w:rFonts w:hint="eastAsia" w:cs="宋体"/>
          <w:color w:val="auto"/>
          <w:sz w:val="28"/>
          <w:szCs w:val="28"/>
          <w:highlight w:val="none"/>
        </w:rPr>
        <w:t>甲、乙双方均对对方提供的技术情报和资料承担保密义务，甲方对乙方提供的技术情报和资料享有使用权。</w:t>
      </w:r>
    </w:p>
    <w:p>
      <w:pPr>
        <w:spacing w:line="360" w:lineRule="auto"/>
        <w:ind w:firstLine="573"/>
        <w:rPr>
          <w:color w:val="auto"/>
          <w:sz w:val="28"/>
          <w:szCs w:val="28"/>
          <w:highlight w:val="none"/>
        </w:rPr>
      </w:pPr>
      <w:r>
        <w:rPr>
          <w:rFonts w:hint="eastAsia" w:cs="宋体"/>
          <w:b/>
          <w:bCs/>
          <w:color w:val="auto"/>
          <w:sz w:val="28"/>
          <w:szCs w:val="28"/>
          <w:highlight w:val="none"/>
        </w:rPr>
        <w:t>第六条</w:t>
      </w:r>
      <w:r>
        <w:rPr>
          <w:color w:val="auto"/>
          <w:sz w:val="28"/>
          <w:szCs w:val="28"/>
          <w:highlight w:val="none"/>
        </w:rPr>
        <w:t xml:space="preserve"> </w:t>
      </w:r>
      <w:r>
        <w:rPr>
          <w:rFonts w:hint="eastAsia" w:cs="宋体"/>
          <w:color w:val="auto"/>
          <w:sz w:val="28"/>
          <w:szCs w:val="28"/>
          <w:highlight w:val="none"/>
        </w:rPr>
        <w:t>本合同的变更必须由双方协商一致，并以书面形式确定。但有下列情形的，一方可以向另一方提出变更合同权利与义务的请求，另一方应当在</w:t>
      </w:r>
      <w:r>
        <w:rPr>
          <w:rFonts w:hint="eastAsia" w:eastAsia="楷体_GB2312" w:cs="楷体_GB2312"/>
          <w:color w:val="auto"/>
          <w:sz w:val="28"/>
          <w:szCs w:val="28"/>
          <w:highlight w:val="none"/>
          <w:u w:val="single"/>
        </w:rPr>
        <w:t>7</w:t>
      </w:r>
      <w:r>
        <w:rPr>
          <w:rFonts w:hint="eastAsia" w:cs="宋体"/>
          <w:color w:val="auto"/>
          <w:sz w:val="28"/>
          <w:szCs w:val="28"/>
          <w:highlight w:val="none"/>
        </w:rPr>
        <w:t>日内予以答复；逾期未予以答复的，视为同意：</w:t>
      </w:r>
    </w:p>
    <w:p>
      <w:pPr>
        <w:spacing w:line="360" w:lineRule="auto"/>
        <w:ind w:firstLine="573"/>
        <w:rPr>
          <w:rFonts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u w:val="single"/>
        </w:rPr>
        <w:t>由于不可抗力；</w:t>
      </w:r>
    </w:p>
    <w:p>
      <w:pPr>
        <w:spacing w:line="360" w:lineRule="auto"/>
        <w:ind w:firstLine="573"/>
        <w:rPr>
          <w:color w:val="auto"/>
          <w:sz w:val="28"/>
          <w:szCs w:val="28"/>
          <w:highlight w:val="none"/>
        </w:rPr>
      </w:pPr>
      <w:r>
        <w:rPr>
          <w:rFonts w:hint="eastAsia" w:cs="宋体"/>
          <w:b/>
          <w:bCs/>
          <w:color w:val="auto"/>
          <w:sz w:val="28"/>
          <w:szCs w:val="28"/>
          <w:highlight w:val="none"/>
        </w:rPr>
        <w:t>第七条</w:t>
      </w:r>
      <w:r>
        <w:rPr>
          <w:color w:val="auto"/>
          <w:sz w:val="28"/>
          <w:szCs w:val="28"/>
          <w:highlight w:val="none"/>
        </w:rPr>
        <w:t xml:space="preserve"> </w:t>
      </w:r>
      <w:r>
        <w:rPr>
          <w:rFonts w:hint="eastAsia" w:cs="宋体"/>
          <w:color w:val="auto"/>
          <w:sz w:val="28"/>
          <w:szCs w:val="28"/>
          <w:highlight w:val="none"/>
        </w:rPr>
        <w:t>双方确定，按以下标准和方式对乙方提交的技术咨询工作成果进行验收：</w:t>
      </w:r>
    </w:p>
    <w:p>
      <w:pPr>
        <w:spacing w:line="360" w:lineRule="auto"/>
        <w:ind w:firstLine="560" w:firstLineChars="20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1. 乙方完成技术咨询工作成果的形式及时间：</w:t>
      </w:r>
      <w:r>
        <w:rPr>
          <w:rFonts w:hint="eastAsia" w:ascii="宋体" w:hAnsi="宋体" w:eastAsia="宋体" w:cs="宋体"/>
          <w:color w:val="auto"/>
          <w:sz w:val="28"/>
          <w:szCs w:val="28"/>
          <w:highlight w:val="none"/>
          <w:u w:val="single"/>
        </w:rPr>
        <w:t>乙方应在本合同签订之日起</w:t>
      </w:r>
    </w:p>
    <w:p>
      <w:pPr>
        <w:spacing w:line="360" w:lineRule="auto"/>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lang w:val="en-US" w:eastAsia="zh-CN"/>
        </w:rPr>
        <w:t>10</w:t>
      </w:r>
      <w:r>
        <w:rPr>
          <w:rFonts w:hint="eastAsia" w:ascii="宋体" w:hAnsi="宋体" w:eastAsia="宋体" w:cs="宋体"/>
          <w:color w:val="auto"/>
          <w:sz w:val="28"/>
          <w:szCs w:val="28"/>
          <w:highlight w:val="none"/>
          <w:u w:val="single"/>
        </w:rPr>
        <w:t>日内向按甲方要求提交纸质版及电子版。</w:t>
      </w:r>
      <w:r>
        <w:rPr>
          <w:rFonts w:hint="eastAsia" w:ascii="宋体" w:hAnsi="宋体" w:eastAsia="宋体" w:cs="宋体"/>
          <w:color w:val="auto"/>
          <w:kern w:val="2"/>
          <w:sz w:val="28"/>
          <w:szCs w:val="28"/>
          <w:highlight w:val="none"/>
          <w:u w:val="single"/>
          <w:lang w:val="en-US" w:eastAsia="zh-CN" w:bidi="ar-SA"/>
        </w:rPr>
        <w:t>有关部门进行评审后5个日历天内完成工程项目可行性研究报告、实施方案的修改。期限结束后，若发现可行性研究报告或实施方案仍需修改、调整，</w:t>
      </w:r>
      <w:r>
        <w:rPr>
          <w:rFonts w:hint="eastAsia" w:ascii="宋体" w:hAnsi="宋体" w:cs="宋体"/>
          <w:color w:val="auto"/>
          <w:kern w:val="2"/>
          <w:sz w:val="28"/>
          <w:szCs w:val="28"/>
          <w:highlight w:val="none"/>
          <w:u w:val="single"/>
          <w:lang w:val="en-US" w:eastAsia="zh-CN" w:bidi="ar-SA"/>
        </w:rPr>
        <w:t>乙方</w:t>
      </w:r>
      <w:r>
        <w:rPr>
          <w:rFonts w:hint="eastAsia" w:ascii="宋体" w:hAnsi="宋体" w:eastAsia="宋体" w:cs="宋体"/>
          <w:color w:val="auto"/>
          <w:kern w:val="2"/>
          <w:sz w:val="28"/>
          <w:szCs w:val="28"/>
          <w:highlight w:val="none"/>
          <w:u w:val="single"/>
          <w:lang w:val="en-US" w:eastAsia="zh-CN" w:bidi="ar-SA"/>
        </w:rPr>
        <w:t>单位应继续提供有关服务。</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2. 技术咨询工作成果的验收标准：</w:t>
      </w:r>
      <w:r>
        <w:rPr>
          <w:rFonts w:hint="eastAsia" w:ascii="宋体" w:hAnsi="宋体" w:eastAsia="宋体" w:cs="宋体"/>
          <w:color w:val="auto"/>
          <w:sz w:val="28"/>
          <w:szCs w:val="28"/>
          <w:highlight w:val="none"/>
          <w:u w:val="single"/>
        </w:rPr>
        <w:t>按国家现行的规范、规定、技术条例的要求进行验收。</w:t>
      </w:r>
    </w:p>
    <w:p>
      <w:pPr>
        <w:spacing w:line="360" w:lineRule="auto"/>
        <w:ind w:firstLine="57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 技术咨询工作成果的验收方法：</w:t>
      </w:r>
      <w:r>
        <w:rPr>
          <w:rFonts w:hint="eastAsia" w:ascii="宋体" w:hAnsi="宋体" w:eastAsia="宋体" w:cs="宋体"/>
          <w:color w:val="auto"/>
          <w:sz w:val="28"/>
          <w:szCs w:val="28"/>
          <w:highlight w:val="none"/>
          <w:u w:val="single"/>
        </w:rPr>
        <w:t>可行性研究报告及实施方案文本完成后，由乙方协助甲方送相关项目审批部门。</w:t>
      </w:r>
    </w:p>
    <w:p>
      <w:pPr>
        <w:spacing w:line="360" w:lineRule="auto"/>
        <w:ind w:firstLine="570"/>
        <w:rPr>
          <w:rFonts w:eastAsia="楷体_GB2312"/>
          <w:color w:val="auto"/>
          <w:sz w:val="28"/>
          <w:szCs w:val="28"/>
          <w:highlight w:val="none"/>
          <w:u w:val="single"/>
        </w:rPr>
      </w:pPr>
      <w:r>
        <w:rPr>
          <w:rFonts w:hint="eastAsia" w:ascii="宋体" w:hAnsi="宋体" w:eastAsia="宋体" w:cs="宋体"/>
          <w:color w:val="auto"/>
          <w:sz w:val="28"/>
          <w:szCs w:val="28"/>
          <w:highlight w:val="none"/>
        </w:rPr>
        <w:t>4. 验</w:t>
      </w:r>
      <w:r>
        <w:rPr>
          <w:rFonts w:hint="eastAsia" w:cs="宋体"/>
          <w:color w:val="auto"/>
          <w:sz w:val="28"/>
          <w:szCs w:val="28"/>
          <w:highlight w:val="none"/>
        </w:rPr>
        <w:t>收的时间和地点：</w:t>
      </w:r>
      <w:r>
        <w:rPr>
          <w:rFonts w:hint="eastAsia" w:ascii="宋体" w:hAnsi="宋体" w:eastAsia="宋体" w:cs="宋体"/>
          <w:color w:val="auto"/>
          <w:sz w:val="28"/>
          <w:szCs w:val="28"/>
          <w:highlight w:val="none"/>
          <w:u w:val="single"/>
        </w:rPr>
        <w:t>甲方收到可行性研究报告</w:t>
      </w:r>
      <w:r>
        <w:rPr>
          <w:rFonts w:hint="eastAsia" w:ascii="宋体" w:hAnsi="宋体" w:eastAsia="宋体" w:cs="宋体"/>
          <w:color w:val="auto"/>
          <w:sz w:val="28"/>
          <w:szCs w:val="28"/>
          <w:highlight w:val="none"/>
          <w:u w:val="single"/>
          <w:lang w:val="en-US" w:eastAsia="zh-CN"/>
        </w:rPr>
        <w:t>及实施方案</w:t>
      </w:r>
      <w:r>
        <w:rPr>
          <w:rFonts w:hint="eastAsia" w:ascii="宋体" w:hAnsi="宋体" w:eastAsia="宋体" w:cs="宋体"/>
          <w:color w:val="auto"/>
          <w:sz w:val="28"/>
          <w:szCs w:val="28"/>
          <w:highlight w:val="none"/>
          <w:u w:val="single"/>
        </w:rPr>
        <w:t>时确定。</w:t>
      </w:r>
    </w:p>
    <w:p>
      <w:pPr>
        <w:spacing w:line="360" w:lineRule="auto"/>
        <w:ind w:firstLine="561"/>
        <w:rPr>
          <w:color w:val="auto"/>
          <w:sz w:val="28"/>
          <w:szCs w:val="28"/>
          <w:highlight w:val="none"/>
        </w:rPr>
      </w:pPr>
      <w:r>
        <w:rPr>
          <w:rFonts w:hint="eastAsia" w:cs="宋体"/>
          <w:b/>
          <w:bCs/>
          <w:color w:val="auto"/>
          <w:sz w:val="28"/>
          <w:szCs w:val="28"/>
          <w:highlight w:val="none"/>
        </w:rPr>
        <w:t>第八条</w:t>
      </w:r>
      <w:r>
        <w:rPr>
          <w:color w:val="auto"/>
          <w:sz w:val="28"/>
          <w:szCs w:val="28"/>
          <w:highlight w:val="none"/>
        </w:rPr>
        <w:t xml:space="preserve"> </w:t>
      </w:r>
      <w:r>
        <w:rPr>
          <w:rFonts w:hint="eastAsia" w:cs="宋体"/>
          <w:color w:val="auto"/>
          <w:sz w:val="28"/>
          <w:szCs w:val="28"/>
          <w:highlight w:val="none"/>
        </w:rPr>
        <w:t>违约责任：</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1.乙方未能按本合同规定的时间完工的，从逾期之日起每日按本合同总价</w:t>
      </w:r>
      <w:r>
        <w:rPr>
          <w:rFonts w:hint="eastAsia" w:ascii="宋体" w:hAnsi="宋体" w:eastAsia="宋体" w:cs="宋体"/>
          <w:color w:val="auto"/>
          <w:sz w:val="28"/>
          <w:szCs w:val="28"/>
          <w:highlight w:val="none"/>
          <w:u w:val="single"/>
        </w:rPr>
        <w:t>2‰</w:t>
      </w:r>
      <w:r>
        <w:rPr>
          <w:rFonts w:hint="eastAsia" w:ascii="宋体" w:hAnsi="宋体" w:eastAsia="宋体" w:cs="宋体"/>
          <w:color w:val="auto"/>
          <w:sz w:val="28"/>
          <w:szCs w:val="28"/>
          <w:highlight w:val="none"/>
        </w:rPr>
        <w:t>的数额向甲方支付违约金。如延误超过</w:t>
      </w:r>
      <w:r>
        <w:rPr>
          <w:rFonts w:hint="eastAsia" w:ascii="宋体" w:hAnsi="宋体" w:eastAsia="宋体" w:cs="宋体"/>
          <w:color w:val="auto"/>
          <w:sz w:val="28"/>
          <w:szCs w:val="28"/>
          <w:highlight w:val="none"/>
          <w:u w:val="single"/>
        </w:rPr>
        <w:t>10</w:t>
      </w:r>
      <w:r>
        <w:rPr>
          <w:rFonts w:hint="eastAsia" w:ascii="宋体" w:hAnsi="宋体" w:eastAsia="宋体" w:cs="宋体"/>
          <w:color w:val="auto"/>
          <w:sz w:val="28"/>
          <w:szCs w:val="28"/>
          <w:highlight w:val="none"/>
        </w:rPr>
        <w:t>日仍未完工的，甲方有权解除合同并不予支付任何费用，并有权要求乙方支付合同总价</w:t>
      </w:r>
      <w:r>
        <w:rPr>
          <w:rFonts w:hint="eastAsia" w:ascii="宋体" w:hAnsi="宋体" w:eastAsia="宋体" w:cs="宋体"/>
          <w:color w:val="auto"/>
          <w:sz w:val="28"/>
          <w:szCs w:val="28"/>
          <w:highlight w:val="none"/>
          <w:u w:val="single"/>
        </w:rPr>
        <w:t>20%</w:t>
      </w:r>
      <w:r>
        <w:rPr>
          <w:rFonts w:hint="eastAsia" w:ascii="宋体" w:hAnsi="宋体" w:eastAsia="宋体" w:cs="宋体"/>
          <w:color w:val="auto"/>
          <w:sz w:val="28"/>
          <w:szCs w:val="28"/>
          <w:highlight w:val="none"/>
        </w:rPr>
        <w:t>的款项作为违约金。此外，乙方还应退还已收的全部费用。</w:t>
      </w:r>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bookmarkStart w:id="2" w:name="_Hlk41563911"/>
      <w:bookmarkStart w:id="3" w:name="_Hlk41563966"/>
      <w:r>
        <w:rPr>
          <w:rFonts w:hint="eastAsia" w:ascii="宋体" w:hAnsi="宋体" w:eastAsia="宋体" w:cs="宋体"/>
          <w:color w:val="auto"/>
          <w:sz w:val="28"/>
          <w:szCs w:val="28"/>
          <w:highlight w:val="none"/>
        </w:rPr>
        <w:t>乙方提供的工作成果文件质量不合格</w:t>
      </w:r>
      <w:bookmarkEnd w:id="2"/>
      <w:r>
        <w:rPr>
          <w:rFonts w:hint="eastAsia" w:ascii="宋体" w:hAnsi="宋体" w:eastAsia="宋体" w:cs="宋体"/>
          <w:color w:val="auto"/>
          <w:sz w:val="28"/>
          <w:szCs w:val="28"/>
          <w:highlight w:val="none"/>
        </w:rPr>
        <w:t>，应支付合同总价</w:t>
      </w:r>
      <w:r>
        <w:rPr>
          <w:rFonts w:hint="eastAsia" w:ascii="宋体" w:hAnsi="宋体" w:eastAsia="宋体" w:cs="宋体"/>
          <w:color w:val="auto"/>
          <w:sz w:val="28"/>
          <w:szCs w:val="28"/>
          <w:highlight w:val="none"/>
          <w:u w:val="single"/>
        </w:rPr>
        <w:t xml:space="preserve">20 </w:t>
      </w:r>
      <w:r>
        <w:rPr>
          <w:rFonts w:hint="eastAsia" w:ascii="宋体" w:hAnsi="宋体" w:eastAsia="宋体" w:cs="宋体"/>
          <w:color w:val="auto"/>
          <w:sz w:val="28"/>
          <w:szCs w:val="28"/>
          <w:highlight w:val="none"/>
        </w:rPr>
        <w:t>%的违约金，并且在</w:t>
      </w:r>
      <w:r>
        <w:rPr>
          <w:rFonts w:hint="eastAsia" w:ascii="宋体" w:hAnsi="宋体" w:eastAsia="宋体" w:cs="宋体"/>
          <w:color w:val="auto"/>
          <w:sz w:val="28"/>
          <w:szCs w:val="28"/>
          <w:highlight w:val="none"/>
          <w:u w:val="single"/>
        </w:rPr>
        <w:t xml:space="preserve"> 10 </w:t>
      </w:r>
      <w:r>
        <w:rPr>
          <w:rFonts w:hint="eastAsia" w:ascii="宋体" w:hAnsi="宋体" w:eastAsia="宋体" w:cs="宋体"/>
          <w:color w:val="auto"/>
          <w:sz w:val="28"/>
          <w:szCs w:val="28"/>
          <w:highlight w:val="none"/>
        </w:rPr>
        <w:t>天内无偿补充完善至质量合格；若乙方无能力补充完善或期满仍未能补充完善完毕，甲方有权单方解除本合同并不予支付任何费用，且有权另行委托其他单位完成，该补充完善的费用由乙方全部承担。</w:t>
      </w:r>
      <w:bookmarkEnd w:id="3"/>
    </w:p>
    <w:p>
      <w:pPr>
        <w:spacing w:line="360" w:lineRule="auto"/>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3.乙方无正当理由不履行本协议时，甲方有权单方解除本合同，乙方除应退还甲方已付给乙方的所有费用，还应向甲方支付本合同暂定总价金额的</w:t>
      </w:r>
      <w:r>
        <w:rPr>
          <w:rFonts w:hint="eastAsia" w:ascii="宋体" w:hAnsi="宋体" w:eastAsia="宋体" w:cs="宋体"/>
          <w:color w:val="auto"/>
          <w:sz w:val="28"/>
          <w:szCs w:val="28"/>
          <w:highlight w:val="none"/>
          <w:u w:val="single"/>
        </w:rPr>
        <w:t>20%</w:t>
      </w:r>
      <w:r>
        <w:rPr>
          <w:rFonts w:hint="eastAsia" w:ascii="宋体" w:hAnsi="宋体" w:eastAsia="宋体" w:cs="宋体"/>
          <w:color w:val="auto"/>
          <w:sz w:val="28"/>
          <w:szCs w:val="28"/>
          <w:highlight w:val="none"/>
        </w:rPr>
        <w:t>作为违约金。</w:t>
      </w:r>
    </w:p>
    <w:p>
      <w:pPr>
        <w:spacing w:line="360" w:lineRule="auto"/>
        <w:ind w:firstLine="540"/>
        <w:rPr>
          <w:color w:val="auto"/>
          <w:sz w:val="28"/>
          <w:szCs w:val="28"/>
          <w:highlight w:val="none"/>
        </w:rPr>
      </w:pPr>
      <w:r>
        <w:rPr>
          <w:rFonts w:hint="eastAsia" w:cs="宋体"/>
          <w:b/>
          <w:bCs/>
          <w:color w:val="auto"/>
          <w:sz w:val="28"/>
          <w:szCs w:val="28"/>
          <w:highlight w:val="none"/>
        </w:rPr>
        <w:t>第九条</w:t>
      </w:r>
      <w:r>
        <w:rPr>
          <w:color w:val="auto"/>
          <w:sz w:val="28"/>
          <w:szCs w:val="28"/>
          <w:highlight w:val="none"/>
        </w:rPr>
        <w:t xml:space="preserve"> </w:t>
      </w:r>
      <w:r>
        <w:rPr>
          <w:rFonts w:hint="eastAsia" w:cs="宋体"/>
          <w:color w:val="auto"/>
          <w:sz w:val="28"/>
          <w:szCs w:val="28"/>
          <w:highlight w:val="none"/>
        </w:rPr>
        <w:t>双方确定，甲方按照乙方符合本合同编写标准和方式完成的工作成果作出决策并予以实施所造成的损失，按以下第</w:t>
      </w:r>
      <w:r>
        <w:rPr>
          <w:rFonts w:hint="eastAsia" w:ascii="宋体" w:hAnsi="宋体" w:eastAsia="宋体" w:cs="宋体"/>
          <w:color w:val="auto"/>
          <w:sz w:val="28"/>
          <w:szCs w:val="28"/>
          <w:highlight w:val="none"/>
          <w:u w:val="single"/>
        </w:rPr>
        <w:t xml:space="preserve"> 2 </w:t>
      </w:r>
      <w:r>
        <w:rPr>
          <w:rFonts w:hint="eastAsia" w:cs="宋体"/>
          <w:color w:val="auto"/>
          <w:sz w:val="28"/>
          <w:szCs w:val="28"/>
          <w:highlight w:val="none"/>
        </w:rPr>
        <w:t>种方式处理：</w:t>
      </w:r>
      <w:r>
        <w:rPr>
          <w:color w:val="auto"/>
          <w:sz w:val="28"/>
          <w:szCs w:val="28"/>
          <w:highlight w:val="none"/>
        </w:rPr>
        <w:t xml:space="preserve"> </w:t>
      </w:r>
    </w:p>
    <w:p>
      <w:pPr>
        <w:numPr>
          <w:ilvl w:val="0"/>
          <w:numId w:val="1"/>
        </w:numPr>
        <w:spacing w:line="360" w:lineRule="auto"/>
        <w:rPr>
          <w:color w:val="auto"/>
          <w:sz w:val="28"/>
          <w:szCs w:val="28"/>
          <w:highlight w:val="none"/>
        </w:rPr>
      </w:pPr>
      <w:r>
        <w:rPr>
          <w:rFonts w:hint="eastAsia" w:cs="宋体"/>
          <w:color w:val="auto"/>
          <w:sz w:val="28"/>
          <w:szCs w:val="28"/>
          <w:highlight w:val="none"/>
        </w:rPr>
        <w:t>乙方不承担责任。</w:t>
      </w:r>
    </w:p>
    <w:p>
      <w:pPr>
        <w:numPr>
          <w:ilvl w:val="0"/>
          <w:numId w:val="1"/>
        </w:numPr>
        <w:tabs>
          <w:tab w:val="left" w:pos="0"/>
          <w:tab w:val="clear" w:pos="900"/>
        </w:tabs>
        <w:spacing w:line="360" w:lineRule="auto"/>
        <w:ind w:left="0" w:firstLine="540"/>
        <w:rPr>
          <w:rFonts w:cs="宋体"/>
          <w:color w:val="auto"/>
          <w:sz w:val="28"/>
          <w:szCs w:val="28"/>
          <w:highlight w:val="none"/>
        </w:rPr>
      </w:pPr>
      <w:r>
        <w:rPr>
          <w:rFonts w:hint="eastAsia" w:cs="宋体"/>
          <w:color w:val="auto"/>
          <w:sz w:val="28"/>
          <w:szCs w:val="28"/>
          <w:highlight w:val="none"/>
        </w:rPr>
        <w:t>乙方承担责任。具体承担方式为免收相应部分咨询费。</w:t>
      </w:r>
    </w:p>
    <w:p>
      <w:pPr>
        <w:spacing w:line="360" w:lineRule="auto"/>
        <w:ind w:firstLine="540"/>
        <w:rPr>
          <w:rFonts w:cs="宋体"/>
          <w:color w:val="auto"/>
          <w:sz w:val="28"/>
          <w:szCs w:val="28"/>
          <w:highlight w:val="none"/>
        </w:rPr>
      </w:pPr>
      <w:r>
        <w:rPr>
          <w:rFonts w:hint="eastAsia" w:cs="宋体"/>
          <w:b/>
          <w:bCs/>
          <w:color w:val="auto"/>
          <w:sz w:val="28"/>
          <w:szCs w:val="28"/>
          <w:highlight w:val="none"/>
        </w:rPr>
        <w:t>第十条</w:t>
      </w:r>
      <w:r>
        <w:rPr>
          <w:color w:val="auto"/>
          <w:sz w:val="28"/>
          <w:szCs w:val="28"/>
          <w:highlight w:val="none"/>
        </w:rPr>
        <w:t xml:space="preserve"> </w:t>
      </w:r>
      <w:r>
        <w:rPr>
          <w:rFonts w:hint="eastAsia" w:cs="宋体"/>
          <w:color w:val="auto"/>
          <w:sz w:val="28"/>
          <w:szCs w:val="28"/>
          <w:highlight w:val="none"/>
        </w:rPr>
        <w:t xml:space="preserve">双方确定：                 </w:t>
      </w:r>
    </w:p>
    <w:p>
      <w:pPr>
        <w:spacing w:line="360" w:lineRule="auto"/>
        <w:ind w:firstLine="560" w:firstLineChars="200"/>
        <w:rPr>
          <w:rFonts w:cs="宋体"/>
          <w:color w:val="auto"/>
          <w:sz w:val="28"/>
          <w:szCs w:val="28"/>
          <w:highlight w:val="none"/>
        </w:rPr>
      </w:pPr>
      <w:r>
        <w:rPr>
          <w:rFonts w:hint="eastAsia" w:cs="宋体"/>
          <w:color w:val="auto"/>
          <w:sz w:val="28"/>
          <w:szCs w:val="28"/>
          <w:highlight w:val="none"/>
        </w:rPr>
        <w:t>1.</w:t>
      </w:r>
      <w:r>
        <w:rPr>
          <w:rFonts w:cs="宋体"/>
          <w:color w:val="auto"/>
          <w:sz w:val="28"/>
          <w:szCs w:val="28"/>
          <w:highlight w:val="none"/>
        </w:rPr>
        <w:t xml:space="preserve"> </w:t>
      </w:r>
      <w:r>
        <w:rPr>
          <w:rFonts w:hint="eastAsia" w:cs="宋体"/>
          <w:color w:val="auto"/>
          <w:sz w:val="28"/>
          <w:szCs w:val="28"/>
          <w:highlight w:val="none"/>
        </w:rPr>
        <w:t>本项目可行性研究报告</w:t>
      </w:r>
      <w:r>
        <w:rPr>
          <w:rFonts w:hint="eastAsia" w:cs="宋体"/>
          <w:color w:val="auto"/>
          <w:sz w:val="28"/>
          <w:szCs w:val="28"/>
          <w:highlight w:val="none"/>
          <w:lang w:val="en-US" w:eastAsia="zh-CN"/>
        </w:rPr>
        <w:t>及实施方案</w:t>
      </w:r>
      <w:r>
        <w:rPr>
          <w:rFonts w:hint="eastAsia" w:cs="宋体"/>
          <w:color w:val="auto"/>
          <w:sz w:val="28"/>
          <w:szCs w:val="28"/>
          <w:highlight w:val="none"/>
        </w:rPr>
        <w:t>署名权归乙方所有，版权归甲方所有；乙方未经甲方许可，不得擅自使用或者向任何第三方透露本次项目有关的资料和数据。</w:t>
      </w:r>
    </w:p>
    <w:p>
      <w:pPr>
        <w:spacing w:line="360" w:lineRule="auto"/>
        <w:ind w:firstLine="560" w:firstLineChars="200"/>
        <w:rPr>
          <w:rFonts w:cs="宋体"/>
          <w:color w:val="auto"/>
          <w:sz w:val="28"/>
          <w:szCs w:val="28"/>
          <w:highlight w:val="none"/>
        </w:rPr>
      </w:pPr>
      <w:r>
        <w:rPr>
          <w:rFonts w:cs="宋体"/>
          <w:color w:val="auto"/>
          <w:sz w:val="28"/>
          <w:szCs w:val="28"/>
          <w:highlight w:val="none"/>
        </w:rPr>
        <w:t xml:space="preserve">2. </w:t>
      </w:r>
      <w:r>
        <w:rPr>
          <w:rFonts w:hint="eastAsia" w:cs="宋体"/>
          <w:color w:val="auto"/>
          <w:sz w:val="28"/>
          <w:szCs w:val="28"/>
          <w:highlight w:val="none"/>
        </w:rPr>
        <w:t>乙方应保证本项目的技术、服务或其任何一部分不会产生因第三方提出侵犯其专利权、商标权或其他知识产权而引起的法律和经济纠纷；如因非</w:t>
      </w:r>
      <w:r>
        <w:rPr>
          <w:rFonts w:cs="宋体"/>
          <w:color w:val="auto"/>
          <w:sz w:val="28"/>
          <w:szCs w:val="28"/>
          <w:highlight w:val="none"/>
        </w:rPr>
        <w:t>甲方资料原因造成</w:t>
      </w:r>
      <w:r>
        <w:rPr>
          <w:rFonts w:hint="eastAsia" w:cs="宋体"/>
          <w:color w:val="auto"/>
          <w:sz w:val="28"/>
          <w:szCs w:val="28"/>
          <w:highlight w:val="none"/>
        </w:rPr>
        <w:t>第三方提出其专利权、商标权或其他知识产权的侵权之诉，则一切法律责任由乙方承担。因此而导致甲方承担了责任的，</w:t>
      </w:r>
      <w:bookmarkStart w:id="4" w:name="_Hlk41564660"/>
      <w:r>
        <w:rPr>
          <w:rFonts w:hint="eastAsia" w:cs="宋体"/>
          <w:color w:val="auto"/>
          <w:sz w:val="28"/>
          <w:szCs w:val="28"/>
          <w:highlight w:val="none"/>
        </w:rPr>
        <w:t>甲方有权向乙方追偿，并且甲方因追偿而支付的律师费、差旅费、财产保全担保费等由乙方承担</w:t>
      </w:r>
      <w:bookmarkEnd w:id="4"/>
      <w:r>
        <w:rPr>
          <w:rFonts w:hint="eastAsia" w:cs="宋体"/>
          <w:color w:val="auto"/>
          <w:sz w:val="28"/>
          <w:szCs w:val="28"/>
          <w:highlight w:val="none"/>
        </w:rPr>
        <w:t>。</w:t>
      </w:r>
    </w:p>
    <w:p>
      <w:pPr>
        <w:spacing w:line="360" w:lineRule="auto"/>
        <w:rPr>
          <w:color w:val="auto"/>
          <w:sz w:val="28"/>
          <w:szCs w:val="28"/>
          <w:highlight w:val="none"/>
        </w:rPr>
      </w:pPr>
      <w:r>
        <w:rPr>
          <w:color w:val="auto"/>
          <w:sz w:val="28"/>
          <w:szCs w:val="28"/>
          <w:highlight w:val="none"/>
        </w:rPr>
        <w:t xml:space="preserve">    3. </w:t>
      </w:r>
      <w:r>
        <w:rPr>
          <w:rFonts w:hint="eastAsia" w:cs="宋体"/>
          <w:color w:val="auto"/>
          <w:sz w:val="28"/>
          <w:szCs w:val="28"/>
          <w:highlight w:val="none"/>
        </w:rPr>
        <w:t>甲方利用乙方提交的技术咨询工作成果所完成的新的技术成果，归甲方所有。</w:t>
      </w:r>
    </w:p>
    <w:p>
      <w:pPr>
        <w:spacing w:line="360" w:lineRule="auto"/>
        <w:ind w:firstLine="570"/>
        <w:rPr>
          <w:rFonts w:cs="宋体"/>
          <w:color w:val="auto"/>
          <w:sz w:val="28"/>
          <w:szCs w:val="28"/>
          <w:highlight w:val="none"/>
        </w:rPr>
      </w:pPr>
      <w:r>
        <w:rPr>
          <w:rFonts w:cs="宋体"/>
          <w:color w:val="auto"/>
          <w:sz w:val="28"/>
          <w:szCs w:val="28"/>
          <w:highlight w:val="none"/>
        </w:rPr>
        <w:t>4</w:t>
      </w:r>
      <w:r>
        <w:rPr>
          <w:rFonts w:hint="eastAsia" w:cs="宋体"/>
          <w:color w:val="auto"/>
          <w:sz w:val="28"/>
          <w:szCs w:val="28"/>
          <w:highlight w:val="none"/>
        </w:rPr>
        <w:t>.</w:t>
      </w:r>
      <w:r>
        <w:rPr>
          <w:rFonts w:cs="宋体"/>
          <w:color w:val="auto"/>
          <w:sz w:val="28"/>
          <w:szCs w:val="28"/>
          <w:highlight w:val="none"/>
        </w:rPr>
        <w:t xml:space="preserve"> </w:t>
      </w:r>
      <w:r>
        <w:rPr>
          <w:rFonts w:hint="eastAsia" w:cs="宋体"/>
          <w:color w:val="auto"/>
          <w:sz w:val="28"/>
          <w:szCs w:val="28"/>
          <w:highlight w:val="none"/>
        </w:rPr>
        <w:t>如在项目实施期间，因政策变化、计划调整及其它不可抗力等原因，造成本项目停建、缓建，则乙方必须接受甲方要求终止服务，并应积极配合甲方做好善后工作，按已完成工作量占合同工作量比例结清服务费，并且不能要求额外费用及任何形式补偿。</w:t>
      </w:r>
    </w:p>
    <w:p>
      <w:pPr>
        <w:spacing w:line="360" w:lineRule="auto"/>
        <w:ind w:firstLine="570"/>
        <w:rPr>
          <w:color w:val="auto"/>
          <w:sz w:val="28"/>
          <w:szCs w:val="28"/>
          <w:highlight w:val="none"/>
        </w:rPr>
      </w:pPr>
      <w:r>
        <w:rPr>
          <w:rFonts w:hint="eastAsia" w:cs="宋体"/>
          <w:b/>
          <w:bCs/>
          <w:color w:val="auto"/>
          <w:sz w:val="28"/>
          <w:szCs w:val="28"/>
          <w:highlight w:val="none"/>
        </w:rPr>
        <w:t>第十一条</w:t>
      </w:r>
      <w:r>
        <w:rPr>
          <w:color w:val="auto"/>
          <w:sz w:val="28"/>
          <w:szCs w:val="28"/>
          <w:highlight w:val="none"/>
        </w:rPr>
        <w:t xml:space="preserve"> </w:t>
      </w:r>
      <w:r>
        <w:rPr>
          <w:rFonts w:hint="eastAsia" w:cs="宋体"/>
          <w:color w:val="auto"/>
          <w:sz w:val="28"/>
          <w:szCs w:val="28"/>
          <w:highlight w:val="none"/>
        </w:rPr>
        <w:t>双方确定，在本合同有效期内，甲方指定</w:t>
      </w:r>
      <w:r>
        <w:rPr>
          <w:rFonts w:hint="eastAsia" w:cs="宋体"/>
          <w:color w:val="auto"/>
          <w:sz w:val="28"/>
          <w:szCs w:val="28"/>
          <w:highlight w:val="none"/>
          <w:u w:val="single"/>
        </w:rPr>
        <w:t xml:space="preserve">     </w:t>
      </w:r>
      <w:r>
        <w:rPr>
          <w:rFonts w:hint="eastAsia" w:cs="宋体"/>
          <w:color w:val="auto"/>
          <w:sz w:val="28"/>
          <w:szCs w:val="28"/>
          <w:highlight w:val="none"/>
        </w:rPr>
        <w:t>为甲方项目联系人，乙方指定</w:t>
      </w:r>
      <w:r>
        <w:rPr>
          <w:rFonts w:hint="eastAsia" w:eastAsia="楷体_GB2312"/>
          <w:color w:val="auto"/>
          <w:sz w:val="28"/>
          <w:szCs w:val="28"/>
          <w:highlight w:val="none"/>
          <w:u w:val="single"/>
        </w:rPr>
        <w:t xml:space="preserve"> </w:t>
      </w:r>
      <w:r>
        <w:rPr>
          <w:rFonts w:eastAsia="楷体_GB2312"/>
          <w:color w:val="auto"/>
          <w:sz w:val="28"/>
          <w:szCs w:val="28"/>
          <w:highlight w:val="none"/>
          <w:u w:val="single"/>
        </w:rPr>
        <w:t xml:space="preserve">       </w:t>
      </w:r>
      <w:r>
        <w:rPr>
          <w:rFonts w:hint="eastAsia" w:cs="宋体"/>
          <w:color w:val="auto"/>
          <w:sz w:val="28"/>
          <w:szCs w:val="28"/>
          <w:highlight w:val="none"/>
        </w:rPr>
        <w:t>为乙方项目联系人。项目联系人承担以下责任：</w:t>
      </w:r>
    </w:p>
    <w:p>
      <w:pPr>
        <w:pStyle w:val="9"/>
        <w:spacing w:line="360" w:lineRule="auto"/>
        <w:ind w:firstLine="560" w:firstLineChars="200"/>
        <w:rPr>
          <w:color w:val="auto"/>
          <w:highlight w:val="none"/>
        </w:rPr>
      </w:pPr>
      <w:r>
        <w:rPr>
          <w:color w:val="auto"/>
          <w:highlight w:val="none"/>
        </w:rPr>
        <w:t>1.</w:t>
      </w:r>
      <w:r>
        <w:rPr>
          <w:rFonts w:hint="eastAsia" w:cs="宋体"/>
          <w:color w:val="auto"/>
          <w:highlight w:val="none"/>
        </w:rPr>
        <w:t>本项目联系的有关事宜；</w:t>
      </w:r>
    </w:p>
    <w:p>
      <w:pPr>
        <w:pStyle w:val="9"/>
        <w:spacing w:line="360" w:lineRule="auto"/>
        <w:ind w:firstLine="560" w:firstLineChars="200"/>
        <w:rPr>
          <w:color w:val="auto"/>
          <w:highlight w:val="none"/>
        </w:rPr>
      </w:pPr>
      <w:r>
        <w:rPr>
          <w:color w:val="auto"/>
          <w:highlight w:val="none"/>
        </w:rPr>
        <w:t>2.</w:t>
      </w:r>
      <w:r>
        <w:rPr>
          <w:rFonts w:hint="eastAsia" w:cs="宋体"/>
          <w:color w:val="auto"/>
          <w:highlight w:val="none"/>
        </w:rPr>
        <w:t>跟进项目进度；</w:t>
      </w:r>
    </w:p>
    <w:p>
      <w:pPr>
        <w:pStyle w:val="9"/>
        <w:spacing w:line="360" w:lineRule="auto"/>
        <w:ind w:firstLine="560" w:firstLineChars="200"/>
        <w:rPr>
          <w:color w:val="auto"/>
          <w:highlight w:val="none"/>
        </w:rPr>
      </w:pPr>
      <w:r>
        <w:rPr>
          <w:color w:val="auto"/>
          <w:highlight w:val="none"/>
        </w:rPr>
        <w:t>3.</w:t>
      </w:r>
      <w:r>
        <w:rPr>
          <w:rFonts w:hint="eastAsia" w:cs="宋体"/>
          <w:color w:val="auto"/>
          <w:highlight w:val="none"/>
        </w:rPr>
        <w:t>解决实际进程中出现的问题，并进行联络和沟通。</w:t>
      </w:r>
    </w:p>
    <w:p>
      <w:pPr>
        <w:pStyle w:val="9"/>
        <w:spacing w:line="360" w:lineRule="auto"/>
        <w:ind w:firstLine="570"/>
        <w:rPr>
          <w:color w:val="auto"/>
          <w:highlight w:val="none"/>
        </w:rPr>
      </w:pPr>
      <w:r>
        <w:rPr>
          <w:rFonts w:hint="eastAsia" w:cs="宋体"/>
          <w:color w:val="auto"/>
          <w:highlight w:val="none"/>
        </w:rPr>
        <w:t>一方变更项目联系人的，应当及时以书面形式通知另一方。未及时通知并影响本合同履行或造成损失的，应承担相应的责任。</w:t>
      </w:r>
    </w:p>
    <w:p>
      <w:pPr>
        <w:pStyle w:val="9"/>
        <w:spacing w:line="360" w:lineRule="auto"/>
        <w:ind w:firstLine="570"/>
        <w:rPr>
          <w:color w:val="auto"/>
          <w:highlight w:val="none"/>
        </w:rPr>
      </w:pPr>
      <w:r>
        <w:rPr>
          <w:rFonts w:hint="eastAsia" w:cs="宋体"/>
          <w:b/>
          <w:bCs/>
          <w:color w:val="auto"/>
          <w:highlight w:val="none"/>
        </w:rPr>
        <w:t>第十二条</w:t>
      </w:r>
      <w:r>
        <w:rPr>
          <w:color w:val="auto"/>
          <w:highlight w:val="none"/>
        </w:rPr>
        <w:t xml:space="preserve"> </w:t>
      </w:r>
      <w:r>
        <w:rPr>
          <w:rFonts w:hint="eastAsia" w:cs="宋体"/>
          <w:color w:val="auto"/>
          <w:highlight w:val="none"/>
        </w:rPr>
        <w:t>双方确定，出现下列情形，致使本合同的履行成为不必要或不可能的，可以解除本合同：</w:t>
      </w:r>
    </w:p>
    <w:p>
      <w:pPr>
        <w:pStyle w:val="9"/>
        <w:spacing w:line="360" w:lineRule="auto"/>
        <w:ind w:firstLine="570"/>
        <w:rPr>
          <w:rFonts w:ascii="宋体" w:hAnsi="宋体" w:eastAsia="宋体" w:cs="宋体"/>
          <w:color w:val="auto"/>
          <w:highlight w:val="none"/>
        </w:rPr>
      </w:pPr>
      <w:r>
        <w:rPr>
          <w:rFonts w:hint="eastAsia" w:ascii="宋体" w:hAnsi="宋体" w:eastAsia="宋体" w:cs="宋体"/>
          <w:color w:val="auto"/>
          <w:highlight w:val="none"/>
        </w:rPr>
        <w:t xml:space="preserve">1. </w:t>
      </w:r>
      <w:r>
        <w:rPr>
          <w:rFonts w:hint="eastAsia" w:ascii="宋体" w:hAnsi="宋体" w:eastAsia="宋体" w:cs="宋体"/>
          <w:color w:val="auto"/>
          <w:highlight w:val="none"/>
          <w:u w:val="single"/>
        </w:rPr>
        <w:t>发生不可抗力。</w:t>
      </w:r>
    </w:p>
    <w:p>
      <w:pPr>
        <w:pStyle w:val="9"/>
        <w:spacing w:line="360" w:lineRule="auto"/>
        <w:ind w:firstLine="570"/>
        <w:rPr>
          <w:color w:val="auto"/>
          <w:highlight w:val="none"/>
        </w:rPr>
      </w:pPr>
      <w:r>
        <w:rPr>
          <w:rFonts w:hint="eastAsia" w:cs="宋体"/>
          <w:b/>
          <w:color w:val="auto"/>
          <w:highlight w:val="none"/>
        </w:rPr>
        <w:t>第十三条</w:t>
      </w:r>
      <w:r>
        <w:rPr>
          <w:color w:val="auto"/>
          <w:highlight w:val="none"/>
        </w:rPr>
        <w:t xml:space="preserve"> </w:t>
      </w:r>
      <w:r>
        <w:rPr>
          <w:rFonts w:hint="eastAsia" w:cs="宋体"/>
          <w:color w:val="auto"/>
          <w:highlight w:val="none"/>
        </w:rPr>
        <w:t>双方因履行本合同而发生的争议，应协商、调解解决。协商、调解不成的，双方同意向甲方所在地人民法院提起诉讼。</w:t>
      </w:r>
    </w:p>
    <w:p>
      <w:pPr>
        <w:pStyle w:val="9"/>
        <w:spacing w:line="360" w:lineRule="auto"/>
        <w:ind w:firstLine="570"/>
        <w:rPr>
          <w:rFonts w:ascii="宋体" w:hAnsi="宋体" w:eastAsia="宋体" w:cs="宋体"/>
          <w:color w:val="auto"/>
          <w:highlight w:val="none"/>
        </w:rPr>
      </w:pPr>
      <w:r>
        <w:rPr>
          <w:rFonts w:hint="eastAsia" w:cs="宋体"/>
          <w:b/>
          <w:bCs/>
          <w:color w:val="auto"/>
          <w:highlight w:val="none"/>
        </w:rPr>
        <w:t>第十四条</w:t>
      </w:r>
      <w:r>
        <w:rPr>
          <w:color w:val="auto"/>
          <w:highlight w:val="none"/>
        </w:rPr>
        <w:t xml:space="preserve"> </w:t>
      </w:r>
      <w:r>
        <w:rPr>
          <w:rFonts w:hint="eastAsia" w:cs="宋体"/>
          <w:color w:val="auto"/>
          <w:highlight w:val="none"/>
        </w:rPr>
        <w:t>与履行本合同有关的下列文件，经双方以可行性研究</w:t>
      </w:r>
      <w:r>
        <w:rPr>
          <w:rFonts w:hint="eastAsia" w:ascii="宋体" w:hAnsi="宋体" w:eastAsia="宋体" w:cs="宋体"/>
          <w:color w:val="auto"/>
          <w:highlight w:val="none"/>
        </w:rPr>
        <w:t>报告</w:t>
      </w:r>
      <w:r>
        <w:rPr>
          <w:rFonts w:hint="eastAsia" w:ascii="宋体" w:hAnsi="宋体" w:eastAsia="宋体" w:cs="宋体"/>
          <w:color w:val="auto"/>
          <w:highlight w:val="none"/>
          <w:lang w:val="en-US" w:eastAsia="zh-CN"/>
        </w:rPr>
        <w:t>及实施方案</w:t>
      </w:r>
      <w:r>
        <w:rPr>
          <w:rFonts w:hint="eastAsia" w:ascii="宋体" w:hAnsi="宋体" w:eastAsia="宋体" w:cs="宋体"/>
          <w:color w:val="auto"/>
          <w:highlight w:val="none"/>
          <w:u w:val="single"/>
        </w:rPr>
        <w:t>成交通知书认可</w:t>
      </w:r>
      <w:r>
        <w:rPr>
          <w:rFonts w:hint="eastAsia" w:ascii="宋体" w:hAnsi="宋体" w:eastAsia="宋体" w:cs="宋体"/>
          <w:color w:val="auto"/>
          <w:highlight w:val="none"/>
        </w:rPr>
        <w:t>方式确认后，为本合同的组成部分：</w:t>
      </w:r>
    </w:p>
    <w:p>
      <w:pPr>
        <w:pStyle w:val="9"/>
        <w:numPr>
          <w:ilvl w:val="0"/>
          <w:numId w:val="2"/>
        </w:numPr>
        <w:spacing w:line="360" w:lineRule="auto"/>
        <w:rPr>
          <w:rFonts w:ascii="宋体" w:hAnsi="宋体" w:eastAsia="宋体" w:cs="宋体"/>
          <w:color w:val="auto"/>
          <w:highlight w:val="none"/>
          <w:u w:val="single"/>
        </w:rPr>
      </w:pPr>
      <w:r>
        <w:rPr>
          <w:rFonts w:hint="eastAsia" w:ascii="宋体" w:hAnsi="宋体" w:eastAsia="宋体" w:cs="宋体"/>
          <w:color w:val="auto"/>
          <w:highlight w:val="none"/>
          <w:u w:val="single"/>
        </w:rPr>
        <w:t>甲方委托乙方的编制可行性研究报告</w:t>
      </w:r>
      <w:r>
        <w:rPr>
          <w:rFonts w:hint="eastAsia" w:ascii="宋体" w:hAnsi="宋体" w:eastAsia="宋体" w:cs="宋体"/>
          <w:color w:val="auto"/>
          <w:highlight w:val="none"/>
          <w:lang w:val="en-US" w:eastAsia="zh-CN"/>
        </w:rPr>
        <w:t>及实施方案</w:t>
      </w:r>
      <w:r>
        <w:rPr>
          <w:rFonts w:hint="eastAsia" w:ascii="宋体" w:hAnsi="宋体" w:eastAsia="宋体" w:cs="宋体"/>
          <w:color w:val="auto"/>
          <w:highlight w:val="none"/>
          <w:u w:val="single"/>
        </w:rPr>
        <w:t>成交通知</w:t>
      </w:r>
      <w:r>
        <w:rPr>
          <w:rFonts w:hint="eastAsia" w:ascii="宋体" w:hAnsi="宋体" w:eastAsia="宋体" w:cs="宋体"/>
          <w:color w:val="auto"/>
          <w:highlight w:val="none"/>
          <w:u w:val="single"/>
          <w:lang w:val="en-US" w:eastAsia="zh-CN"/>
        </w:rPr>
        <w:t>书</w:t>
      </w:r>
      <w:r>
        <w:rPr>
          <w:rFonts w:hint="eastAsia" w:ascii="宋体" w:hAnsi="宋体" w:eastAsia="宋体" w:cs="宋体"/>
          <w:color w:val="auto"/>
          <w:highlight w:val="none"/>
          <w:u w:val="single"/>
        </w:rPr>
        <w:t>；</w:t>
      </w:r>
    </w:p>
    <w:p>
      <w:pPr>
        <w:pStyle w:val="9"/>
        <w:spacing w:line="360" w:lineRule="auto"/>
        <w:ind w:firstLine="570"/>
        <w:rPr>
          <w:rFonts w:cs="宋体"/>
          <w:color w:val="auto"/>
          <w:highlight w:val="none"/>
        </w:rPr>
      </w:pPr>
      <w:r>
        <w:rPr>
          <w:rFonts w:hint="eastAsia" w:cs="宋体"/>
          <w:b/>
          <w:bCs/>
          <w:color w:val="auto"/>
          <w:highlight w:val="none"/>
        </w:rPr>
        <w:t>第十五条</w:t>
      </w:r>
      <w:r>
        <w:rPr>
          <w:rFonts w:hint="eastAsia" w:cs="宋体"/>
          <w:color w:val="auto"/>
          <w:highlight w:val="none"/>
        </w:rPr>
        <w:t xml:space="preserve"> 双方约定本合同其他相关事项为：</w:t>
      </w:r>
    </w:p>
    <w:p>
      <w:pPr>
        <w:pStyle w:val="9"/>
        <w:numPr>
          <w:ilvl w:val="0"/>
          <w:numId w:val="3"/>
        </w:numPr>
        <w:spacing w:line="360" w:lineRule="auto"/>
        <w:ind w:left="560"/>
        <w:rPr>
          <w:rFonts w:ascii="宋体" w:hAnsi="宋体" w:eastAsia="宋体" w:cs="宋体"/>
          <w:color w:val="auto"/>
          <w:highlight w:val="none"/>
          <w:u w:val="single"/>
        </w:rPr>
      </w:pPr>
      <w:r>
        <w:rPr>
          <w:rFonts w:hint="eastAsia" w:ascii="宋体" w:hAnsi="宋体" w:eastAsia="宋体" w:cs="宋体"/>
          <w:color w:val="auto"/>
          <w:highlight w:val="none"/>
          <w:u w:val="single"/>
        </w:rPr>
        <w:t>本合同未尽事宜由双方协商确定。</w:t>
      </w:r>
    </w:p>
    <w:p>
      <w:pPr>
        <w:pStyle w:val="9"/>
        <w:spacing w:line="360" w:lineRule="auto"/>
        <w:ind w:firstLine="570"/>
        <w:rPr>
          <w:color w:val="auto"/>
          <w:highlight w:val="none"/>
        </w:rPr>
      </w:pPr>
      <w:r>
        <w:rPr>
          <w:rFonts w:hint="eastAsia" w:cs="宋体"/>
          <w:b/>
          <w:bCs/>
          <w:color w:val="auto"/>
          <w:highlight w:val="none"/>
        </w:rPr>
        <w:t>第十六条</w:t>
      </w:r>
      <w:r>
        <w:rPr>
          <w:color w:val="auto"/>
          <w:highlight w:val="none"/>
        </w:rPr>
        <w:t xml:space="preserve"> </w:t>
      </w:r>
      <w:r>
        <w:rPr>
          <w:rFonts w:hint="eastAsia" w:cs="宋体"/>
          <w:color w:val="auto"/>
          <w:highlight w:val="none"/>
        </w:rPr>
        <w:t>本合同一式</w:t>
      </w:r>
      <w:r>
        <w:rPr>
          <w:rFonts w:hint="eastAsia" w:cs="宋体"/>
          <w:color w:val="auto"/>
          <w:highlight w:val="none"/>
          <w:u w:val="single"/>
        </w:rPr>
        <w:t xml:space="preserve"> 八 </w:t>
      </w:r>
      <w:r>
        <w:rPr>
          <w:rFonts w:hint="eastAsia" w:cs="宋体"/>
          <w:color w:val="auto"/>
          <w:highlight w:val="none"/>
        </w:rPr>
        <w:t>份，其中甲方</w:t>
      </w:r>
      <w:r>
        <w:rPr>
          <w:rFonts w:hint="eastAsia" w:cs="宋体"/>
          <w:color w:val="auto"/>
          <w:highlight w:val="none"/>
          <w:u w:val="single"/>
        </w:rPr>
        <w:t xml:space="preserve"> 四 </w:t>
      </w:r>
      <w:r>
        <w:rPr>
          <w:rFonts w:hint="eastAsia" w:cs="宋体"/>
          <w:color w:val="auto"/>
          <w:highlight w:val="none"/>
        </w:rPr>
        <w:t>份，乙方</w:t>
      </w:r>
      <w:r>
        <w:rPr>
          <w:rFonts w:hint="eastAsia" w:cs="宋体"/>
          <w:color w:val="auto"/>
          <w:highlight w:val="none"/>
          <w:u w:val="single"/>
        </w:rPr>
        <w:t xml:space="preserve"> 四 </w:t>
      </w:r>
      <w:r>
        <w:rPr>
          <w:rFonts w:hint="eastAsia" w:cs="宋体"/>
          <w:color w:val="auto"/>
          <w:highlight w:val="none"/>
        </w:rPr>
        <w:t>份，具有同等法律效力。</w:t>
      </w:r>
    </w:p>
    <w:p>
      <w:pPr>
        <w:pStyle w:val="9"/>
        <w:spacing w:line="360" w:lineRule="auto"/>
        <w:ind w:firstLine="570"/>
        <w:rPr>
          <w:rFonts w:hint="eastAsia" w:cs="宋体"/>
          <w:color w:val="auto"/>
          <w:highlight w:val="none"/>
        </w:rPr>
      </w:pPr>
      <w:r>
        <w:rPr>
          <w:rFonts w:hint="eastAsia" w:cs="宋体"/>
          <w:b/>
          <w:bCs/>
          <w:color w:val="auto"/>
          <w:highlight w:val="none"/>
        </w:rPr>
        <w:t>第十七条</w:t>
      </w:r>
      <w:r>
        <w:rPr>
          <w:color w:val="auto"/>
          <w:highlight w:val="none"/>
        </w:rPr>
        <w:t xml:space="preserve"> </w:t>
      </w:r>
      <w:r>
        <w:rPr>
          <w:rFonts w:hint="eastAsia" w:cs="宋体"/>
          <w:color w:val="auto"/>
          <w:highlight w:val="none"/>
        </w:rPr>
        <w:t>本合同经双方签字盖章后生效，双方合同义务完成后失效。</w:t>
      </w:r>
    </w:p>
    <w:p>
      <w:pPr>
        <w:pStyle w:val="9"/>
        <w:spacing w:line="360" w:lineRule="auto"/>
        <w:ind w:firstLine="570"/>
        <w:rPr>
          <w:rFonts w:hint="default" w:cs="宋体" w:eastAsiaTheme="minorEastAsia"/>
          <w:color w:val="auto"/>
          <w:highlight w:val="none"/>
          <w:lang w:val="en-US" w:eastAsia="zh-CN"/>
        </w:rPr>
      </w:pPr>
      <w:r>
        <w:rPr>
          <w:rFonts w:hint="eastAsia" w:cs="宋体"/>
          <w:color w:val="auto"/>
          <w:highlight w:val="none"/>
          <w:lang w:val="en-US" w:eastAsia="zh-CN"/>
        </w:rPr>
        <w:t>附件：廉政合同</w:t>
      </w:r>
    </w:p>
    <w:p>
      <w:pPr>
        <w:pStyle w:val="9"/>
        <w:spacing w:line="360" w:lineRule="auto"/>
        <w:ind w:firstLine="570"/>
        <w:rPr>
          <w:rFonts w:cs="宋体"/>
          <w:color w:val="auto"/>
          <w:highlight w:val="none"/>
        </w:rPr>
      </w:pPr>
      <w:r>
        <w:rPr>
          <w:rFonts w:hint="eastAsia" w:cs="宋体"/>
          <w:color w:val="auto"/>
          <w:highlight w:val="none"/>
        </w:rPr>
        <w:t>（以下无正文）</w:t>
      </w:r>
    </w:p>
    <w:p>
      <w:pPr>
        <w:pStyle w:val="9"/>
        <w:spacing w:line="360" w:lineRule="auto"/>
        <w:rPr>
          <w:rFonts w:cs="宋体"/>
          <w:color w:val="auto"/>
          <w:highlight w:val="none"/>
        </w:rPr>
      </w:pPr>
    </w:p>
    <w:p>
      <w:pPr>
        <w:pStyle w:val="9"/>
        <w:spacing w:line="360" w:lineRule="auto"/>
        <w:jc w:val="left"/>
        <w:rPr>
          <w:rFonts w:cs="宋体"/>
          <w:color w:val="auto"/>
          <w:highlight w:val="none"/>
        </w:rPr>
      </w:pPr>
      <w:r>
        <w:rPr>
          <w:rFonts w:hint="eastAsia" w:cs="宋体"/>
          <w:color w:val="auto"/>
          <w:highlight w:val="none"/>
        </w:rPr>
        <w:t xml:space="preserve">甲方（盖章）： </w:t>
      </w:r>
      <w:r>
        <w:rPr>
          <w:rFonts w:cs="宋体"/>
          <w:color w:val="auto"/>
          <w:highlight w:val="none"/>
        </w:rPr>
        <w:t xml:space="preserve">                     </w:t>
      </w:r>
      <w:r>
        <w:rPr>
          <w:rFonts w:hint="eastAsia" w:cs="宋体"/>
          <w:color w:val="auto"/>
          <w:highlight w:val="none"/>
        </w:rPr>
        <w:t xml:space="preserve">乙方（盖章）： </w:t>
      </w:r>
      <w:r>
        <w:rPr>
          <w:rFonts w:cs="宋体"/>
          <w:color w:val="auto"/>
          <w:highlight w:val="none"/>
        </w:rPr>
        <w:t xml:space="preserve"> </w:t>
      </w:r>
    </w:p>
    <w:p>
      <w:pPr>
        <w:pStyle w:val="9"/>
        <w:spacing w:line="360" w:lineRule="auto"/>
        <w:ind w:left="4760" w:hanging="4760" w:hangingChars="1700"/>
        <w:jc w:val="left"/>
        <w:rPr>
          <w:color w:val="auto"/>
          <w:highlight w:val="none"/>
        </w:rPr>
      </w:pPr>
      <w:r>
        <w:rPr>
          <w:rFonts w:cs="宋体"/>
          <w:color w:val="auto"/>
          <w:highlight w:val="none"/>
        </w:rPr>
        <w:t xml:space="preserve">                 </w:t>
      </w:r>
      <w:r>
        <w:rPr>
          <w:rFonts w:hint="eastAsia" w:cs="宋体"/>
          <w:color w:val="auto"/>
          <w:highlight w:val="none"/>
        </w:rPr>
        <w:t xml:space="preserve">                           </w:t>
      </w:r>
    </w:p>
    <w:p>
      <w:pPr>
        <w:pStyle w:val="9"/>
        <w:spacing w:before="240" w:line="360" w:lineRule="auto"/>
        <w:rPr>
          <w:rFonts w:cs="宋体"/>
          <w:color w:val="auto"/>
          <w:highlight w:val="none"/>
        </w:rPr>
      </w:pPr>
      <w:r>
        <w:rPr>
          <w:rFonts w:hint="eastAsia" w:cs="宋体"/>
          <w:color w:val="auto"/>
          <w:highlight w:val="none"/>
        </w:rPr>
        <w:t>法定代表人（签名或盖章）：</w:t>
      </w:r>
      <w:r>
        <w:rPr>
          <w:color w:val="auto"/>
          <w:highlight w:val="none"/>
        </w:rPr>
        <w:t xml:space="preserve">   </w:t>
      </w:r>
      <w:r>
        <w:rPr>
          <w:rFonts w:hint="eastAsia" w:cs="宋体"/>
          <w:color w:val="auto"/>
          <w:highlight w:val="none"/>
        </w:rPr>
        <w:t xml:space="preserve"> </w:t>
      </w:r>
      <w:r>
        <w:rPr>
          <w:rFonts w:cs="宋体"/>
          <w:color w:val="auto"/>
          <w:highlight w:val="none"/>
        </w:rPr>
        <w:t xml:space="preserve"> </w:t>
      </w:r>
      <w:r>
        <w:rPr>
          <w:rFonts w:hint="eastAsia" w:cs="宋体"/>
          <w:color w:val="auto"/>
          <w:highlight w:val="none"/>
        </w:rPr>
        <w:t xml:space="preserve">     法定代表人（签名或盖章）： </w:t>
      </w:r>
    </w:p>
    <w:p>
      <w:pPr>
        <w:pStyle w:val="9"/>
        <w:spacing w:before="240" w:line="360" w:lineRule="auto"/>
        <w:rPr>
          <w:rFonts w:cs="宋体"/>
          <w:color w:val="auto"/>
          <w:highlight w:val="none"/>
        </w:rPr>
      </w:pPr>
      <w:r>
        <w:rPr>
          <w:rFonts w:hint="eastAsia" w:cs="宋体"/>
          <w:color w:val="auto"/>
          <w:highlight w:val="none"/>
        </w:rPr>
        <w:t xml:space="preserve"> </w:t>
      </w:r>
      <w:r>
        <w:rPr>
          <w:rFonts w:cs="宋体"/>
          <w:color w:val="auto"/>
          <w:highlight w:val="none"/>
        </w:rPr>
        <w:t xml:space="preserve">  </w:t>
      </w:r>
    </w:p>
    <w:p>
      <w:pPr>
        <w:pStyle w:val="9"/>
        <w:spacing w:before="240" w:line="360" w:lineRule="auto"/>
        <w:rPr>
          <w:rFonts w:cs="宋体"/>
          <w:color w:val="auto"/>
          <w:highlight w:val="none"/>
        </w:rPr>
      </w:pPr>
      <w:r>
        <w:rPr>
          <w:rFonts w:hint="eastAsia" w:cs="宋体"/>
          <w:color w:val="auto"/>
          <w:highlight w:val="none"/>
        </w:rPr>
        <w:t>代理人：                            代理人：</w:t>
      </w:r>
    </w:p>
    <w:p>
      <w:pPr>
        <w:pStyle w:val="9"/>
        <w:spacing w:before="240" w:line="360" w:lineRule="auto"/>
        <w:rPr>
          <w:rFonts w:cs="宋体"/>
          <w:color w:val="auto"/>
          <w:highlight w:val="none"/>
        </w:rPr>
      </w:pPr>
      <w:r>
        <w:rPr>
          <w:rFonts w:hint="eastAsia" w:cs="宋体"/>
          <w:color w:val="auto"/>
          <w:highlight w:val="none"/>
        </w:rPr>
        <w:t>联系电话：                          联系电话：</w:t>
      </w:r>
    </w:p>
    <w:p>
      <w:pPr>
        <w:pStyle w:val="9"/>
        <w:spacing w:before="240" w:line="360" w:lineRule="auto"/>
        <w:rPr>
          <w:rFonts w:cs="宋体"/>
          <w:color w:val="auto"/>
          <w:highlight w:val="none"/>
        </w:rPr>
      </w:pPr>
      <w:r>
        <w:rPr>
          <w:rFonts w:hint="eastAsia" w:cs="宋体"/>
          <w:color w:val="auto"/>
          <w:highlight w:val="none"/>
        </w:rPr>
        <w:t>地址：                              地址：</w:t>
      </w:r>
    </w:p>
    <w:p>
      <w:pPr>
        <w:pStyle w:val="9"/>
        <w:spacing w:before="240" w:line="360" w:lineRule="auto"/>
        <w:rPr>
          <w:rFonts w:hint="eastAsia" w:cs="宋体"/>
          <w:color w:val="auto"/>
          <w:highlight w:val="none"/>
        </w:rPr>
      </w:pPr>
      <w:r>
        <w:rPr>
          <w:rFonts w:hint="eastAsia" w:cs="宋体"/>
          <w:color w:val="auto"/>
          <w:highlight w:val="none"/>
        </w:rPr>
        <w:t>时间</w:t>
      </w:r>
      <w:r>
        <w:rPr>
          <w:rFonts w:cs="宋体"/>
          <w:color w:val="auto"/>
          <w:highlight w:val="none"/>
        </w:rPr>
        <w:t>：202</w:t>
      </w:r>
      <w:r>
        <w:rPr>
          <w:rFonts w:hint="eastAsia" w:cs="宋体"/>
          <w:color w:val="auto"/>
          <w:highlight w:val="none"/>
        </w:rPr>
        <w:t>2年  月</w:t>
      </w:r>
      <w:r>
        <w:rPr>
          <w:rFonts w:cs="宋体"/>
          <w:color w:val="auto"/>
          <w:highlight w:val="none"/>
        </w:rPr>
        <w:t xml:space="preserve">  </w:t>
      </w:r>
      <w:r>
        <w:rPr>
          <w:rFonts w:hint="eastAsia" w:cs="宋体"/>
          <w:color w:val="auto"/>
          <w:highlight w:val="none"/>
        </w:rPr>
        <w:t xml:space="preserve">日 </w:t>
      </w:r>
      <w:r>
        <w:rPr>
          <w:rFonts w:cs="宋体"/>
          <w:color w:val="auto"/>
          <w:highlight w:val="none"/>
        </w:rPr>
        <w:t xml:space="preserve">         </w:t>
      </w:r>
      <w:r>
        <w:rPr>
          <w:rFonts w:hint="eastAsia" w:cs="宋体"/>
          <w:color w:val="auto"/>
          <w:highlight w:val="none"/>
        </w:rPr>
        <w:t xml:space="preserve">     时间</w:t>
      </w:r>
      <w:r>
        <w:rPr>
          <w:rFonts w:cs="宋体"/>
          <w:color w:val="auto"/>
          <w:highlight w:val="none"/>
        </w:rPr>
        <w:t>：202</w:t>
      </w:r>
      <w:r>
        <w:rPr>
          <w:rFonts w:hint="eastAsia" w:cs="宋体"/>
          <w:color w:val="auto"/>
          <w:highlight w:val="none"/>
        </w:rPr>
        <w:t>2年   月   日</w:t>
      </w:r>
    </w:p>
    <w:p>
      <w:pPr>
        <w:pStyle w:val="9"/>
        <w:spacing w:before="240" w:line="360" w:lineRule="auto"/>
        <w:rPr>
          <w:rFonts w:hint="eastAsia" w:cs="宋体"/>
          <w:color w:val="auto"/>
          <w:highlight w:val="none"/>
        </w:rPr>
      </w:pPr>
    </w:p>
    <w:p>
      <w:pPr>
        <w:rPr>
          <w:rFonts w:hint="eastAsia" w:ascii="宋体" w:hAnsi="宋体"/>
          <w:b w:val="0"/>
          <w:color w:val="auto"/>
          <w:sz w:val="36"/>
          <w:szCs w:val="36"/>
          <w:highlight w:val="none"/>
        </w:rPr>
      </w:pPr>
      <w:r>
        <w:rPr>
          <w:rFonts w:hint="eastAsia" w:ascii="宋体" w:hAnsi="宋体"/>
          <w:b w:val="0"/>
          <w:color w:val="auto"/>
          <w:sz w:val="36"/>
          <w:szCs w:val="36"/>
          <w:highlight w:val="none"/>
        </w:rPr>
        <w:br w:type="page"/>
      </w:r>
    </w:p>
    <w:p>
      <w:pPr>
        <w:pStyle w:val="4"/>
        <w:keepNext w:val="0"/>
        <w:keepLines w:val="0"/>
        <w:spacing w:before="100" w:beforeAutospacing="1" w:after="100" w:afterAutospacing="1" w:line="360" w:lineRule="auto"/>
        <w:jc w:val="center"/>
        <w:rPr>
          <w:rFonts w:ascii="仿宋_GB2312" w:eastAsia="仿宋_GB2312"/>
          <w:color w:val="auto"/>
          <w:highlight w:val="none"/>
        </w:rPr>
      </w:pPr>
      <w:r>
        <w:rPr>
          <w:rFonts w:hint="eastAsia" w:ascii="宋体" w:hAnsi="宋体"/>
          <w:b w:val="0"/>
          <w:color w:val="auto"/>
          <w:sz w:val="36"/>
          <w:szCs w:val="36"/>
          <w:highlight w:val="none"/>
        </w:rPr>
        <w:t>廉 政 合 同</w:t>
      </w:r>
    </w:p>
    <w:p>
      <w:pPr>
        <w:spacing w:line="360" w:lineRule="auto"/>
        <w:jc w:val="left"/>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rPr>
        <w:t>甲方：</w:t>
      </w:r>
      <w:r>
        <w:rPr>
          <w:rFonts w:hint="eastAsia" w:ascii="宋体" w:hAnsi="宋体" w:cs="宋体"/>
          <w:color w:val="auto"/>
          <w:kern w:val="0"/>
          <w:sz w:val="28"/>
          <w:szCs w:val="28"/>
          <w:highlight w:val="none"/>
          <w:u w:val="single"/>
          <w:lang w:val="zh-CN"/>
        </w:rPr>
        <w:t>广州市荔湾区</w:t>
      </w:r>
      <w:r>
        <w:rPr>
          <w:rFonts w:hint="eastAsia" w:ascii="宋体" w:hAnsi="宋体" w:cs="宋体"/>
          <w:color w:val="auto"/>
          <w:kern w:val="0"/>
          <w:sz w:val="28"/>
          <w:szCs w:val="28"/>
          <w:highlight w:val="none"/>
          <w:u w:val="single"/>
        </w:rPr>
        <w:t>城市更新建设项目管理中心</w:t>
      </w:r>
    </w:p>
    <w:p>
      <w:pPr>
        <w:spacing w:line="360" w:lineRule="auto"/>
        <w:jc w:val="left"/>
        <w:rPr>
          <w:rFonts w:hint="default" w:ascii="宋体" w:hAnsi="宋体" w:eastAsia="宋体" w:cs="宋体"/>
          <w:color w:val="auto"/>
          <w:kern w:val="0"/>
          <w:sz w:val="28"/>
          <w:szCs w:val="28"/>
          <w:highlight w:val="none"/>
          <w:u w:val="single"/>
          <w:lang w:val="en-US" w:eastAsia="zh-CN"/>
        </w:rPr>
      </w:pPr>
      <w:r>
        <w:rPr>
          <w:rFonts w:hint="eastAsia" w:ascii="宋体" w:hAnsi="宋体" w:cs="宋体"/>
          <w:color w:val="auto"/>
          <w:kern w:val="0"/>
          <w:sz w:val="28"/>
          <w:szCs w:val="28"/>
          <w:highlight w:val="none"/>
          <w:lang w:val="zh-CN"/>
        </w:rPr>
        <w:t>乙方：</w:t>
      </w:r>
      <w:r>
        <w:rPr>
          <w:rFonts w:hint="eastAsia" w:ascii="宋体" w:hAnsi="宋体" w:cs="宋体"/>
          <w:color w:val="auto"/>
          <w:kern w:val="0"/>
          <w:sz w:val="28"/>
          <w:szCs w:val="28"/>
          <w:highlight w:val="none"/>
          <w:u w:val="single"/>
          <w:lang w:val="en-US" w:eastAsia="zh-CN"/>
        </w:rPr>
        <w:t xml:space="preserve">                                    </w:t>
      </w:r>
    </w:p>
    <w:p>
      <w:pPr>
        <w:spacing w:line="360" w:lineRule="auto"/>
        <w:ind w:firstLine="560" w:firstLineChars="200"/>
        <w:jc w:val="left"/>
        <w:rPr>
          <w:rFonts w:ascii="宋体" w:hAnsi="宋体"/>
          <w:color w:val="auto"/>
          <w:sz w:val="28"/>
          <w:szCs w:val="28"/>
          <w:highlight w:val="none"/>
        </w:rPr>
      </w:pPr>
      <w:r>
        <w:rPr>
          <w:rFonts w:hint="eastAsia" w:ascii="宋体" w:hAnsi="宋体" w:cs="宋体"/>
          <w:color w:val="auto"/>
          <w:kern w:val="0"/>
          <w:sz w:val="28"/>
          <w:szCs w:val="28"/>
          <w:highlight w:val="none"/>
          <w:lang w:val="zh-CN"/>
        </w:rPr>
        <w:t>根据国家、省有关廉政建设的规定，为做好合同工程的廉政建设，保证工程质量与施工安全，提高建设资金的有效使用和投资效益，合同双方当事人就加强合同工程的廉政建设，订立本合同</w:t>
      </w:r>
      <w:r>
        <w:rPr>
          <w:rFonts w:hint="eastAsia" w:ascii="宋体" w:hAnsi="宋体"/>
          <w:color w:val="auto"/>
          <w:sz w:val="28"/>
          <w:szCs w:val="28"/>
          <w:highlight w:val="none"/>
        </w:rPr>
        <w:t>。</w:t>
      </w:r>
    </w:p>
    <w:p>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1  双方权利和义务</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1.1  严格遵守国家、省有关法律法规的规定。</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1.2  严格执行合同工程一切合同文件，自觉按合同办事。</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1.3  </w:t>
      </w:r>
      <w:r>
        <w:rPr>
          <w:rFonts w:hint="eastAsia" w:ascii="宋体" w:hAnsi="宋体" w:cs="宋体"/>
          <w:color w:val="auto"/>
          <w:kern w:val="0"/>
          <w:sz w:val="28"/>
          <w:szCs w:val="28"/>
          <w:highlight w:val="none"/>
          <w:lang w:val="zh-CN"/>
        </w:rPr>
        <w:t>合同双方当事人的业务活动应坚持公平、公开、公正和诚信的原则（法律认定的商业</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秘密和合同文件另有规定除外），不得损害国家和集体利益，不得违反工程建设管理规章制度</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1.4  建立健全廉政制度，开展廉政教育，设立廉政告示牌，公布举报电话，监督并认真查处违法违纪行为。</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1.5  发现对方在业务活动中有违反廉政建设规定的行为，应及时给予提醒和纠正。</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1.6  发现对方严重违反合同的行为，有向其上级部门举报、建议给予处理并要求告知处理结果的权利。</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1.6  发现对方严重违反合同的行为，有向其上级部门举报、建议给予处理并要求告知处理结果的权利。</w:t>
      </w:r>
    </w:p>
    <w:p>
      <w:pPr>
        <w:spacing w:line="360" w:lineRule="auto"/>
        <w:ind w:firstLine="562" w:firstLineChars="200"/>
        <w:jc w:val="left"/>
        <w:rPr>
          <w:rFonts w:ascii="宋体" w:hAnsi="宋体"/>
          <w:b/>
          <w:bCs/>
          <w:color w:val="auto"/>
          <w:sz w:val="28"/>
          <w:szCs w:val="28"/>
          <w:highlight w:val="none"/>
        </w:rPr>
      </w:pPr>
      <w:r>
        <w:rPr>
          <w:rFonts w:hint="eastAsia" w:ascii="宋体" w:hAnsi="宋体"/>
          <w:b/>
          <w:bCs/>
          <w:color w:val="auto"/>
          <w:sz w:val="28"/>
          <w:szCs w:val="28"/>
          <w:highlight w:val="none"/>
        </w:rPr>
        <w:t>2  甲方义务</w:t>
      </w:r>
    </w:p>
    <w:p>
      <w:pPr>
        <w:spacing w:line="360" w:lineRule="auto"/>
        <w:ind w:firstLine="560" w:firstLineChars="200"/>
        <w:jc w:val="left"/>
        <w:rPr>
          <w:rFonts w:ascii="宋体" w:hAnsi="宋体"/>
          <w:color w:val="auto"/>
          <w:sz w:val="28"/>
          <w:szCs w:val="28"/>
          <w:highlight w:val="none"/>
        </w:rPr>
      </w:pPr>
      <w:r>
        <w:rPr>
          <w:rFonts w:hint="eastAsia" w:ascii="宋体" w:hAnsi="宋体"/>
          <w:color w:val="auto"/>
          <w:sz w:val="28"/>
          <w:szCs w:val="28"/>
          <w:highlight w:val="none"/>
        </w:rPr>
        <w:t>2.1  甲方及其工作人员不得索要或接受乙方的礼金、有价证券和贵重物品，不得在乙方报销任何应由甲方或工作人员个人支付的费用等。</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2.2  甲方及其工作人员不得接受乙方安排的包括工作餐在内的任何宴请，不得参与乙方安排的KTV、打高尔夫、出入私人会所等任何娱乐活动；不得接受乙方提供的通讯工具、交通工具和高档办公用品等。 </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2.3  甲方及其工作人员不得要求或者接受乙方为其住房装修、婚丧嫁娶活动、配偶子女的工作安排以及出国出境、旅游等提供方便等。</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2.4 甲方</w:t>
      </w:r>
      <w:r>
        <w:rPr>
          <w:rFonts w:hint="eastAsia" w:ascii="宋体" w:hAnsi="宋体" w:cs="宋体"/>
          <w:color w:val="auto"/>
          <w:kern w:val="0"/>
          <w:sz w:val="28"/>
          <w:szCs w:val="28"/>
          <w:highlight w:val="none"/>
          <w:lang w:val="zh-CN"/>
        </w:rPr>
        <w:t>及其工作人员要秉公办事，不准营私舞弊，不准利用职权私自为合同工程安排施工队伍，也不得从事与合同工程有关的各种有偿中介活动</w:t>
      </w:r>
      <w:r>
        <w:rPr>
          <w:rFonts w:hint="eastAsia" w:ascii="宋体" w:hAnsi="宋体"/>
          <w:color w:val="auto"/>
          <w:sz w:val="28"/>
          <w:szCs w:val="28"/>
          <w:highlight w:val="none"/>
        </w:rPr>
        <w:t>。</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2.5  甲方</w:t>
      </w:r>
      <w:r>
        <w:rPr>
          <w:rFonts w:hint="eastAsia" w:ascii="宋体" w:hAnsi="宋体" w:cs="宋体"/>
          <w:color w:val="auto"/>
          <w:kern w:val="0"/>
          <w:sz w:val="28"/>
          <w:szCs w:val="28"/>
          <w:highlight w:val="none"/>
          <w:lang w:val="zh-CN"/>
        </w:rPr>
        <w:t>及其工作人员（含其配偶、子女）不得从事与合同工程有关的材料和工程设备供应、工程分包、劳务等经济活动</w:t>
      </w:r>
      <w:r>
        <w:rPr>
          <w:rFonts w:hint="eastAsia" w:ascii="宋体" w:hAnsi="宋体"/>
          <w:color w:val="auto"/>
          <w:sz w:val="28"/>
          <w:szCs w:val="28"/>
          <w:highlight w:val="none"/>
        </w:rPr>
        <w:t>。</w:t>
      </w:r>
    </w:p>
    <w:p>
      <w:pPr>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  乙方义务</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3.1  乙方不得以任何理由向甲方及其工作人员行贿或馈赠礼金、有价证券、贵重礼品。</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3.2  乙方不得以任何名义为甲方及其工作人员报销应由甲方或工作人员个人支付的任何费用。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3.3  乙方不得以任何理由安排甲方及其工作人员参加宴请及娱乐活动。</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3.4  乙方不得为甲方和个人购置或提供通讯工具、交通工具和高档办公用品等。</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3.5  乙方</w:t>
      </w:r>
      <w:r>
        <w:rPr>
          <w:rFonts w:hint="eastAsia" w:ascii="宋体" w:hAnsi="宋体" w:cs="宋体"/>
          <w:color w:val="auto"/>
          <w:kern w:val="0"/>
          <w:sz w:val="28"/>
          <w:szCs w:val="28"/>
          <w:highlight w:val="none"/>
          <w:lang w:val="zh-CN"/>
        </w:rPr>
        <w:t>不得为</w:t>
      </w:r>
      <w:r>
        <w:rPr>
          <w:rFonts w:hint="eastAsia" w:ascii="宋体" w:hAnsi="宋体"/>
          <w:color w:val="auto"/>
          <w:sz w:val="28"/>
          <w:szCs w:val="28"/>
          <w:highlight w:val="none"/>
        </w:rPr>
        <w:t>甲方</w:t>
      </w:r>
      <w:r>
        <w:rPr>
          <w:rFonts w:hint="eastAsia" w:ascii="宋体" w:hAnsi="宋体" w:cs="宋体"/>
          <w:color w:val="auto"/>
          <w:kern w:val="0"/>
          <w:sz w:val="28"/>
          <w:szCs w:val="28"/>
          <w:highlight w:val="none"/>
          <w:lang w:val="zh-CN"/>
        </w:rPr>
        <w:t>及其工作人员的住房装修、婚丧嫁娶活动、配偶子女工作安排以及出国出境、旅游等提供方便。</w:t>
      </w:r>
    </w:p>
    <w:p>
      <w:pPr>
        <w:tabs>
          <w:tab w:val="left" w:pos="900"/>
        </w:tabs>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4  违约责任</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4.1  甲方及其工作人员违反本合同第1条和第2条规定，应依据有关规定给予廉政建设规定的处分；涉嫌犯罪的，移交司法机关追究刑事责任；给甲方造成经济损失的，应予赔偿。</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4.2  乙方</w:t>
      </w:r>
      <w:r>
        <w:rPr>
          <w:rFonts w:hint="eastAsia" w:ascii="宋体" w:hAnsi="宋体" w:cs="宋体"/>
          <w:color w:val="auto"/>
          <w:kern w:val="0"/>
          <w:sz w:val="28"/>
          <w:szCs w:val="28"/>
          <w:highlight w:val="none"/>
          <w:lang w:val="zh-CN"/>
        </w:rPr>
        <w:t>及其工作人员违反本合同第</w:t>
      </w:r>
      <w:r>
        <w:rPr>
          <w:rFonts w:ascii="宋体" w:hAnsi="宋体"/>
          <w:color w:val="auto"/>
          <w:kern w:val="0"/>
          <w:sz w:val="28"/>
          <w:szCs w:val="28"/>
          <w:highlight w:val="none"/>
        </w:rPr>
        <w:t xml:space="preserve"> 1</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条和第</w:t>
      </w:r>
      <w:r>
        <w:rPr>
          <w:rFonts w:ascii="宋体" w:hAnsi="宋体"/>
          <w:color w:val="auto"/>
          <w:kern w:val="0"/>
          <w:sz w:val="28"/>
          <w:szCs w:val="28"/>
          <w:highlight w:val="none"/>
        </w:rPr>
        <w:t xml:space="preserve"> 3</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条规定，应按照廉政建设的有关规定给予处分；情节严重的，给予</w:t>
      </w:r>
      <w:r>
        <w:rPr>
          <w:rFonts w:hint="eastAsia" w:ascii="宋体" w:hAnsi="宋体"/>
          <w:color w:val="auto"/>
          <w:sz w:val="28"/>
          <w:szCs w:val="28"/>
          <w:highlight w:val="none"/>
        </w:rPr>
        <w:t>乙方</w:t>
      </w:r>
      <w:r>
        <w:rPr>
          <w:rFonts w:ascii="宋体" w:hAnsi="宋体" w:cs="Arial"/>
          <w:color w:val="auto"/>
          <w:kern w:val="0"/>
          <w:sz w:val="28"/>
          <w:szCs w:val="28"/>
          <w:highlight w:val="none"/>
        </w:rPr>
        <w:t xml:space="preserve"> 1</w:t>
      </w:r>
      <w:r>
        <w:rPr>
          <w:rFonts w:hint="eastAsia" w:ascii="宋体" w:hAnsi="宋体" w:cs="宋体"/>
          <w:color w:val="auto"/>
          <w:kern w:val="0"/>
          <w:sz w:val="28"/>
          <w:szCs w:val="28"/>
          <w:highlight w:val="none"/>
          <w:lang w:val="zh-CN"/>
        </w:rPr>
        <w:t>～</w:t>
      </w:r>
      <w:r>
        <w:rPr>
          <w:rFonts w:ascii="宋体" w:hAnsi="宋体"/>
          <w:color w:val="auto"/>
          <w:kern w:val="0"/>
          <w:sz w:val="28"/>
          <w:szCs w:val="28"/>
          <w:highlight w:val="none"/>
        </w:rPr>
        <w:t>3</w:t>
      </w:r>
      <w:r>
        <w:rPr>
          <w:rFonts w:ascii="宋体" w:hAnsi="宋体" w:cs="Arial"/>
          <w:color w:val="auto"/>
          <w:kern w:val="0"/>
          <w:sz w:val="28"/>
          <w:szCs w:val="28"/>
          <w:highlight w:val="none"/>
        </w:rPr>
        <w:t xml:space="preserve"> </w:t>
      </w:r>
      <w:r>
        <w:rPr>
          <w:rFonts w:hint="eastAsia" w:ascii="宋体" w:hAnsi="宋体" w:cs="宋体"/>
          <w:color w:val="auto"/>
          <w:kern w:val="0"/>
          <w:sz w:val="28"/>
          <w:szCs w:val="28"/>
          <w:highlight w:val="none"/>
          <w:lang w:val="zh-CN"/>
        </w:rPr>
        <w:t>年内不得进入工程建设市场的处罚；涉嫌犯罪的，移交司法机关追究刑事责任；给</w:t>
      </w:r>
      <w:r>
        <w:rPr>
          <w:rFonts w:hint="eastAsia" w:ascii="宋体" w:hAnsi="宋体"/>
          <w:color w:val="auto"/>
          <w:sz w:val="28"/>
          <w:szCs w:val="28"/>
          <w:highlight w:val="none"/>
        </w:rPr>
        <w:t>甲方</w:t>
      </w:r>
      <w:r>
        <w:rPr>
          <w:rFonts w:hint="eastAsia" w:ascii="宋体" w:hAnsi="宋体" w:cs="宋体"/>
          <w:color w:val="auto"/>
          <w:kern w:val="0"/>
          <w:sz w:val="28"/>
          <w:szCs w:val="28"/>
          <w:highlight w:val="none"/>
          <w:lang w:val="zh-CN"/>
        </w:rPr>
        <w:t>造成损失的，应予赔偿；</w:t>
      </w:r>
    </w:p>
    <w:p>
      <w:pPr>
        <w:widowControl/>
        <w:numPr>
          <w:ilvl w:val="0"/>
          <w:numId w:val="4"/>
        </w:numPr>
        <w:spacing w:line="360" w:lineRule="auto"/>
        <w:jc w:val="left"/>
        <w:rPr>
          <w:rFonts w:ascii="宋体" w:hAnsi="宋体"/>
          <w:b/>
          <w:bCs/>
          <w:color w:val="auto"/>
          <w:sz w:val="28"/>
          <w:szCs w:val="28"/>
          <w:highlight w:val="none"/>
        </w:rPr>
      </w:pPr>
      <w:r>
        <w:rPr>
          <w:rFonts w:hint="eastAsia" w:ascii="宋体" w:hAnsi="宋体"/>
          <w:b/>
          <w:bCs/>
          <w:color w:val="auto"/>
          <w:sz w:val="28"/>
          <w:szCs w:val="28"/>
          <w:highlight w:val="none"/>
        </w:rPr>
        <w:t>双方约定</w:t>
      </w:r>
    </w:p>
    <w:p>
      <w:pPr>
        <w:spacing w:line="360" w:lineRule="auto"/>
        <w:ind w:firstLine="560" w:firstLineChars="200"/>
        <w:rPr>
          <w:rFonts w:hint="eastAsia" w:ascii="宋体" w:hAnsi="宋体" w:cs="宋体"/>
          <w:color w:val="auto"/>
          <w:kern w:val="0"/>
          <w:sz w:val="28"/>
          <w:szCs w:val="28"/>
          <w:highlight w:val="none"/>
          <w:lang w:val="zh-CN"/>
        </w:rPr>
      </w:pPr>
      <w:r>
        <w:rPr>
          <w:rFonts w:hint="eastAsia" w:ascii="宋体" w:hAnsi="宋体" w:cs="宋体"/>
          <w:color w:val="auto"/>
          <w:kern w:val="0"/>
          <w:sz w:val="28"/>
          <w:szCs w:val="28"/>
          <w:highlight w:val="none"/>
          <w:lang w:val="zh-CN"/>
        </w:rPr>
        <w:t>本合同由合同双方当事人或其上级部门负责监督执行，并由合同双方当事人或其上级部门相互约请对本合同执行情况进行检查。</w:t>
      </w:r>
    </w:p>
    <w:p>
      <w:pPr>
        <w:spacing w:line="360" w:lineRule="auto"/>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6  合同法律效力</w:t>
      </w:r>
    </w:p>
    <w:p>
      <w:pPr>
        <w:spacing w:line="360" w:lineRule="auto"/>
        <w:ind w:firstLine="560" w:firstLineChars="200"/>
        <w:rPr>
          <w:rFonts w:ascii="宋体" w:hAnsi="宋体"/>
          <w:color w:val="auto"/>
          <w:sz w:val="28"/>
          <w:szCs w:val="28"/>
          <w:highlight w:val="none"/>
        </w:rPr>
      </w:pPr>
      <w:r>
        <w:rPr>
          <w:rFonts w:hint="eastAsia" w:ascii="宋体" w:hAnsi="宋体"/>
          <w:color w:val="auto"/>
          <w:sz w:val="28"/>
          <w:szCs w:val="28"/>
          <w:highlight w:val="none"/>
        </w:rPr>
        <w:t>本合同作为</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合同的附件，与</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合同具有同等的法律效力。</w:t>
      </w:r>
    </w:p>
    <w:p>
      <w:pPr>
        <w:spacing w:line="360" w:lineRule="auto"/>
        <w:ind w:firstLine="551" w:firstLineChars="196"/>
        <w:rPr>
          <w:rFonts w:ascii="宋体" w:hAnsi="宋体"/>
          <w:b/>
          <w:bCs/>
          <w:color w:val="auto"/>
          <w:sz w:val="28"/>
          <w:szCs w:val="28"/>
          <w:highlight w:val="none"/>
        </w:rPr>
      </w:pPr>
      <w:r>
        <w:rPr>
          <w:rFonts w:hint="eastAsia" w:ascii="宋体" w:hAnsi="宋体"/>
          <w:b/>
          <w:bCs/>
          <w:color w:val="auto"/>
          <w:sz w:val="28"/>
          <w:szCs w:val="28"/>
          <w:highlight w:val="none"/>
        </w:rPr>
        <w:t>7  合同份数</w:t>
      </w:r>
    </w:p>
    <w:p>
      <w:pPr>
        <w:spacing w:line="360" w:lineRule="auto"/>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本合同一式</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份，具有同等法律效力，甲方</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份、乙方</w:t>
      </w:r>
      <w:r>
        <w:rPr>
          <w:rFonts w:hint="eastAsia" w:ascii="宋体" w:hAnsi="宋体"/>
          <w:color w:val="auto"/>
          <w:sz w:val="28"/>
          <w:szCs w:val="28"/>
          <w:highlight w:val="none"/>
          <w:u w:val="single"/>
          <w:lang w:val="en-US" w:eastAsia="zh-CN"/>
        </w:rPr>
        <w:t xml:space="preserve">  </w:t>
      </w:r>
      <w:r>
        <w:rPr>
          <w:rFonts w:hint="eastAsia" w:ascii="宋体" w:hAnsi="宋体"/>
          <w:color w:val="auto"/>
          <w:sz w:val="28"/>
          <w:szCs w:val="28"/>
          <w:highlight w:val="none"/>
        </w:rPr>
        <w:t>份。</w:t>
      </w:r>
    </w:p>
    <w:p>
      <w:pPr>
        <w:rPr>
          <w:rFonts w:eastAsia="黑体" w:cs="黑体"/>
          <w:color w:val="auto"/>
          <w:sz w:val="28"/>
          <w:szCs w:val="28"/>
          <w:highlight w:val="none"/>
        </w:rPr>
      </w:pPr>
    </w:p>
    <w:p>
      <w:pPr>
        <w:pStyle w:val="2"/>
        <w:rPr>
          <w:rFonts w:asciiTheme="minorEastAsia" w:hAnsiTheme="minorEastAsia" w:cstheme="minorEastAsia"/>
          <w:color w:val="auto"/>
          <w:kern w:val="0"/>
          <w:sz w:val="24"/>
          <w:szCs w:val="24"/>
          <w:highlight w:val="none"/>
        </w:rPr>
      </w:pPr>
    </w:p>
    <w:sectPr>
      <w:headerReference r:id="rId10" w:type="default"/>
      <w:footerReference r:id="rId11" w:type="default"/>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FB0C3"/>
    <w:multiLevelType w:val="singleLevel"/>
    <w:tmpl w:val="FC4FB0C3"/>
    <w:lvl w:ilvl="0" w:tentative="0">
      <w:start w:val="1"/>
      <w:numFmt w:val="decimal"/>
      <w:suff w:val="space"/>
      <w:lvlText w:val="%1."/>
      <w:lvlJc w:val="left"/>
    </w:lvl>
  </w:abstractNum>
  <w:abstractNum w:abstractNumId="1">
    <w:nsid w:val="00000005"/>
    <w:multiLevelType w:val="multilevel"/>
    <w:tmpl w:val="00000005"/>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758728A"/>
    <w:multiLevelType w:val="multilevel"/>
    <w:tmpl w:val="3758728A"/>
    <w:lvl w:ilvl="0" w:tentative="0">
      <w:start w:val="1"/>
      <w:numFmt w:val="decimal"/>
      <w:lvlText w:val="%1."/>
      <w:lvlJc w:val="left"/>
      <w:pPr>
        <w:tabs>
          <w:tab w:val="left" w:pos="900"/>
        </w:tabs>
        <w:ind w:left="900" w:hanging="360"/>
      </w:pPr>
      <w:rPr>
        <w:rFonts w:hint="eastAsia"/>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756A3E45"/>
    <w:multiLevelType w:val="multilevel"/>
    <w:tmpl w:val="756A3E45"/>
    <w:lvl w:ilvl="0" w:tentative="0">
      <w:start w:val="1"/>
      <w:numFmt w:val="decimal"/>
      <w:lvlText w:val="%1."/>
      <w:lvlJc w:val="left"/>
      <w:pPr>
        <w:tabs>
          <w:tab w:val="left" w:pos="920"/>
        </w:tabs>
        <w:ind w:left="920" w:hanging="360"/>
      </w:pPr>
      <w:rPr>
        <w:rFonts w:hint="eastAsia"/>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4E2"/>
    <w:rsid w:val="00013D76"/>
    <w:rsid w:val="00025BEC"/>
    <w:rsid w:val="00036FE0"/>
    <w:rsid w:val="00097815"/>
    <w:rsid w:val="001467CD"/>
    <w:rsid w:val="00181193"/>
    <w:rsid w:val="0023632A"/>
    <w:rsid w:val="002429E5"/>
    <w:rsid w:val="002448B3"/>
    <w:rsid w:val="00255B1A"/>
    <w:rsid w:val="002840C3"/>
    <w:rsid w:val="002847C0"/>
    <w:rsid w:val="002D3C1D"/>
    <w:rsid w:val="00325A03"/>
    <w:rsid w:val="00332EB9"/>
    <w:rsid w:val="00374769"/>
    <w:rsid w:val="003773F0"/>
    <w:rsid w:val="003C157E"/>
    <w:rsid w:val="003C662C"/>
    <w:rsid w:val="0040200B"/>
    <w:rsid w:val="00412383"/>
    <w:rsid w:val="004374E2"/>
    <w:rsid w:val="004450AB"/>
    <w:rsid w:val="00470D19"/>
    <w:rsid w:val="004B25BE"/>
    <w:rsid w:val="00511464"/>
    <w:rsid w:val="005F0808"/>
    <w:rsid w:val="00644EBE"/>
    <w:rsid w:val="006906EC"/>
    <w:rsid w:val="006C1669"/>
    <w:rsid w:val="006C5C57"/>
    <w:rsid w:val="006D0289"/>
    <w:rsid w:val="006E6AE4"/>
    <w:rsid w:val="00765F15"/>
    <w:rsid w:val="00771D8A"/>
    <w:rsid w:val="007728EF"/>
    <w:rsid w:val="007C6BE7"/>
    <w:rsid w:val="0080554B"/>
    <w:rsid w:val="00816F72"/>
    <w:rsid w:val="00836F65"/>
    <w:rsid w:val="0084347A"/>
    <w:rsid w:val="00872258"/>
    <w:rsid w:val="008A07C9"/>
    <w:rsid w:val="008F5AE2"/>
    <w:rsid w:val="0093251F"/>
    <w:rsid w:val="0097315F"/>
    <w:rsid w:val="009B5A71"/>
    <w:rsid w:val="00A128C9"/>
    <w:rsid w:val="00A370AA"/>
    <w:rsid w:val="00A5582F"/>
    <w:rsid w:val="00A617C9"/>
    <w:rsid w:val="00AD3611"/>
    <w:rsid w:val="00B407A4"/>
    <w:rsid w:val="00B47675"/>
    <w:rsid w:val="00B618DF"/>
    <w:rsid w:val="00B62DD3"/>
    <w:rsid w:val="00BA4357"/>
    <w:rsid w:val="00BB2B31"/>
    <w:rsid w:val="00BD11FA"/>
    <w:rsid w:val="00BD6571"/>
    <w:rsid w:val="00C006AB"/>
    <w:rsid w:val="00C26BC1"/>
    <w:rsid w:val="00C615EF"/>
    <w:rsid w:val="00C6338E"/>
    <w:rsid w:val="00CA5B2C"/>
    <w:rsid w:val="00CB33EE"/>
    <w:rsid w:val="00CB78B2"/>
    <w:rsid w:val="00CE655D"/>
    <w:rsid w:val="00D31583"/>
    <w:rsid w:val="00D81202"/>
    <w:rsid w:val="00D93CDF"/>
    <w:rsid w:val="00DE45C0"/>
    <w:rsid w:val="00E057FB"/>
    <w:rsid w:val="00E32FA1"/>
    <w:rsid w:val="00E34A84"/>
    <w:rsid w:val="00E40EBD"/>
    <w:rsid w:val="00EA4005"/>
    <w:rsid w:val="00F12529"/>
    <w:rsid w:val="00F54B4B"/>
    <w:rsid w:val="00F7362A"/>
    <w:rsid w:val="00F976A8"/>
    <w:rsid w:val="010069CA"/>
    <w:rsid w:val="01060CCF"/>
    <w:rsid w:val="012F63DA"/>
    <w:rsid w:val="01690F31"/>
    <w:rsid w:val="01DC6802"/>
    <w:rsid w:val="01F8565E"/>
    <w:rsid w:val="021550C3"/>
    <w:rsid w:val="02675529"/>
    <w:rsid w:val="02A87009"/>
    <w:rsid w:val="02AB2ADA"/>
    <w:rsid w:val="02AE6B7F"/>
    <w:rsid w:val="02F74AE1"/>
    <w:rsid w:val="03A52562"/>
    <w:rsid w:val="03B149D1"/>
    <w:rsid w:val="03C8694E"/>
    <w:rsid w:val="03DF40AF"/>
    <w:rsid w:val="040B1ECB"/>
    <w:rsid w:val="043C59C6"/>
    <w:rsid w:val="046D457B"/>
    <w:rsid w:val="048F16DB"/>
    <w:rsid w:val="04A77446"/>
    <w:rsid w:val="04AF35B2"/>
    <w:rsid w:val="04B91DFD"/>
    <w:rsid w:val="04C375D3"/>
    <w:rsid w:val="04CF17D3"/>
    <w:rsid w:val="04EC44B8"/>
    <w:rsid w:val="04FF31FF"/>
    <w:rsid w:val="05032DF8"/>
    <w:rsid w:val="052A2FA1"/>
    <w:rsid w:val="05AF1F15"/>
    <w:rsid w:val="05CD5907"/>
    <w:rsid w:val="05EA048D"/>
    <w:rsid w:val="06325172"/>
    <w:rsid w:val="06743B17"/>
    <w:rsid w:val="06A10BDF"/>
    <w:rsid w:val="072165D3"/>
    <w:rsid w:val="074D1DA8"/>
    <w:rsid w:val="07976797"/>
    <w:rsid w:val="08032551"/>
    <w:rsid w:val="080650C9"/>
    <w:rsid w:val="08321AA7"/>
    <w:rsid w:val="08541D0A"/>
    <w:rsid w:val="08907864"/>
    <w:rsid w:val="08CE1C74"/>
    <w:rsid w:val="08E31BE1"/>
    <w:rsid w:val="08FF6A60"/>
    <w:rsid w:val="0A501B3E"/>
    <w:rsid w:val="0A687843"/>
    <w:rsid w:val="0AB90DA9"/>
    <w:rsid w:val="0AD54A3D"/>
    <w:rsid w:val="0B093EC9"/>
    <w:rsid w:val="0B2E51B8"/>
    <w:rsid w:val="0B566D68"/>
    <w:rsid w:val="0B5C14A4"/>
    <w:rsid w:val="0B616FAA"/>
    <w:rsid w:val="0B760867"/>
    <w:rsid w:val="0BD77AE8"/>
    <w:rsid w:val="0C1C3CF1"/>
    <w:rsid w:val="0C2E39AB"/>
    <w:rsid w:val="0C377125"/>
    <w:rsid w:val="0C4D4FEA"/>
    <w:rsid w:val="0C4F4EE1"/>
    <w:rsid w:val="0C5B6211"/>
    <w:rsid w:val="0CD06F89"/>
    <w:rsid w:val="0D2D0026"/>
    <w:rsid w:val="0DD33874"/>
    <w:rsid w:val="0DFF2F7C"/>
    <w:rsid w:val="0E340273"/>
    <w:rsid w:val="0E483E6F"/>
    <w:rsid w:val="0EE93C0D"/>
    <w:rsid w:val="0F5F3474"/>
    <w:rsid w:val="0F652C92"/>
    <w:rsid w:val="10282429"/>
    <w:rsid w:val="10A56723"/>
    <w:rsid w:val="10D165AB"/>
    <w:rsid w:val="10D35C0E"/>
    <w:rsid w:val="10E176AA"/>
    <w:rsid w:val="11120E62"/>
    <w:rsid w:val="112A4718"/>
    <w:rsid w:val="1140441E"/>
    <w:rsid w:val="11474165"/>
    <w:rsid w:val="11681EE8"/>
    <w:rsid w:val="11BF3DF4"/>
    <w:rsid w:val="11D4039D"/>
    <w:rsid w:val="12051E34"/>
    <w:rsid w:val="12437146"/>
    <w:rsid w:val="1280278B"/>
    <w:rsid w:val="12A73E57"/>
    <w:rsid w:val="13FA15A8"/>
    <w:rsid w:val="14105138"/>
    <w:rsid w:val="141728E7"/>
    <w:rsid w:val="141B4B63"/>
    <w:rsid w:val="142E305D"/>
    <w:rsid w:val="143F6245"/>
    <w:rsid w:val="146432C7"/>
    <w:rsid w:val="15156282"/>
    <w:rsid w:val="151A5432"/>
    <w:rsid w:val="16566746"/>
    <w:rsid w:val="16AE6C5D"/>
    <w:rsid w:val="16BB5AAC"/>
    <w:rsid w:val="16C13F0B"/>
    <w:rsid w:val="17421F3C"/>
    <w:rsid w:val="174835E4"/>
    <w:rsid w:val="1760421B"/>
    <w:rsid w:val="176C55AF"/>
    <w:rsid w:val="176D6781"/>
    <w:rsid w:val="17B84EF1"/>
    <w:rsid w:val="180F6F92"/>
    <w:rsid w:val="1828155C"/>
    <w:rsid w:val="1862009B"/>
    <w:rsid w:val="186F7C7D"/>
    <w:rsid w:val="18B75A84"/>
    <w:rsid w:val="19072F5A"/>
    <w:rsid w:val="191F4FA0"/>
    <w:rsid w:val="1967788A"/>
    <w:rsid w:val="19796AC9"/>
    <w:rsid w:val="19972D94"/>
    <w:rsid w:val="19D13C15"/>
    <w:rsid w:val="19F24CAA"/>
    <w:rsid w:val="1A2B3D62"/>
    <w:rsid w:val="1A930667"/>
    <w:rsid w:val="1A95478D"/>
    <w:rsid w:val="1AA4289A"/>
    <w:rsid w:val="1AA9423C"/>
    <w:rsid w:val="1B151BA2"/>
    <w:rsid w:val="1BE72523"/>
    <w:rsid w:val="1C4C40DF"/>
    <w:rsid w:val="1C547CA0"/>
    <w:rsid w:val="1C646FED"/>
    <w:rsid w:val="1C9F5070"/>
    <w:rsid w:val="1CAC1D2D"/>
    <w:rsid w:val="1CDE11D2"/>
    <w:rsid w:val="1D510B02"/>
    <w:rsid w:val="1D887E31"/>
    <w:rsid w:val="1D8965DF"/>
    <w:rsid w:val="1DF6522A"/>
    <w:rsid w:val="1E621BB2"/>
    <w:rsid w:val="1F1814E4"/>
    <w:rsid w:val="1F5D3182"/>
    <w:rsid w:val="1FBB467C"/>
    <w:rsid w:val="1FC278F5"/>
    <w:rsid w:val="207B09BC"/>
    <w:rsid w:val="20853E13"/>
    <w:rsid w:val="214C15AF"/>
    <w:rsid w:val="21553F62"/>
    <w:rsid w:val="22115985"/>
    <w:rsid w:val="2223110D"/>
    <w:rsid w:val="22B51CCF"/>
    <w:rsid w:val="22C35441"/>
    <w:rsid w:val="22C5293E"/>
    <w:rsid w:val="22D17348"/>
    <w:rsid w:val="22F424A6"/>
    <w:rsid w:val="23117593"/>
    <w:rsid w:val="237A4A2D"/>
    <w:rsid w:val="23C23D22"/>
    <w:rsid w:val="23ED6ED0"/>
    <w:rsid w:val="25732C68"/>
    <w:rsid w:val="257817F4"/>
    <w:rsid w:val="25EF0DD5"/>
    <w:rsid w:val="25F42FB1"/>
    <w:rsid w:val="268F300C"/>
    <w:rsid w:val="27301877"/>
    <w:rsid w:val="273144C4"/>
    <w:rsid w:val="273E4F1A"/>
    <w:rsid w:val="27455B16"/>
    <w:rsid w:val="27640DA8"/>
    <w:rsid w:val="276A12DD"/>
    <w:rsid w:val="279B7AE4"/>
    <w:rsid w:val="27AA00AA"/>
    <w:rsid w:val="27B87921"/>
    <w:rsid w:val="27DF0851"/>
    <w:rsid w:val="27F62FCE"/>
    <w:rsid w:val="28280A63"/>
    <w:rsid w:val="282D15B0"/>
    <w:rsid w:val="286079B6"/>
    <w:rsid w:val="293534B3"/>
    <w:rsid w:val="294E186E"/>
    <w:rsid w:val="299D0841"/>
    <w:rsid w:val="29A109F9"/>
    <w:rsid w:val="2A44080F"/>
    <w:rsid w:val="2B134FBA"/>
    <w:rsid w:val="2B174925"/>
    <w:rsid w:val="2B200287"/>
    <w:rsid w:val="2B4026D0"/>
    <w:rsid w:val="2C3110FC"/>
    <w:rsid w:val="2C7D0D98"/>
    <w:rsid w:val="2C88623B"/>
    <w:rsid w:val="2C8A7389"/>
    <w:rsid w:val="2CB13E8A"/>
    <w:rsid w:val="2CD95184"/>
    <w:rsid w:val="2D2328CC"/>
    <w:rsid w:val="2D3D6D4A"/>
    <w:rsid w:val="2D6040C7"/>
    <w:rsid w:val="2DC52868"/>
    <w:rsid w:val="2DD27D8B"/>
    <w:rsid w:val="2DD34AB0"/>
    <w:rsid w:val="2E0363AD"/>
    <w:rsid w:val="2E9D3009"/>
    <w:rsid w:val="2EED7185"/>
    <w:rsid w:val="2F0C4726"/>
    <w:rsid w:val="2F1772A5"/>
    <w:rsid w:val="2F1C4655"/>
    <w:rsid w:val="2F3854BD"/>
    <w:rsid w:val="2F974468"/>
    <w:rsid w:val="2FF54852"/>
    <w:rsid w:val="2FF83705"/>
    <w:rsid w:val="30170205"/>
    <w:rsid w:val="3058256D"/>
    <w:rsid w:val="30A0459C"/>
    <w:rsid w:val="30C24D5E"/>
    <w:rsid w:val="30EB33A8"/>
    <w:rsid w:val="3188039E"/>
    <w:rsid w:val="319A1F4F"/>
    <w:rsid w:val="32346449"/>
    <w:rsid w:val="323709A4"/>
    <w:rsid w:val="329E190C"/>
    <w:rsid w:val="32E75856"/>
    <w:rsid w:val="32EE05DC"/>
    <w:rsid w:val="33455673"/>
    <w:rsid w:val="33D34D48"/>
    <w:rsid w:val="34163BC5"/>
    <w:rsid w:val="34302A6E"/>
    <w:rsid w:val="346603B6"/>
    <w:rsid w:val="350C79CA"/>
    <w:rsid w:val="35C71F9D"/>
    <w:rsid w:val="35EA61FC"/>
    <w:rsid w:val="360D32CA"/>
    <w:rsid w:val="365743A2"/>
    <w:rsid w:val="365A62A3"/>
    <w:rsid w:val="367626E3"/>
    <w:rsid w:val="36EB4BF6"/>
    <w:rsid w:val="36EF0C5C"/>
    <w:rsid w:val="374E5586"/>
    <w:rsid w:val="37E60790"/>
    <w:rsid w:val="37FF7C36"/>
    <w:rsid w:val="382E5C5F"/>
    <w:rsid w:val="38D62D4F"/>
    <w:rsid w:val="38D7010D"/>
    <w:rsid w:val="391D0181"/>
    <w:rsid w:val="39876490"/>
    <w:rsid w:val="39F3664E"/>
    <w:rsid w:val="3A3E5652"/>
    <w:rsid w:val="3A487D63"/>
    <w:rsid w:val="3A704D44"/>
    <w:rsid w:val="3AED6EA9"/>
    <w:rsid w:val="3AEE264F"/>
    <w:rsid w:val="3AF20863"/>
    <w:rsid w:val="3B0C29CB"/>
    <w:rsid w:val="3B217BED"/>
    <w:rsid w:val="3B29495B"/>
    <w:rsid w:val="3BBA062A"/>
    <w:rsid w:val="3BBC0630"/>
    <w:rsid w:val="3C0E5599"/>
    <w:rsid w:val="3C780F37"/>
    <w:rsid w:val="3C7A3AB2"/>
    <w:rsid w:val="3CC17CF4"/>
    <w:rsid w:val="3CD13F20"/>
    <w:rsid w:val="3CE33F19"/>
    <w:rsid w:val="3CF40559"/>
    <w:rsid w:val="3D004731"/>
    <w:rsid w:val="3D243ABE"/>
    <w:rsid w:val="3D3B4E15"/>
    <w:rsid w:val="3D406EB5"/>
    <w:rsid w:val="3D5741F5"/>
    <w:rsid w:val="3D840CDE"/>
    <w:rsid w:val="3D880EFB"/>
    <w:rsid w:val="3D8A60FB"/>
    <w:rsid w:val="3DD124E1"/>
    <w:rsid w:val="3DFB1818"/>
    <w:rsid w:val="3DFC6C2D"/>
    <w:rsid w:val="3E900BB8"/>
    <w:rsid w:val="3F1E2A3F"/>
    <w:rsid w:val="3F350BD5"/>
    <w:rsid w:val="3F3A6C61"/>
    <w:rsid w:val="3F604A94"/>
    <w:rsid w:val="3F6B212D"/>
    <w:rsid w:val="3F812A2A"/>
    <w:rsid w:val="3FE26DC7"/>
    <w:rsid w:val="40082D9C"/>
    <w:rsid w:val="404D7CA5"/>
    <w:rsid w:val="406D3823"/>
    <w:rsid w:val="40A40598"/>
    <w:rsid w:val="40D85973"/>
    <w:rsid w:val="414C5861"/>
    <w:rsid w:val="415A4946"/>
    <w:rsid w:val="41692AD7"/>
    <w:rsid w:val="418A37E6"/>
    <w:rsid w:val="41E216FD"/>
    <w:rsid w:val="427479BE"/>
    <w:rsid w:val="43362324"/>
    <w:rsid w:val="439D5E84"/>
    <w:rsid w:val="43B755EC"/>
    <w:rsid w:val="44244DEC"/>
    <w:rsid w:val="448C4DA6"/>
    <w:rsid w:val="44AC53BD"/>
    <w:rsid w:val="44C07498"/>
    <w:rsid w:val="44D06793"/>
    <w:rsid w:val="44F21C43"/>
    <w:rsid w:val="44FC397A"/>
    <w:rsid w:val="45656E79"/>
    <w:rsid w:val="456D07F2"/>
    <w:rsid w:val="460E46BE"/>
    <w:rsid w:val="46234A16"/>
    <w:rsid w:val="46732584"/>
    <w:rsid w:val="469C2EA0"/>
    <w:rsid w:val="46F56910"/>
    <w:rsid w:val="46F62E93"/>
    <w:rsid w:val="473E0839"/>
    <w:rsid w:val="475970DF"/>
    <w:rsid w:val="479E231D"/>
    <w:rsid w:val="47F3536E"/>
    <w:rsid w:val="48185E9A"/>
    <w:rsid w:val="481B3BFE"/>
    <w:rsid w:val="48440CE1"/>
    <w:rsid w:val="487F458A"/>
    <w:rsid w:val="48AC32D6"/>
    <w:rsid w:val="48CA67D0"/>
    <w:rsid w:val="49187CCA"/>
    <w:rsid w:val="491A6920"/>
    <w:rsid w:val="494A09E4"/>
    <w:rsid w:val="49B27967"/>
    <w:rsid w:val="49F627E2"/>
    <w:rsid w:val="4AA81C6E"/>
    <w:rsid w:val="4AFC6A57"/>
    <w:rsid w:val="4B2D033C"/>
    <w:rsid w:val="4B445CC7"/>
    <w:rsid w:val="4B4A27E5"/>
    <w:rsid w:val="4BE56702"/>
    <w:rsid w:val="4BEB4D80"/>
    <w:rsid w:val="4C187748"/>
    <w:rsid w:val="4C3D4A29"/>
    <w:rsid w:val="4C457CD1"/>
    <w:rsid w:val="4C7D6F0E"/>
    <w:rsid w:val="4CD94AD4"/>
    <w:rsid w:val="4D3D08C4"/>
    <w:rsid w:val="4D523E1A"/>
    <w:rsid w:val="4D5649EC"/>
    <w:rsid w:val="4D780862"/>
    <w:rsid w:val="4D8308FE"/>
    <w:rsid w:val="4D9A4515"/>
    <w:rsid w:val="4DDB574E"/>
    <w:rsid w:val="4DED06D0"/>
    <w:rsid w:val="4DF95F0B"/>
    <w:rsid w:val="4E2D69C0"/>
    <w:rsid w:val="4E5C00CD"/>
    <w:rsid w:val="4E8C5564"/>
    <w:rsid w:val="4EBE4AE9"/>
    <w:rsid w:val="4EE53AF9"/>
    <w:rsid w:val="4EEA7E84"/>
    <w:rsid w:val="4F2817DA"/>
    <w:rsid w:val="4F305EDD"/>
    <w:rsid w:val="4F4E3B56"/>
    <w:rsid w:val="4FB6099A"/>
    <w:rsid w:val="4FB85B46"/>
    <w:rsid w:val="50406C00"/>
    <w:rsid w:val="504964AC"/>
    <w:rsid w:val="507A12FC"/>
    <w:rsid w:val="50EB5D74"/>
    <w:rsid w:val="50ED48C3"/>
    <w:rsid w:val="50F16FAE"/>
    <w:rsid w:val="50FE0642"/>
    <w:rsid w:val="511C01A1"/>
    <w:rsid w:val="51743254"/>
    <w:rsid w:val="51C33454"/>
    <w:rsid w:val="51C9584F"/>
    <w:rsid w:val="51E70745"/>
    <w:rsid w:val="51EE51B6"/>
    <w:rsid w:val="51FF7751"/>
    <w:rsid w:val="525A419A"/>
    <w:rsid w:val="526D24ED"/>
    <w:rsid w:val="52730C7A"/>
    <w:rsid w:val="52F65607"/>
    <w:rsid w:val="539B3B0B"/>
    <w:rsid w:val="53E20344"/>
    <w:rsid w:val="5445537E"/>
    <w:rsid w:val="54461222"/>
    <w:rsid w:val="546074D3"/>
    <w:rsid w:val="548C4119"/>
    <w:rsid w:val="54945C84"/>
    <w:rsid w:val="5496405C"/>
    <w:rsid w:val="54A747BD"/>
    <w:rsid w:val="550E1E44"/>
    <w:rsid w:val="554646D3"/>
    <w:rsid w:val="556C6652"/>
    <w:rsid w:val="55E02C68"/>
    <w:rsid w:val="560E2C7B"/>
    <w:rsid w:val="5622072D"/>
    <w:rsid w:val="562C5CD4"/>
    <w:rsid w:val="563A4041"/>
    <w:rsid w:val="56491E4C"/>
    <w:rsid w:val="56B16CAD"/>
    <w:rsid w:val="57177B9E"/>
    <w:rsid w:val="57362697"/>
    <w:rsid w:val="575C77C2"/>
    <w:rsid w:val="578F49A6"/>
    <w:rsid w:val="579B2A23"/>
    <w:rsid w:val="57F93337"/>
    <w:rsid w:val="57FA5DA0"/>
    <w:rsid w:val="588C0AAA"/>
    <w:rsid w:val="58C90C1C"/>
    <w:rsid w:val="59094334"/>
    <w:rsid w:val="59177CFD"/>
    <w:rsid w:val="597F5D18"/>
    <w:rsid w:val="59D71DBA"/>
    <w:rsid w:val="5A0474B1"/>
    <w:rsid w:val="5A0C1C17"/>
    <w:rsid w:val="5A21599A"/>
    <w:rsid w:val="5ACB4A89"/>
    <w:rsid w:val="5B347D8A"/>
    <w:rsid w:val="5B483EE1"/>
    <w:rsid w:val="5B53554E"/>
    <w:rsid w:val="5B690A52"/>
    <w:rsid w:val="5B70167B"/>
    <w:rsid w:val="5BF7026F"/>
    <w:rsid w:val="5C0E0CA4"/>
    <w:rsid w:val="5C450D49"/>
    <w:rsid w:val="5C486901"/>
    <w:rsid w:val="5C7A1BCF"/>
    <w:rsid w:val="5C9A2C69"/>
    <w:rsid w:val="5CFA6D99"/>
    <w:rsid w:val="5D2041E0"/>
    <w:rsid w:val="5DC32084"/>
    <w:rsid w:val="5DDF4962"/>
    <w:rsid w:val="5E28014D"/>
    <w:rsid w:val="5E3C3380"/>
    <w:rsid w:val="5E4F6A0C"/>
    <w:rsid w:val="5E63426B"/>
    <w:rsid w:val="5EA77E7C"/>
    <w:rsid w:val="5EAD37BD"/>
    <w:rsid w:val="5EB62B0E"/>
    <w:rsid w:val="5EB76BB1"/>
    <w:rsid w:val="5F1D6C44"/>
    <w:rsid w:val="5F424157"/>
    <w:rsid w:val="5F71285D"/>
    <w:rsid w:val="5F7E471E"/>
    <w:rsid w:val="5F8909AE"/>
    <w:rsid w:val="5F8B52D7"/>
    <w:rsid w:val="5FA669F5"/>
    <w:rsid w:val="5FFD1647"/>
    <w:rsid w:val="60060F42"/>
    <w:rsid w:val="60332D39"/>
    <w:rsid w:val="60356FB9"/>
    <w:rsid w:val="603E42E0"/>
    <w:rsid w:val="60623C0A"/>
    <w:rsid w:val="60C02B36"/>
    <w:rsid w:val="60CB6081"/>
    <w:rsid w:val="612F453E"/>
    <w:rsid w:val="613005D7"/>
    <w:rsid w:val="615D1488"/>
    <w:rsid w:val="61700F9B"/>
    <w:rsid w:val="61D40139"/>
    <w:rsid w:val="61FE1860"/>
    <w:rsid w:val="621A03F4"/>
    <w:rsid w:val="625B411B"/>
    <w:rsid w:val="627B22B5"/>
    <w:rsid w:val="62BD0F1A"/>
    <w:rsid w:val="62BD2F5C"/>
    <w:rsid w:val="62DA2CBE"/>
    <w:rsid w:val="62EE44E7"/>
    <w:rsid w:val="633E73C6"/>
    <w:rsid w:val="63C237E1"/>
    <w:rsid w:val="63C53D62"/>
    <w:rsid w:val="64290DB8"/>
    <w:rsid w:val="6430098F"/>
    <w:rsid w:val="64B2587F"/>
    <w:rsid w:val="64C16DA8"/>
    <w:rsid w:val="653D241E"/>
    <w:rsid w:val="65A01912"/>
    <w:rsid w:val="65C0066A"/>
    <w:rsid w:val="66453963"/>
    <w:rsid w:val="66505F9C"/>
    <w:rsid w:val="66984E4B"/>
    <w:rsid w:val="66997E4B"/>
    <w:rsid w:val="66DF384C"/>
    <w:rsid w:val="674E4ACF"/>
    <w:rsid w:val="678E7EE6"/>
    <w:rsid w:val="67C72B14"/>
    <w:rsid w:val="67F03AF5"/>
    <w:rsid w:val="682407ED"/>
    <w:rsid w:val="684A0A40"/>
    <w:rsid w:val="689C1962"/>
    <w:rsid w:val="68A43134"/>
    <w:rsid w:val="68D9202F"/>
    <w:rsid w:val="694F554F"/>
    <w:rsid w:val="695345F2"/>
    <w:rsid w:val="697600C8"/>
    <w:rsid w:val="69913213"/>
    <w:rsid w:val="69CE51A0"/>
    <w:rsid w:val="6A2764C0"/>
    <w:rsid w:val="6A5035A6"/>
    <w:rsid w:val="6A882BA0"/>
    <w:rsid w:val="6AED777A"/>
    <w:rsid w:val="6AF60D17"/>
    <w:rsid w:val="6B180F27"/>
    <w:rsid w:val="6B2E67B8"/>
    <w:rsid w:val="6B415D0E"/>
    <w:rsid w:val="6B887C67"/>
    <w:rsid w:val="6BA078F3"/>
    <w:rsid w:val="6BAB6DAC"/>
    <w:rsid w:val="6BBA40CD"/>
    <w:rsid w:val="6BE31C14"/>
    <w:rsid w:val="6C177C5E"/>
    <w:rsid w:val="6C2E0119"/>
    <w:rsid w:val="6C914DFA"/>
    <w:rsid w:val="6CC164FA"/>
    <w:rsid w:val="6CD95574"/>
    <w:rsid w:val="6CEA50D6"/>
    <w:rsid w:val="6D2C4DCA"/>
    <w:rsid w:val="6D8141AA"/>
    <w:rsid w:val="6D9728B1"/>
    <w:rsid w:val="6DB414FB"/>
    <w:rsid w:val="6DDC54CC"/>
    <w:rsid w:val="6DE8163A"/>
    <w:rsid w:val="6EF71E5D"/>
    <w:rsid w:val="6F0E37FA"/>
    <w:rsid w:val="6F3F257D"/>
    <w:rsid w:val="6F443B7B"/>
    <w:rsid w:val="6F7C43AE"/>
    <w:rsid w:val="6FD4616F"/>
    <w:rsid w:val="6FDC11A5"/>
    <w:rsid w:val="703871D9"/>
    <w:rsid w:val="70471464"/>
    <w:rsid w:val="70534E11"/>
    <w:rsid w:val="70F759DA"/>
    <w:rsid w:val="70FC0717"/>
    <w:rsid w:val="71004222"/>
    <w:rsid w:val="71551318"/>
    <w:rsid w:val="71B50265"/>
    <w:rsid w:val="71BC1298"/>
    <w:rsid w:val="71C57C34"/>
    <w:rsid w:val="71CC0004"/>
    <w:rsid w:val="72284547"/>
    <w:rsid w:val="722A3E23"/>
    <w:rsid w:val="727E3E26"/>
    <w:rsid w:val="730C4210"/>
    <w:rsid w:val="730D39A7"/>
    <w:rsid w:val="737120D1"/>
    <w:rsid w:val="73DE2937"/>
    <w:rsid w:val="73F278D1"/>
    <w:rsid w:val="742F298E"/>
    <w:rsid w:val="74413FD1"/>
    <w:rsid w:val="74872AFE"/>
    <w:rsid w:val="74CE15B6"/>
    <w:rsid w:val="74E30F61"/>
    <w:rsid w:val="74F475B7"/>
    <w:rsid w:val="75160ED2"/>
    <w:rsid w:val="756069B9"/>
    <w:rsid w:val="759F5FC6"/>
    <w:rsid w:val="75A86F75"/>
    <w:rsid w:val="75E84DEC"/>
    <w:rsid w:val="760945C5"/>
    <w:rsid w:val="76295EF4"/>
    <w:rsid w:val="76755C1B"/>
    <w:rsid w:val="77271253"/>
    <w:rsid w:val="77A8186A"/>
    <w:rsid w:val="77AE50AC"/>
    <w:rsid w:val="77CF03B0"/>
    <w:rsid w:val="77FD5B30"/>
    <w:rsid w:val="785066B3"/>
    <w:rsid w:val="78AE7164"/>
    <w:rsid w:val="78C027E9"/>
    <w:rsid w:val="78D151F6"/>
    <w:rsid w:val="78E3087C"/>
    <w:rsid w:val="78EB35FC"/>
    <w:rsid w:val="78F20812"/>
    <w:rsid w:val="78FA744A"/>
    <w:rsid w:val="795F5FD1"/>
    <w:rsid w:val="796F5412"/>
    <w:rsid w:val="79C12388"/>
    <w:rsid w:val="79E84E4B"/>
    <w:rsid w:val="7A0C6AD3"/>
    <w:rsid w:val="7A1D3F6C"/>
    <w:rsid w:val="7A6A03D6"/>
    <w:rsid w:val="7A8126D6"/>
    <w:rsid w:val="7AAC553A"/>
    <w:rsid w:val="7AD47CBC"/>
    <w:rsid w:val="7ADE3C32"/>
    <w:rsid w:val="7AE76BEC"/>
    <w:rsid w:val="7B13506B"/>
    <w:rsid w:val="7BD41C9B"/>
    <w:rsid w:val="7C223340"/>
    <w:rsid w:val="7C2823C0"/>
    <w:rsid w:val="7C382DD4"/>
    <w:rsid w:val="7C53349A"/>
    <w:rsid w:val="7C71066C"/>
    <w:rsid w:val="7C76266D"/>
    <w:rsid w:val="7C9328CE"/>
    <w:rsid w:val="7D772445"/>
    <w:rsid w:val="7D9F64ED"/>
    <w:rsid w:val="7DF92890"/>
    <w:rsid w:val="7E19141A"/>
    <w:rsid w:val="7E3F744C"/>
    <w:rsid w:val="7EA72FE0"/>
    <w:rsid w:val="7EB460C8"/>
    <w:rsid w:val="7EBA4ED1"/>
    <w:rsid w:val="7EC87EB7"/>
    <w:rsid w:val="7EDA52C4"/>
    <w:rsid w:val="7F4E4C52"/>
    <w:rsid w:val="7F8A56CC"/>
    <w:rsid w:val="7FB142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jc w:val="left"/>
      <w:outlineLvl w:val="0"/>
    </w:pPr>
    <w:rPr>
      <w:bCs/>
      <w:kern w:val="44"/>
      <w:sz w:val="36"/>
      <w:szCs w:val="44"/>
    </w:rPr>
  </w:style>
  <w:style w:type="paragraph" w:styleId="4">
    <w:name w:val="heading 2"/>
    <w:basedOn w:val="1"/>
    <w:next w:val="1"/>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link w:val="28"/>
    <w:unhideWhenUsed/>
    <w:qFormat/>
    <w:uiPriority w:val="9"/>
    <w:pPr>
      <w:keepNext/>
      <w:keepLines/>
      <w:jc w:val="left"/>
      <w:outlineLvl w:val="2"/>
    </w:pPr>
    <w:rPr>
      <w:bCs/>
      <w:sz w:val="32"/>
      <w:szCs w:val="32"/>
    </w:rPr>
  </w:style>
  <w:style w:type="paragraph" w:styleId="6">
    <w:name w:val="heading 4"/>
    <w:basedOn w:val="1"/>
    <w:next w:val="1"/>
    <w:link w:val="29"/>
    <w:unhideWhenUsed/>
    <w:qFormat/>
    <w:uiPriority w:val="9"/>
    <w:pPr>
      <w:keepNext/>
      <w:keepLines/>
      <w:jc w:val="left"/>
      <w:outlineLvl w:val="3"/>
    </w:pPr>
    <w:rPr>
      <w:rFonts w:asciiTheme="majorHAnsi" w:hAnsiTheme="majorHAnsi" w:eastAsiaTheme="majorEastAsia" w:cstheme="majorBidi"/>
      <w:b/>
      <w:bCs/>
      <w:sz w:val="24"/>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
    <w:name w:val="Normal Indent"/>
    <w:basedOn w:val="1"/>
    <w:qFormat/>
    <w:uiPriority w:val="0"/>
    <w:pPr>
      <w:ind w:firstLine="420" w:firstLineChars="200"/>
    </w:pPr>
  </w:style>
  <w:style w:type="paragraph" w:styleId="8">
    <w:name w:val="annotation text"/>
    <w:basedOn w:val="1"/>
    <w:link w:val="40"/>
    <w:semiHidden/>
    <w:unhideWhenUsed/>
    <w:qFormat/>
    <w:uiPriority w:val="99"/>
    <w:pPr>
      <w:jc w:val="left"/>
    </w:pPr>
  </w:style>
  <w:style w:type="paragraph" w:styleId="9">
    <w:name w:val="Body Text"/>
    <w:basedOn w:val="1"/>
    <w:qFormat/>
    <w:uiPriority w:val="99"/>
    <w:rPr>
      <w:sz w:val="28"/>
      <w:szCs w:val="28"/>
    </w:rPr>
  </w:style>
  <w:style w:type="paragraph" w:styleId="10">
    <w:name w:val="Body Text Indent"/>
    <w:basedOn w:val="1"/>
    <w:qFormat/>
    <w:uiPriority w:val="99"/>
    <w:pPr>
      <w:ind w:firstLine="560" w:firstLineChars="200"/>
    </w:pPr>
    <w:rPr>
      <w:rFonts w:eastAsia="仿宋_GB2312"/>
      <w:sz w:val="28"/>
      <w:szCs w:val="28"/>
    </w:rPr>
  </w:style>
  <w:style w:type="paragraph" w:styleId="11">
    <w:name w:val="Plain Text"/>
    <w:basedOn w:val="1"/>
    <w:next w:val="1"/>
    <w:qFormat/>
    <w:uiPriority w:val="0"/>
    <w:rPr>
      <w:rFonts w:ascii="宋体" w:hAnsi="Courier New" w:eastAsia="Times New Roman"/>
      <w:szCs w:val="20"/>
    </w:rPr>
  </w:style>
  <w:style w:type="paragraph" w:styleId="12">
    <w:name w:val="Balloon Text"/>
    <w:basedOn w:val="1"/>
    <w:link w:val="32"/>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index heading"/>
    <w:basedOn w:val="1"/>
    <w:next w:val="16"/>
    <w:unhideWhenUsed/>
    <w:qFormat/>
    <w:uiPriority w:val="99"/>
    <w:rPr>
      <w:rFonts w:eastAsia="宋体"/>
      <w:szCs w:val="24"/>
    </w:rPr>
  </w:style>
  <w:style w:type="paragraph" w:styleId="16">
    <w:name w:val="index 1"/>
    <w:basedOn w:val="1"/>
    <w:next w:val="1"/>
    <w:qFormat/>
    <w:uiPriority w:val="0"/>
  </w:style>
  <w:style w:type="paragraph" w:styleId="17">
    <w:name w:val="Body Text Indent 3"/>
    <w:basedOn w:val="1"/>
    <w:qFormat/>
    <w:uiPriority w:val="0"/>
    <w:pPr>
      <w:spacing w:after="120"/>
      <w:ind w:left="420" w:leftChars="200"/>
    </w:pPr>
    <w:rPr>
      <w:rFonts w:ascii="Calibri" w:hAnsi="Calibri"/>
      <w:sz w:val="16"/>
      <w:szCs w:val="16"/>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annotation subject"/>
    <w:basedOn w:val="8"/>
    <w:next w:val="8"/>
    <w:link w:val="41"/>
    <w:semiHidden/>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000000"/>
      <w:u w:val="none"/>
    </w:rPr>
  </w:style>
  <w:style w:type="character" w:styleId="24">
    <w:name w:val="Hyperlink"/>
    <w:basedOn w:val="22"/>
    <w:semiHidden/>
    <w:unhideWhenUsed/>
    <w:qFormat/>
    <w:uiPriority w:val="99"/>
    <w:rPr>
      <w:color w:val="000000"/>
      <w:u w:val="none"/>
    </w:rPr>
  </w:style>
  <w:style w:type="character" w:styleId="25">
    <w:name w:val="annotation reference"/>
    <w:basedOn w:val="22"/>
    <w:semiHidden/>
    <w:unhideWhenUsed/>
    <w:qFormat/>
    <w:uiPriority w:val="99"/>
    <w:rPr>
      <w:sz w:val="21"/>
      <w:szCs w:val="21"/>
    </w:rPr>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7">
    <w:name w:val="标题 1 字符"/>
    <w:basedOn w:val="22"/>
    <w:link w:val="3"/>
    <w:qFormat/>
    <w:uiPriority w:val="9"/>
    <w:rPr>
      <w:bCs/>
      <w:kern w:val="44"/>
      <w:sz w:val="36"/>
      <w:szCs w:val="44"/>
    </w:rPr>
  </w:style>
  <w:style w:type="character" w:customStyle="1" w:styleId="28">
    <w:name w:val="标题 3 字符"/>
    <w:basedOn w:val="22"/>
    <w:link w:val="5"/>
    <w:qFormat/>
    <w:uiPriority w:val="9"/>
    <w:rPr>
      <w:bCs/>
      <w:sz w:val="32"/>
      <w:szCs w:val="32"/>
    </w:rPr>
  </w:style>
  <w:style w:type="character" w:customStyle="1" w:styleId="29">
    <w:name w:val="标题 4 字符"/>
    <w:basedOn w:val="22"/>
    <w:link w:val="6"/>
    <w:qFormat/>
    <w:uiPriority w:val="9"/>
    <w:rPr>
      <w:rFonts w:asciiTheme="majorHAnsi" w:hAnsiTheme="majorHAnsi" w:eastAsiaTheme="majorEastAsia" w:cstheme="majorBidi"/>
      <w:b/>
      <w:bCs/>
      <w:sz w:val="24"/>
      <w:szCs w:val="28"/>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批注框文本 字符"/>
    <w:basedOn w:val="22"/>
    <w:link w:val="12"/>
    <w:semiHidden/>
    <w:qFormat/>
    <w:uiPriority w:val="99"/>
    <w:rPr>
      <w:sz w:val="18"/>
      <w:szCs w:val="18"/>
    </w:rPr>
  </w:style>
  <w:style w:type="character" w:customStyle="1" w:styleId="33">
    <w:name w:val="times"/>
    <w:basedOn w:val="22"/>
    <w:qFormat/>
    <w:uiPriority w:val="0"/>
    <w:rPr>
      <w:color w:val="CDCDCD"/>
      <w:bdr w:val="single" w:color="CDCDCD" w:sz="6" w:space="0"/>
      <w:shd w:val="clear" w:color="auto" w:fill="EFEFEF"/>
    </w:rPr>
  </w:style>
  <w:style w:type="character" w:customStyle="1" w:styleId="34">
    <w:name w:val="times1"/>
    <w:basedOn w:val="22"/>
    <w:qFormat/>
    <w:uiPriority w:val="0"/>
    <w:rPr>
      <w:color w:val="3399FF"/>
      <w:bdr w:val="single" w:color="D1EDF8" w:sz="6" w:space="0"/>
      <w:shd w:val="clear" w:color="auto" w:fill="EAF9FF"/>
    </w:rPr>
  </w:style>
  <w:style w:type="character" w:customStyle="1" w:styleId="35">
    <w:name w:val="hover42"/>
    <w:basedOn w:val="22"/>
    <w:qFormat/>
    <w:uiPriority w:val="0"/>
  </w:style>
  <w:style w:type="paragraph" w:customStyle="1" w:styleId="36">
    <w:name w:val="文一"/>
    <w:basedOn w:val="1"/>
    <w:qFormat/>
    <w:uiPriority w:val="0"/>
    <w:pPr>
      <w:topLinePunct/>
      <w:adjustRightInd w:val="0"/>
      <w:snapToGrid w:val="0"/>
      <w:spacing w:line="360" w:lineRule="auto"/>
      <w:ind w:firstLine="200" w:firstLineChars="200"/>
    </w:pPr>
    <w:rPr>
      <w:rFonts w:eastAsia="宋体"/>
      <w:snapToGrid w:val="0"/>
      <w:spacing w:val="4"/>
      <w:kern w:val="0"/>
      <w:sz w:val="24"/>
      <w:szCs w:val="24"/>
    </w:rPr>
  </w:style>
  <w:style w:type="paragraph" w:styleId="37">
    <w:name w:val="List Paragraph"/>
    <w:basedOn w:val="1"/>
    <w:qFormat/>
    <w:uiPriority w:val="34"/>
    <w:pPr>
      <w:ind w:firstLine="420" w:firstLineChars="200"/>
    </w:pPr>
  </w:style>
  <w:style w:type="paragraph" w:styleId="38">
    <w:name w:val="No Spacing"/>
    <w:qFormat/>
    <w:uiPriority w:val="1"/>
    <w:rPr>
      <w:rFonts w:ascii="Calibri" w:hAnsi="Calibri" w:eastAsia="宋体" w:cs="Times New Roman"/>
      <w:sz w:val="22"/>
      <w:lang w:val="en-US" w:eastAsia="zh-CN" w:bidi="ar-SA"/>
    </w:rPr>
  </w:style>
  <w:style w:type="paragraph" w:customStyle="1" w:styleId="39">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0">
    <w:name w:val="批注文字 字符"/>
    <w:basedOn w:val="22"/>
    <w:link w:val="8"/>
    <w:semiHidden/>
    <w:qFormat/>
    <w:uiPriority w:val="99"/>
    <w:rPr>
      <w:rFonts w:asciiTheme="minorHAnsi" w:hAnsiTheme="minorHAnsi" w:eastAsiaTheme="minorEastAsia" w:cstheme="minorBidi"/>
      <w:kern w:val="2"/>
      <w:sz w:val="21"/>
      <w:szCs w:val="22"/>
    </w:rPr>
  </w:style>
  <w:style w:type="character" w:customStyle="1" w:styleId="41">
    <w:name w:val="批注主题 字符"/>
    <w:basedOn w:val="40"/>
    <w:link w:val="19"/>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GIBS</Company>
  <Pages>21</Pages>
  <Words>1647</Words>
  <Characters>9392</Characters>
  <Lines>78</Lines>
  <Paragraphs>22</Paragraphs>
  <TotalTime>3</TotalTime>
  <ScaleCrop>false</ScaleCrop>
  <LinksUpToDate>false</LinksUpToDate>
  <CharactersWithSpaces>11017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2020-03-31T02:38:00Z</dcterms:created>
  <dc:creator>Administrator.POY6TLQ70PMNFOG</dc:creator>
  <cp:lastModifiedBy>LGW</cp:lastModifiedBy>
  <cp:lastPrinted>2021-05-14T04:09:00Z</cp:lastPrinted>
  <dcterms:modified xsi:type="dcterms:W3CDTF">2022-03-02T08:48:35Z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5600FE9281E24529B23EB3FE6ED92BF5</vt:lpwstr>
  </property>
</Properties>
</file>