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19" w:rsidRDefault="00503219" w:rsidP="00503219">
      <w:pPr>
        <w:widowControl/>
        <w:spacing w:line="586" w:lineRule="exact"/>
        <w:jc w:val="left"/>
        <w:rPr>
          <w:rFonts w:eastAsia="仿宋_GB2312"/>
          <w:bCs/>
          <w:color w:val="000000"/>
          <w:sz w:val="32"/>
          <w:szCs w:val="32"/>
        </w:rPr>
      </w:pPr>
      <w:bookmarkStart w:id="0" w:name="_GoBack"/>
      <w:bookmarkEnd w:id="0"/>
      <w:r w:rsidRPr="00CC3ACD"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 w:rsidR="0046025B">
        <w:rPr>
          <w:rFonts w:ascii="黑体" w:eastAsia="黑体" w:hAnsi="黑体" w:cs="黑体" w:hint="eastAsia"/>
          <w:bCs/>
          <w:color w:val="000000"/>
          <w:sz w:val="32"/>
          <w:szCs w:val="32"/>
        </w:rPr>
        <w:t>1</w:t>
      </w:r>
    </w:p>
    <w:p w:rsidR="00503219" w:rsidRPr="006A21CE" w:rsidRDefault="00503219" w:rsidP="00503219">
      <w:pPr>
        <w:widowControl/>
        <w:spacing w:line="586" w:lineRule="exact"/>
        <w:jc w:val="left"/>
        <w:rPr>
          <w:rFonts w:eastAsia="仿宋_GB2312"/>
          <w:bCs/>
          <w:color w:val="000000"/>
        </w:rPr>
      </w:pPr>
    </w:p>
    <w:p w:rsidR="00503219" w:rsidRDefault="00503219" w:rsidP="00503219">
      <w:pPr>
        <w:spacing w:line="586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荔湾区行政事业单位固定资产使用年限表</w:t>
      </w:r>
    </w:p>
    <w:p w:rsidR="00503219" w:rsidRDefault="00503219" w:rsidP="00503219">
      <w:pPr>
        <w:spacing w:line="586" w:lineRule="exact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</w:p>
    <w:tbl>
      <w:tblPr>
        <w:tblW w:w="5000" w:type="pct"/>
        <w:tblLayout w:type="fixed"/>
        <w:tblLook w:val="04A0"/>
      </w:tblPr>
      <w:tblGrid>
        <w:gridCol w:w="2092"/>
        <w:gridCol w:w="1578"/>
        <w:gridCol w:w="2801"/>
        <w:gridCol w:w="2057"/>
      </w:tblGrid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固定资产类别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折旧年限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房屋及构筑物</w:t>
            </w:r>
          </w:p>
        </w:tc>
        <w:tc>
          <w:tcPr>
            <w:tcW w:w="925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业务及管理用房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钢结构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50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钢筋混凝土结构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50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砖混结构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砖木结构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简易房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房屋附属设施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构筑物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计算机设备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办公设备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车辆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图书档案设备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机械设备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电气设备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雷达、无线电和卫星导航设备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通信设备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广播、电视、电影设备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仪器仪表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电子和通信测量设备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计量标准器具及量具、衡器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lastRenderedPageBreak/>
              <w:t>固定资产类别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折旧年限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专用设备</w:t>
            </w: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探矿、采矿、选矿和造块设备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石油天然气开采专用设备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石油和化学工业专用设备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炼焦和金属冶炼轧制设备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电力工业专用设备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非金属矿物制品工业专用设备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核工业专用设备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航空航天工业专用设备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工程机械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农业和林业机械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木材采集和加工设备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食品加工专用设备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饮料加工设备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烟草加工设备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粮油作物和饲料加工设备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纺织设备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缝纫、服饰、制革和毛皮加工设备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造纸和印刷机械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化学药品和中药专用设备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医疗设备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电工、电子专用生产设备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安全生产设备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503219" w:rsidTr="00CE1281">
        <w:trPr>
          <w:cantSplit/>
          <w:trHeight w:hRule="exact" w:val="539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邮政专用设备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环境污染防治设备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lastRenderedPageBreak/>
              <w:t>固定资产类别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折旧年限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专用设备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公安专用设备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水工机械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殡葬设备及用品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铁路运输设备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水上交通运输设备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航空器及其配套设备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专用仪器仪表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文艺设备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体育设备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娱乐设备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家具、用具及装具</w:t>
            </w: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家具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503219" w:rsidTr="00CE1281">
        <w:trPr>
          <w:cantSplit/>
          <w:trHeight w:hRule="exact" w:val="561"/>
          <w:tblHeader/>
        </w:trPr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用具、装具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219" w:rsidRDefault="00503219" w:rsidP="00CE128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</w:tbl>
    <w:p w:rsidR="00503219" w:rsidRDefault="00503219" w:rsidP="00503219">
      <w:pPr>
        <w:pStyle w:val="Default"/>
        <w:spacing w:line="58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注：此表依据《政府会计准则第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号——固定资产》应用指南中的《政府固定资产折旧年限表》制定。</w:t>
      </w:r>
    </w:p>
    <w:p w:rsidR="002A7D99" w:rsidRPr="00503219" w:rsidRDefault="002A7D99"/>
    <w:sectPr w:rsidR="002A7D99" w:rsidRPr="00503219" w:rsidSect="00CC3ACD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A87" w:rsidRDefault="00273A87" w:rsidP="00503219">
      <w:r>
        <w:separator/>
      </w:r>
    </w:p>
  </w:endnote>
  <w:endnote w:type="continuationSeparator" w:id="1">
    <w:p w:rsidR="00273A87" w:rsidRDefault="00273A87" w:rsidP="0050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CD" w:rsidRDefault="007239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7D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025B">
      <w:rPr>
        <w:rStyle w:val="a5"/>
        <w:noProof/>
      </w:rPr>
      <w:t>1</w:t>
    </w:r>
    <w:r>
      <w:rPr>
        <w:rStyle w:val="a5"/>
      </w:rPr>
      <w:fldChar w:fldCharType="end"/>
    </w:r>
  </w:p>
  <w:p w:rsidR="00CC3ACD" w:rsidRDefault="00273A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A87" w:rsidRDefault="00273A87" w:rsidP="00503219">
      <w:r>
        <w:separator/>
      </w:r>
    </w:p>
  </w:footnote>
  <w:footnote w:type="continuationSeparator" w:id="1">
    <w:p w:rsidR="00273A87" w:rsidRDefault="00273A87" w:rsidP="00503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219"/>
    <w:rsid w:val="00273A87"/>
    <w:rsid w:val="002A7D99"/>
    <w:rsid w:val="0046025B"/>
    <w:rsid w:val="00503219"/>
    <w:rsid w:val="0072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1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032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03219"/>
    <w:rPr>
      <w:sz w:val="18"/>
      <w:szCs w:val="18"/>
    </w:rPr>
  </w:style>
  <w:style w:type="character" w:styleId="a5">
    <w:name w:val="page number"/>
    <w:basedOn w:val="a0"/>
    <w:uiPriority w:val="99"/>
    <w:qFormat/>
    <w:rsid w:val="00503219"/>
  </w:style>
  <w:style w:type="paragraph" w:customStyle="1" w:styleId="Default">
    <w:name w:val="Default"/>
    <w:qFormat/>
    <w:rsid w:val="00503219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邓智坚</dc:creator>
  <cp:keywords/>
  <dc:description/>
  <cp:lastModifiedBy>邓智坚</cp:lastModifiedBy>
  <cp:revision>3</cp:revision>
  <dcterms:created xsi:type="dcterms:W3CDTF">2022-11-18T02:00:00Z</dcterms:created>
  <dcterms:modified xsi:type="dcterms:W3CDTF">2022-11-21T03:45:00Z</dcterms:modified>
</cp:coreProperties>
</file>