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两桶车基数参数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147"/>
        <w:gridCol w:w="1536"/>
        <w:gridCol w:w="2352"/>
        <w:gridCol w:w="663"/>
        <w:gridCol w:w="73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53" w:type="dxa"/>
            <w:gridSpan w:val="3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额定乘坐人员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技术参数</w:t>
            </w:r>
          </w:p>
        </w:tc>
        <w:tc>
          <w:tcPr>
            <w:tcW w:w="1147" w:type="dxa"/>
            <w:vMerge w:val="restart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重要尺寸</w:t>
            </w:r>
          </w:p>
        </w:tc>
        <w:tc>
          <w:tcPr>
            <w:tcW w:w="4551" w:type="dxa"/>
            <w:gridSpan w:val="3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-1"/>
                <w:sz w:val="21"/>
                <w:szCs w:val="22"/>
                <w:lang w:val="en-US" w:eastAsia="en-US" w:bidi="ar-SA"/>
              </w:rPr>
              <w:t>外形尺寸</w:t>
            </w:r>
            <w:r>
              <w:rPr>
                <w:rFonts w:hAnsi="Calibri" w:eastAsiaTheme="minorEastAsia" w:cstheme="minorBidi"/>
                <w:color w:val="000000"/>
                <w:spacing w:val="53"/>
                <w:sz w:val="2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cs="宋体" w:eastAsiaTheme="minorEastAsia"/>
                <w:color w:val="000000"/>
                <w:sz w:val="18"/>
                <w:szCs w:val="22"/>
                <w:lang w:val="en-US" w:eastAsia="en-US" w:bidi="ar-SA"/>
              </w:rPr>
              <w:t>(长×宽×高)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2800×800×1200mm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0" w:type="dxa"/>
            <w:vMerge w:val="continue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4551" w:type="dxa"/>
            <w:gridSpan w:val="3"/>
            <w:vAlign w:val="center"/>
          </w:tcPr>
          <w:p>
            <w:pPr>
              <w:spacing w:before="172" w:after="0" w:line="233" w:lineRule="exact"/>
              <w:ind w:right="0"/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-1"/>
                <w:sz w:val="21"/>
                <w:szCs w:val="22"/>
                <w:lang w:val="en-US" w:eastAsia="en-US" w:bidi="ar-SA"/>
              </w:rPr>
              <w:t>车厢尺寸</w:t>
            </w:r>
            <w:r>
              <w:rPr>
                <w:rFonts w:hAnsi="Calibri" w:eastAsiaTheme="minorEastAsia" w:cstheme="minorBidi"/>
                <w:color w:val="000000"/>
                <w:spacing w:val="56"/>
                <w:sz w:val="2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cs="宋体" w:eastAsiaTheme="minorEastAsia"/>
                <w:color w:val="000000"/>
                <w:sz w:val="18"/>
                <w:szCs w:val="22"/>
                <w:lang w:val="en-US" w:eastAsia="en-US" w:bidi="ar-SA"/>
              </w:rPr>
              <w:t>(长×宽×高)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spacing w:before="172" w:after="0" w:line="233" w:lineRule="exact"/>
              <w:ind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3"/>
                <w:sz w:val="21"/>
                <w:szCs w:val="22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0" w:type="dxa"/>
            <w:vMerge w:val="continue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4551" w:type="dxa"/>
            <w:gridSpan w:val="3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4"/>
                <w:sz w:val="21"/>
                <w:szCs w:val="22"/>
                <w:lang w:val="en-US" w:eastAsia="en-US" w:bidi="ar-SA"/>
              </w:rPr>
              <w:t>厢体容积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cs="宋体" w:eastAsiaTheme="minorEastAsia"/>
                <w:color w:val="000000"/>
                <w:sz w:val="21"/>
                <w:szCs w:val="22"/>
                <w:lang w:val="en-US" w:eastAsia="en-US" w:bidi="ar-SA"/>
              </w:rPr>
              <w:t>240L*</w:t>
            </w:r>
            <w:r>
              <w:rPr>
                <w:rFonts w:hint="eastAsia" w:ascii="宋体" w:hAnsi="宋体" w:cs="宋体"/>
                <w:color w:val="000000"/>
                <w:sz w:val="21"/>
                <w:szCs w:val="22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0" w:type="dxa"/>
            <w:vMerge w:val="continue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4551" w:type="dxa"/>
            <w:gridSpan w:val="3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2"/>
                <w:sz w:val="21"/>
                <w:szCs w:val="22"/>
                <w:lang w:val="en-US" w:eastAsia="en-US" w:bidi="ar-SA"/>
              </w:rPr>
              <w:t>后轮距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750mm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0" w:type="dxa"/>
            <w:vMerge w:val="continue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4551" w:type="dxa"/>
            <w:gridSpan w:val="3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1"/>
                <w:sz w:val="21"/>
                <w:szCs w:val="22"/>
                <w:lang w:val="en-US" w:eastAsia="en-US" w:bidi="ar-SA"/>
              </w:rPr>
              <w:t>轴距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1650mm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0" w:type="dxa"/>
            <w:vMerge w:val="continue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4551" w:type="dxa"/>
            <w:gridSpan w:val="3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3"/>
                <w:sz w:val="21"/>
                <w:szCs w:val="22"/>
                <w:lang w:val="en-US" w:eastAsia="en-US" w:bidi="ar-SA"/>
              </w:rPr>
              <w:t>离地间隙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en-US" w:bidi="ar-SA"/>
              </w:rPr>
            </w:pPr>
            <w:r>
              <w:rPr>
                <w:rFonts w:ascii="宋体" w:hAnsi="Calibri" w:eastAsiaTheme="minorEastAsia" w:cstheme="minorBidi"/>
                <w:color w:val="000000"/>
                <w:spacing w:val="1"/>
                <w:sz w:val="21"/>
                <w:szCs w:val="22"/>
                <w:lang w:val="en-US" w:eastAsia="en-US" w:bidi="ar-SA"/>
              </w:rPr>
              <w:t>210mm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0" w:type="dxa"/>
            <w:vMerge w:val="continue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质量参数</w:t>
            </w: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4"/>
                <w:sz w:val="21"/>
                <w:szCs w:val="22"/>
                <w:lang w:val="en-US" w:eastAsia="en-US" w:bidi="ar-SA"/>
              </w:rPr>
              <w:t>整备质量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280kg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4"/>
                <w:sz w:val="21"/>
                <w:szCs w:val="22"/>
                <w:lang w:val="en-US" w:eastAsia="en-US" w:bidi="ar-SA"/>
              </w:rPr>
              <w:t>额定载荷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≥800kg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0" w:type="dxa"/>
            <w:vMerge w:val="continue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3"/>
                <w:sz w:val="21"/>
                <w:szCs w:val="22"/>
                <w:lang w:val="en-US" w:eastAsia="zh-CN" w:bidi="ar-SA"/>
              </w:rPr>
              <w:t>车辆性能</w:t>
            </w: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cs="宋体" w:eastAsiaTheme="minorEastAsia"/>
                <w:color w:val="000000"/>
                <w:spacing w:val="3"/>
                <w:sz w:val="21"/>
                <w:szCs w:val="22"/>
                <w:lang w:val="en-US" w:eastAsia="en-US" w:bidi="ar-SA"/>
              </w:rPr>
              <w:t>行走速度</w:t>
            </w:r>
          </w:p>
        </w:tc>
        <w:tc>
          <w:tcPr>
            <w:tcW w:w="2352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cs="宋体" w:eastAsiaTheme="minorEastAsia"/>
                <w:color w:val="000000"/>
                <w:spacing w:val="-1"/>
                <w:sz w:val="21"/>
                <w:szCs w:val="22"/>
                <w:lang w:val="en-US" w:eastAsia="en-US" w:bidi="ar-SA"/>
              </w:rPr>
              <w:t>≥28Km/h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4"/>
                <w:sz w:val="21"/>
                <w:szCs w:val="22"/>
                <w:lang w:val="en-US" w:eastAsia="en-US" w:bidi="ar-SA"/>
              </w:rPr>
              <w:t>制动距离</w:t>
            </w:r>
          </w:p>
        </w:tc>
        <w:tc>
          <w:tcPr>
            <w:tcW w:w="1422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-3"/>
                <w:sz w:val="21"/>
                <w:szCs w:val="22"/>
                <w:lang w:val="en-US" w:eastAsia="en-US" w:bidi="ar-SA"/>
              </w:rPr>
              <w:t>≦3.5m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0" w:type="dxa"/>
            <w:vMerge w:val="continue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3"/>
                <w:sz w:val="21"/>
                <w:szCs w:val="22"/>
                <w:lang w:val="en-US" w:eastAsia="en-US" w:bidi="ar-SA"/>
              </w:rPr>
              <w:t>续航里程</w:t>
            </w:r>
          </w:p>
        </w:tc>
        <w:tc>
          <w:tcPr>
            <w:tcW w:w="2352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-3"/>
                <w:sz w:val="21"/>
                <w:szCs w:val="22"/>
                <w:lang w:val="en-US" w:eastAsia="en-US" w:bidi="ar-SA"/>
              </w:rPr>
              <w:t>≦60Km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4"/>
                <w:sz w:val="21"/>
                <w:szCs w:val="22"/>
                <w:lang w:val="en-US" w:eastAsia="en-US" w:bidi="ar-SA"/>
              </w:rPr>
              <w:t>最大爬坡度</w:t>
            </w:r>
          </w:p>
        </w:tc>
        <w:tc>
          <w:tcPr>
            <w:tcW w:w="1422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z w:val="21"/>
                <w:szCs w:val="22"/>
                <w:lang w:val="en-US" w:eastAsia="en-US" w:bidi="ar-SA"/>
              </w:rPr>
              <w:t>≦</w:t>
            </w:r>
            <w:r>
              <w:rPr>
                <w:rFonts w:hAnsi="Calibri" w:eastAsiaTheme="minorEastAsia" w:cstheme="minorBidi"/>
                <w:color w:val="000000"/>
                <w:spacing w:val="-37"/>
                <w:sz w:val="2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cs="宋体" w:eastAsiaTheme="minorEastAsia"/>
                <w:color w:val="000000"/>
                <w:spacing w:val="-8"/>
                <w:sz w:val="21"/>
                <w:szCs w:val="22"/>
                <w:lang w:val="en-US" w:eastAsia="en-US" w:bidi="ar-SA"/>
              </w:rPr>
              <w:t>15°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主要配置</w:t>
            </w:r>
          </w:p>
        </w:tc>
        <w:tc>
          <w:tcPr>
            <w:tcW w:w="1147" w:type="dxa"/>
            <w:vMerge w:val="restart"/>
            <w:vAlign w:val="center"/>
          </w:tcPr>
          <w:p>
            <w:pPr>
              <w:spacing w:before="0" w:after="0" w:line="219" w:lineRule="exact"/>
              <w:ind w:right="0"/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ascii="宋体" w:hAnsi="宋体" w:cs="宋体" w:eastAsiaTheme="minorEastAsia"/>
                <w:color w:val="000000"/>
                <w:spacing w:val="-4"/>
                <w:sz w:val="21"/>
                <w:szCs w:val="22"/>
                <w:lang w:val="en-US" w:eastAsia="en-US" w:bidi="ar-SA"/>
              </w:rPr>
              <w:t>电控系</w:t>
            </w:r>
            <w:r>
              <w:rPr>
                <w:rFonts w:hint="eastAsia" w:ascii="宋体" w:hAnsi="宋体" w:cs="宋体"/>
                <w:color w:val="000000"/>
                <w:spacing w:val="-4"/>
                <w:sz w:val="21"/>
                <w:szCs w:val="22"/>
                <w:lang w:val="en-US" w:eastAsia="zh-CN" w:bidi="ar-SA"/>
              </w:rPr>
              <w:t>统</w:t>
            </w: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-11"/>
                <w:sz w:val="21"/>
                <w:szCs w:val="22"/>
                <w:lang w:val="en-US" w:eastAsia="en-US" w:bidi="ar-SA"/>
              </w:rPr>
              <w:t>电控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60V800W直流无刷控制器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0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电池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60/32Ah铅酸蓄电池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0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电机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800W直流无刷电机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0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2"/>
                <w:sz w:val="21"/>
                <w:szCs w:val="22"/>
                <w:lang w:val="en-US" w:eastAsia="en-US" w:bidi="ar-SA"/>
              </w:rPr>
              <w:t>充电器</w:t>
            </w:r>
          </w:p>
        </w:tc>
        <w:tc>
          <w:tcPr>
            <w:tcW w:w="2352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3"/>
                <w:sz w:val="21"/>
                <w:szCs w:val="22"/>
                <w:lang w:val="en-US" w:eastAsia="en-US" w:bidi="ar-SA"/>
              </w:rPr>
              <w:t>智能充电器</w:t>
            </w:r>
          </w:p>
        </w:tc>
        <w:tc>
          <w:tcPr>
            <w:tcW w:w="2817" w:type="dxa"/>
            <w:gridSpan w:val="3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3"/>
                <w:sz w:val="21"/>
                <w:szCs w:val="22"/>
                <w:lang w:val="en-US" w:eastAsia="en-US" w:bidi="ar-SA"/>
              </w:rPr>
              <w:t>电池型号决定充电器型号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0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3"/>
                <w:sz w:val="21"/>
                <w:szCs w:val="22"/>
                <w:lang w:val="en-US" w:eastAsia="en-US" w:bidi="ar-SA"/>
              </w:rPr>
              <w:t>充电时间</w:t>
            </w:r>
          </w:p>
        </w:tc>
        <w:tc>
          <w:tcPr>
            <w:tcW w:w="2352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1"/>
                <w:sz w:val="21"/>
                <w:szCs w:val="22"/>
                <w:lang w:val="en-US" w:eastAsia="en-US" w:bidi="ar-SA"/>
              </w:rPr>
              <w:t>6-8小时</w:t>
            </w:r>
          </w:p>
        </w:tc>
        <w:tc>
          <w:tcPr>
            <w:tcW w:w="2817" w:type="dxa"/>
            <w:gridSpan w:val="3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5"/>
                <w:sz w:val="21"/>
                <w:szCs w:val="22"/>
                <w:lang w:val="en-US" w:eastAsia="en-US" w:bidi="ar-SA"/>
              </w:rPr>
              <w:t>温度会影响充电时间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0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1"/>
                <w:sz w:val="21"/>
                <w:szCs w:val="22"/>
                <w:lang w:val="en-US" w:eastAsia="en-US" w:bidi="ar-SA"/>
              </w:rPr>
              <w:t>座椅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皮革软座椅，皮革靠垫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0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2"/>
                <w:sz w:val="21"/>
                <w:szCs w:val="22"/>
                <w:lang w:val="en-US" w:eastAsia="en-US" w:bidi="ar-SA"/>
              </w:rPr>
              <w:t>后视镜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5"/>
                <w:sz w:val="21"/>
                <w:szCs w:val="22"/>
                <w:lang w:val="en-US" w:eastAsia="en-US" w:bidi="ar-SA"/>
              </w:rPr>
              <w:t>大视野无死角后视镜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0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4"/>
                <w:sz w:val="21"/>
                <w:szCs w:val="22"/>
                <w:lang w:val="en-US" w:eastAsia="en-US" w:bidi="ar-SA"/>
              </w:rPr>
              <w:t>灯光及信号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5"/>
                <w:sz w:val="21"/>
                <w:szCs w:val="22"/>
                <w:lang w:val="en-US" w:eastAsia="en-US" w:bidi="ar-SA"/>
              </w:rPr>
              <w:t>LED大灯+转向灯+刹车灯+整体后尾灯+示警灯+倒车语音提示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0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1"/>
                <w:sz w:val="21"/>
                <w:szCs w:val="22"/>
                <w:lang w:val="en-US" w:eastAsia="en-US" w:bidi="ar-SA"/>
              </w:rPr>
              <w:t>车厢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5"/>
                <w:sz w:val="21"/>
                <w:szCs w:val="22"/>
                <w:lang w:val="en-US" w:eastAsia="en-US" w:bidi="ar-SA"/>
              </w:rPr>
              <w:t>底板1.5mm侧板1.2mm钢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0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底盘系统</w:t>
            </w:r>
          </w:p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vertAlign w:val="baseline"/>
                <w:lang w:val="en-US" w:eastAsia="en-US"/>
              </w:rPr>
              <w:t>车架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vertAlign w:val="baseline"/>
                <w:lang w:val="en-US" w:eastAsia="en-US"/>
              </w:rPr>
              <w:t>方管焊接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0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1"/>
                <w:sz w:val="21"/>
                <w:szCs w:val="22"/>
                <w:lang w:val="en-US" w:eastAsia="en-US" w:bidi="ar-SA"/>
              </w:rPr>
              <w:t>轮胎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3"/>
                <w:sz w:val="21"/>
                <w:szCs w:val="22"/>
                <w:lang w:val="en-US" w:eastAsia="en-US" w:bidi="ar-SA"/>
              </w:rPr>
              <w:t>前3</w:t>
            </w:r>
            <w:r>
              <w:rPr>
                <w:rFonts w:hint="eastAsia" w:ascii="宋体" w:hAnsi="宋体" w:cs="宋体"/>
                <w:color w:val="000000"/>
                <w:spacing w:val="3"/>
                <w:sz w:val="21"/>
                <w:szCs w:val="22"/>
                <w:lang w:val="en-US" w:eastAsia="zh-CN" w:bidi="ar-SA"/>
              </w:rPr>
              <w:t>0</w:t>
            </w:r>
            <w:r>
              <w:rPr>
                <w:rFonts w:ascii="宋体" w:hAnsi="宋体" w:cs="宋体" w:eastAsiaTheme="minorEastAsia"/>
                <w:color w:val="000000"/>
                <w:spacing w:val="3"/>
                <w:sz w:val="21"/>
                <w:szCs w:val="22"/>
                <w:lang w:val="en-US" w:eastAsia="en-US" w:bidi="ar-SA"/>
              </w:rPr>
              <w:t>0-12</w:t>
            </w:r>
            <w:r>
              <w:rPr>
                <w:rFonts w:hAnsi="Calibri" w:eastAsiaTheme="minorEastAsia" w:cstheme="minorBidi"/>
                <w:color w:val="000000"/>
                <w:spacing w:val="165"/>
                <w:sz w:val="2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cs="宋体" w:eastAsiaTheme="minorEastAsia"/>
                <w:color w:val="000000"/>
                <w:spacing w:val="1"/>
                <w:sz w:val="21"/>
                <w:szCs w:val="22"/>
                <w:lang w:val="en-US" w:eastAsia="en-US" w:bidi="ar-SA"/>
              </w:rPr>
              <w:t>后3</w:t>
            </w:r>
            <w:r>
              <w:rPr>
                <w:rFonts w:hint="eastAsia" w:ascii="宋体" w:hAnsi="宋体" w:cs="宋体"/>
                <w:color w:val="000000"/>
                <w:spacing w:val="1"/>
                <w:sz w:val="21"/>
                <w:szCs w:val="22"/>
                <w:lang w:val="en-US" w:eastAsia="zh-CN" w:bidi="ar-SA"/>
              </w:rPr>
              <w:t>0</w:t>
            </w:r>
            <w:r>
              <w:rPr>
                <w:rFonts w:ascii="宋体" w:hAnsi="宋体" w:cs="宋体" w:eastAsiaTheme="minorEastAsia"/>
                <w:color w:val="000000"/>
                <w:spacing w:val="1"/>
                <w:sz w:val="21"/>
                <w:szCs w:val="22"/>
                <w:lang w:val="en-US" w:eastAsia="en-US" w:bidi="ar-SA"/>
              </w:rPr>
              <w:t>0-12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0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4"/>
                <w:sz w:val="21"/>
                <w:szCs w:val="22"/>
                <w:lang w:val="en-US" w:eastAsia="en-US" w:bidi="ar-SA"/>
              </w:rPr>
              <w:t>转向方式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4"/>
                <w:sz w:val="21"/>
                <w:szCs w:val="22"/>
                <w:lang w:val="en-US" w:eastAsia="en-US" w:bidi="ar-SA"/>
              </w:rPr>
              <w:t>方向把式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0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4"/>
                <w:sz w:val="21"/>
                <w:szCs w:val="22"/>
                <w:lang w:val="en-US" w:eastAsia="en-US" w:bidi="ar-SA"/>
              </w:rPr>
              <w:t>制动系统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5"/>
                <w:sz w:val="21"/>
                <w:szCs w:val="22"/>
                <w:lang w:val="en-US" w:eastAsia="en-US" w:bidi="ar-SA"/>
              </w:rPr>
              <w:t>机械式后轮手刹+脚刹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70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4"/>
                <w:sz w:val="21"/>
                <w:szCs w:val="22"/>
                <w:lang w:val="en-US" w:eastAsia="en-US" w:bidi="ar-SA"/>
              </w:rPr>
              <w:t>前后桥及悬挂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spacing w:before="0" w:after="0" w:line="209" w:lineRule="exact"/>
              <w:ind w:left="0" w:right="0" w:firstLine="0"/>
              <w:jc w:val="both"/>
              <w:rPr>
                <w:vertAlign w:val="baseline"/>
              </w:rPr>
            </w:pPr>
            <w:r>
              <w:rPr>
                <w:rFonts w:ascii="宋体" w:hAnsi="宋体" w:cs="宋体" w:eastAsiaTheme="minorEastAsia"/>
                <w:color w:val="000000"/>
                <w:spacing w:val="5"/>
                <w:sz w:val="21"/>
                <w:szCs w:val="22"/>
                <w:lang w:val="en-US" w:eastAsia="en-US" w:bidi="ar-SA"/>
              </w:rPr>
              <w:t>前悬挂双内外弹簧液压缩管式前减震器；后悬挂采用弹簧钢板型，驱动桥采用载重高低速后桥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67FAA"/>
    <w:rsid w:val="06B67FAA"/>
    <w:rsid w:val="26BC6AE2"/>
    <w:rsid w:val="4169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2022-12-23T06:38:00Z</dcterms:created>
  <dc:creator>Jo亮 </dc:creator>
  <cp:lastModifiedBy>Jo亮 </cp:lastModifiedBy>
  <dcterms:modified xsi:type="dcterms:W3CDTF">2022-12-23T07:17:39Z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