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auto"/>
          <w:sz w:val="32"/>
          <w:szCs w:val="32"/>
          <w:highlight w:val="none"/>
          <w:u w:val="single"/>
        </w:rPr>
      </w:pPr>
    </w:p>
    <w:p>
      <w:pPr>
        <w:pStyle w:val="49"/>
        <w:rPr>
          <w:rFonts w:ascii="宋体" w:hAnsi="宋体" w:cs="宋体"/>
          <w:color w:val="auto"/>
          <w:sz w:val="32"/>
          <w:szCs w:val="32"/>
          <w:highlight w:val="none"/>
          <w:u w:val="single"/>
        </w:rPr>
      </w:pPr>
    </w:p>
    <w:p>
      <w:pPr>
        <w:jc w:val="center"/>
        <w:rPr>
          <w:rFonts w:hint="eastAsia" w:ascii="宋体" w:hAnsi="宋体" w:cs="宋体"/>
          <w:b/>
          <w:bCs/>
          <w:color w:val="auto"/>
          <w:sz w:val="44"/>
          <w:szCs w:val="44"/>
          <w:highlight w:val="none"/>
          <w:u w:val="single"/>
        </w:rPr>
      </w:pPr>
      <w:r>
        <w:rPr>
          <w:rFonts w:hint="eastAsia" w:ascii="宋体" w:hAnsi="宋体" w:cs="宋体"/>
          <w:b/>
          <w:bCs/>
          <w:color w:val="auto"/>
          <w:sz w:val="44"/>
          <w:szCs w:val="44"/>
          <w:highlight w:val="none"/>
          <w:u w:val="single"/>
        </w:rPr>
        <w:t>荔湾区2023年树木保护和复壮工程监理</w:t>
      </w:r>
    </w:p>
    <w:p>
      <w:pPr>
        <w:jc w:val="center"/>
        <w:rPr>
          <w:rFonts w:ascii="宋体" w:hAnsi="宋体" w:cs="宋体"/>
          <w:b/>
          <w:bCs/>
          <w:color w:val="auto"/>
          <w:sz w:val="52"/>
          <w:szCs w:val="52"/>
          <w:highlight w:val="none"/>
        </w:rPr>
      </w:pPr>
    </w:p>
    <w:p>
      <w:pPr>
        <w:jc w:val="center"/>
        <w:rPr>
          <w:rFonts w:ascii="宋体" w:hAnsi="宋体" w:cs="宋体"/>
          <w:b/>
          <w:bCs/>
          <w:color w:val="auto"/>
          <w:sz w:val="48"/>
          <w:szCs w:val="48"/>
          <w:highlight w:val="none"/>
        </w:rPr>
      </w:pPr>
      <w:r>
        <w:rPr>
          <w:rFonts w:hint="eastAsia" w:ascii="宋体" w:hAnsi="宋体" w:cs="宋体"/>
          <w:b/>
          <w:bCs/>
          <w:color w:val="auto"/>
          <w:sz w:val="52"/>
          <w:szCs w:val="52"/>
          <w:highlight w:val="none"/>
        </w:rPr>
        <w:t>询比文件</w:t>
      </w:r>
    </w:p>
    <w:p>
      <w:pPr>
        <w:rPr>
          <w:rFonts w:ascii="宋体" w:hAnsi="宋体" w:cs="宋体"/>
          <w:b/>
          <w:bCs/>
          <w:color w:val="auto"/>
          <w:sz w:val="44"/>
          <w:highlight w:val="none"/>
        </w:rPr>
      </w:pPr>
    </w:p>
    <w:p>
      <w:pPr>
        <w:rPr>
          <w:rFonts w:ascii="宋体" w:hAnsi="宋体" w:cs="宋体"/>
          <w:b/>
          <w:bCs/>
          <w:color w:val="auto"/>
          <w:sz w:val="44"/>
          <w:highlight w:val="none"/>
        </w:rPr>
      </w:pPr>
    </w:p>
    <w:p>
      <w:pPr>
        <w:rPr>
          <w:rFonts w:ascii="宋体" w:hAnsi="宋体" w:cs="宋体"/>
          <w:b/>
          <w:bCs/>
          <w:color w:val="auto"/>
          <w:sz w:val="44"/>
          <w:highlight w:val="none"/>
        </w:rPr>
      </w:pPr>
    </w:p>
    <w:p>
      <w:pPr>
        <w:rPr>
          <w:rFonts w:ascii="宋体" w:hAnsi="宋体" w:cs="宋体"/>
          <w:b/>
          <w:bCs/>
          <w:color w:val="auto"/>
          <w:sz w:val="44"/>
          <w:highlight w:val="none"/>
        </w:rPr>
      </w:pPr>
    </w:p>
    <w:p>
      <w:pPr>
        <w:rPr>
          <w:rFonts w:ascii="宋体" w:hAnsi="宋体" w:cs="宋体"/>
          <w:b/>
          <w:bCs/>
          <w:color w:val="auto"/>
          <w:sz w:val="44"/>
          <w:highlight w:val="none"/>
        </w:rPr>
      </w:pPr>
    </w:p>
    <w:p>
      <w:pPr>
        <w:rPr>
          <w:rFonts w:ascii="宋体" w:hAnsi="宋体" w:cs="宋体"/>
          <w:b/>
          <w:bCs/>
          <w:color w:val="auto"/>
          <w:sz w:val="44"/>
          <w:highlight w:val="none"/>
        </w:rPr>
      </w:pPr>
    </w:p>
    <w:p>
      <w:pPr>
        <w:rPr>
          <w:rFonts w:ascii="宋体" w:hAnsi="宋体" w:cs="宋体"/>
          <w:b/>
          <w:bCs/>
          <w:color w:val="auto"/>
          <w:sz w:val="44"/>
          <w:highlight w:val="none"/>
        </w:rPr>
      </w:pPr>
    </w:p>
    <w:p>
      <w:pPr>
        <w:rPr>
          <w:rFonts w:ascii="宋体" w:hAnsi="宋体" w:cs="宋体"/>
          <w:b/>
          <w:bCs/>
          <w:color w:val="auto"/>
          <w:sz w:val="44"/>
          <w:highlight w:val="none"/>
        </w:rPr>
      </w:pPr>
    </w:p>
    <w:p>
      <w:pPr>
        <w:rPr>
          <w:rFonts w:ascii="宋体" w:hAnsi="宋体" w:cs="宋体"/>
          <w:b/>
          <w:bCs/>
          <w:color w:val="auto"/>
          <w:sz w:val="44"/>
          <w:highlight w:val="none"/>
        </w:rPr>
      </w:pPr>
    </w:p>
    <w:p>
      <w:pPr>
        <w:jc w:val="center"/>
        <w:rPr>
          <w:rFonts w:ascii="宋体" w:hAnsi="宋体" w:cs="宋体"/>
          <w:b/>
          <w:bCs/>
          <w:color w:val="auto"/>
          <w:sz w:val="32"/>
          <w:szCs w:val="32"/>
          <w:highlight w:val="none"/>
        </w:rPr>
      </w:pPr>
      <w:r>
        <w:rPr>
          <w:rFonts w:hint="eastAsia" w:ascii="宋体" w:hAnsi="宋体" w:cs="宋体"/>
          <w:b/>
          <w:bCs/>
          <w:color w:val="auto"/>
          <w:sz w:val="32"/>
          <w:highlight w:val="none"/>
        </w:rPr>
        <w:t>询价单位：</w:t>
      </w:r>
      <w:r>
        <w:rPr>
          <w:rFonts w:hint="eastAsia" w:ascii="宋体" w:hAnsi="宋体" w:cs="宋体"/>
          <w:b/>
          <w:bCs/>
          <w:color w:val="auto"/>
          <w:sz w:val="32"/>
          <w:szCs w:val="32"/>
          <w:highlight w:val="none"/>
        </w:rPr>
        <w:t>广州市荔湾区市政园林绿化管理中心</w:t>
      </w:r>
    </w:p>
    <w:p>
      <w:pPr>
        <w:jc w:val="center"/>
        <w:outlineLvl w:val="0"/>
        <w:rPr>
          <w:rFonts w:hint="eastAsia" w:ascii="宋体" w:hAnsi="宋体" w:cs="宋体"/>
          <w:b/>
          <w:bCs/>
          <w:color w:val="auto"/>
          <w:sz w:val="32"/>
          <w:highlight w:val="none"/>
        </w:rPr>
      </w:pPr>
      <w:bookmarkStart w:id="0" w:name="_Toc13051"/>
      <w:bookmarkStart w:id="1" w:name="_Toc15809"/>
      <w:r>
        <w:rPr>
          <w:rFonts w:hint="eastAsia" w:ascii="宋体" w:hAnsi="宋体" w:cs="宋体"/>
          <w:b/>
          <w:bCs/>
          <w:color w:val="auto"/>
          <w:sz w:val="32"/>
          <w:highlight w:val="none"/>
        </w:rPr>
        <w:t>询比代理单位：广州标旗咨询有限公司</w:t>
      </w:r>
      <w:bookmarkEnd w:id="0"/>
      <w:bookmarkEnd w:id="1"/>
    </w:p>
    <w:p>
      <w:pPr>
        <w:jc w:val="center"/>
        <w:rPr>
          <w:rFonts w:ascii="宋体" w:hAnsi="宋体" w:cs="宋体"/>
          <w:b/>
          <w:color w:val="auto"/>
          <w:sz w:val="32"/>
          <w:szCs w:val="32"/>
          <w:highlight w:val="none"/>
        </w:rPr>
      </w:pPr>
    </w:p>
    <w:p>
      <w:pPr>
        <w:jc w:val="center"/>
        <w:rPr>
          <w:rFonts w:ascii="宋体" w:hAnsi="宋体" w:cs="宋体"/>
          <w:b/>
          <w:bCs/>
          <w:color w:val="auto"/>
          <w:sz w:val="44"/>
          <w:highlight w:val="none"/>
        </w:rPr>
      </w:pPr>
      <w:r>
        <w:rPr>
          <w:rFonts w:hint="eastAsia" w:ascii="宋体" w:hAnsi="宋体" w:cs="宋体"/>
          <w:b/>
          <w:color w:val="auto"/>
          <w:sz w:val="32"/>
          <w:szCs w:val="32"/>
          <w:highlight w:val="none"/>
        </w:rPr>
        <w:t>二O二三年</w:t>
      </w:r>
      <w:r>
        <w:rPr>
          <w:rFonts w:hint="eastAsia" w:ascii="宋体" w:hAnsi="宋体" w:cs="宋体"/>
          <w:b/>
          <w:color w:val="auto"/>
          <w:sz w:val="32"/>
          <w:szCs w:val="32"/>
          <w:highlight w:val="none"/>
          <w:lang w:eastAsia="zh-CN"/>
        </w:rPr>
        <w:t>三</w:t>
      </w:r>
      <w:r>
        <w:rPr>
          <w:rFonts w:hint="eastAsia" w:ascii="宋体" w:hAnsi="宋体" w:cs="宋体"/>
          <w:b/>
          <w:color w:val="auto"/>
          <w:sz w:val="32"/>
          <w:szCs w:val="32"/>
          <w:highlight w:val="none"/>
        </w:rPr>
        <w:t>月</w:t>
      </w:r>
    </w:p>
    <w:p>
      <w:pPr>
        <w:spacing w:line="360" w:lineRule="auto"/>
        <w:ind w:firstLine="643" w:firstLineChars="200"/>
        <w:jc w:val="center"/>
        <w:textAlignment w:val="top"/>
        <w:rPr>
          <w:rFonts w:ascii="宋体" w:hAnsi="宋体" w:cs="宋体"/>
          <w:b/>
          <w:bCs/>
          <w:color w:val="auto"/>
          <w:sz w:val="32"/>
          <w:szCs w:val="32"/>
          <w:highlight w:val="none"/>
          <w:shd w:val="clear" w:color="auto" w:fill="FFFFFF"/>
        </w:rPr>
      </w:pPr>
    </w:p>
    <w:p>
      <w:pPr>
        <w:spacing w:line="360" w:lineRule="auto"/>
        <w:ind w:firstLine="643" w:firstLineChars="200"/>
        <w:jc w:val="center"/>
        <w:textAlignment w:val="top"/>
        <w:rPr>
          <w:rFonts w:ascii="宋体" w:hAnsi="宋体" w:cs="宋体"/>
          <w:b/>
          <w:bCs/>
          <w:color w:val="auto"/>
          <w:sz w:val="32"/>
          <w:szCs w:val="32"/>
          <w:highlight w:val="none"/>
          <w:shd w:val="clear" w:color="auto" w:fill="FFFFFF"/>
        </w:rPr>
      </w:pPr>
    </w:p>
    <w:p>
      <w:pPr>
        <w:spacing w:line="360" w:lineRule="auto"/>
        <w:ind w:firstLine="643" w:firstLineChars="200"/>
        <w:jc w:val="center"/>
        <w:textAlignment w:val="top"/>
        <w:rPr>
          <w:rFonts w:ascii="宋体" w:hAnsi="宋体" w:cs="宋体"/>
          <w:b/>
          <w:bCs/>
          <w:color w:val="auto"/>
          <w:sz w:val="32"/>
          <w:szCs w:val="32"/>
          <w:highlight w:val="none"/>
          <w:shd w:val="clear" w:color="auto" w:fill="FFFFFF"/>
        </w:rPr>
        <w:sectPr>
          <w:footerReference r:id="rId5" w:type="default"/>
          <w:pgSz w:w="11906" w:h="16838"/>
          <w:pgMar w:top="1440" w:right="1417" w:bottom="1440" w:left="1417" w:header="851" w:footer="992" w:gutter="0"/>
          <w:pgNumType w:start="1"/>
          <w:cols w:space="720" w:num="1"/>
          <w:docGrid w:type="lines" w:linePitch="312" w:charSpace="0"/>
        </w:sectPr>
      </w:pPr>
    </w:p>
    <w:p>
      <w:pPr>
        <w:pStyle w:val="49"/>
        <w:spacing w:line="360" w:lineRule="auto"/>
        <w:rPr>
          <w:rFonts w:hint="eastAsia" w:ascii="宋体" w:hAnsi="宋体" w:cs="宋体"/>
          <w:b/>
          <w:bCs/>
          <w:color w:val="auto"/>
          <w:sz w:val="24"/>
          <w:szCs w:val="24"/>
          <w:highlight w:val="none"/>
        </w:rPr>
      </w:pP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目    录</w:t>
      </w:r>
    </w:p>
    <w:p>
      <w:pPr>
        <w:pStyle w:val="18"/>
        <w:tabs>
          <w:tab w:val="right" w:leader="dot" w:pos="9072"/>
        </w:tabs>
        <w:spacing w:line="360" w:lineRule="auto"/>
        <w:rPr>
          <w:rFonts w:hint="eastAsia" w:ascii="宋体" w:hAnsi="宋体" w:cs="宋体"/>
          <w:b/>
          <w:color w:val="auto"/>
          <w:sz w:val="24"/>
          <w:szCs w:val="24"/>
          <w:highlight w:val="none"/>
        </w:rPr>
      </w:pPr>
      <w:r>
        <w:rPr>
          <w:rFonts w:hint="eastAsia" w:ascii="宋体" w:hAnsi="宋体" w:cs="宋体"/>
          <w:b/>
          <w:bCs/>
          <w:color w:val="auto"/>
          <w:sz w:val="24"/>
          <w:szCs w:val="24"/>
          <w:highlight w:val="none"/>
          <w:shd w:val="clear" w:color="auto" w:fill="FFFFFF"/>
        </w:rPr>
        <w:fldChar w:fldCharType="begin"/>
      </w:r>
      <w:r>
        <w:rPr>
          <w:rFonts w:hint="eastAsia" w:ascii="宋体" w:hAnsi="宋体" w:cs="宋体"/>
          <w:b/>
          <w:bCs/>
          <w:color w:val="auto"/>
          <w:sz w:val="24"/>
          <w:szCs w:val="24"/>
          <w:highlight w:val="none"/>
          <w:shd w:val="clear" w:color="auto" w:fill="FFFFFF"/>
        </w:rPr>
        <w:instrText xml:space="preserve">TOC \o "1-1" \h \u </w:instrText>
      </w:r>
      <w:r>
        <w:rPr>
          <w:rFonts w:hint="eastAsia" w:ascii="宋体" w:hAnsi="宋体" w:cs="宋体"/>
          <w:b/>
          <w:bCs/>
          <w:color w:val="auto"/>
          <w:sz w:val="24"/>
          <w:szCs w:val="24"/>
          <w:highlight w:val="none"/>
          <w:shd w:val="clear" w:color="auto" w:fill="FFFFFF"/>
        </w:rPr>
        <w:fldChar w:fldCharType="separate"/>
      </w:r>
      <w:r>
        <w:rPr>
          <w:rFonts w:hint="eastAsia" w:ascii="宋体" w:hAnsi="宋体" w:cs="宋体"/>
          <w:b/>
          <w:color w:val="auto"/>
          <w:sz w:val="24"/>
          <w:szCs w:val="24"/>
          <w:highlight w:val="none"/>
          <w:shd w:val="clear" w:color="auto" w:fill="FFFFFF"/>
        </w:rPr>
        <w:fldChar w:fldCharType="begin"/>
      </w:r>
      <w:r>
        <w:rPr>
          <w:rFonts w:hint="eastAsia" w:ascii="宋体" w:hAnsi="宋体" w:cs="宋体"/>
          <w:b/>
          <w:color w:val="auto"/>
          <w:sz w:val="24"/>
          <w:szCs w:val="24"/>
          <w:highlight w:val="none"/>
          <w:shd w:val="clear" w:color="auto" w:fill="FFFFFF"/>
        </w:rPr>
        <w:instrText xml:space="preserve"> HYPERLINK \l _Toc11163 </w:instrText>
      </w:r>
      <w:r>
        <w:rPr>
          <w:rFonts w:hint="eastAsia" w:ascii="宋体" w:hAnsi="宋体" w:cs="宋体"/>
          <w:b/>
          <w:color w:val="auto"/>
          <w:sz w:val="24"/>
          <w:szCs w:val="24"/>
          <w:highlight w:val="none"/>
          <w:shd w:val="clear" w:color="auto" w:fill="FFFFFF"/>
        </w:rPr>
        <w:fldChar w:fldCharType="separate"/>
      </w:r>
      <w:r>
        <w:rPr>
          <w:rFonts w:hint="eastAsia" w:ascii="宋体" w:hAnsi="宋体" w:cs="宋体"/>
          <w:b/>
          <w:color w:val="auto"/>
          <w:sz w:val="24"/>
          <w:szCs w:val="24"/>
          <w:highlight w:val="none"/>
          <w:shd w:val="clear" w:color="auto" w:fill="FFFFFF"/>
        </w:rPr>
        <w:t>第一章  询比公告</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_Toc11163 \h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2</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shd w:val="clear" w:color="auto" w:fill="FFFFFF"/>
        </w:rPr>
        <w:fldChar w:fldCharType="end"/>
      </w:r>
    </w:p>
    <w:p>
      <w:pPr>
        <w:pStyle w:val="18"/>
        <w:tabs>
          <w:tab w:val="right" w:leader="dot" w:pos="9072"/>
        </w:tabs>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shd w:val="clear" w:color="auto" w:fill="FFFFFF"/>
        </w:rPr>
        <w:fldChar w:fldCharType="begin"/>
      </w:r>
      <w:r>
        <w:rPr>
          <w:rFonts w:hint="eastAsia" w:ascii="宋体" w:hAnsi="宋体" w:cs="宋体"/>
          <w:b/>
          <w:color w:val="auto"/>
          <w:sz w:val="24"/>
          <w:szCs w:val="24"/>
          <w:highlight w:val="none"/>
          <w:shd w:val="clear" w:color="auto" w:fill="FFFFFF"/>
        </w:rPr>
        <w:instrText xml:space="preserve"> HYPERLINK \l _Toc26291 </w:instrText>
      </w:r>
      <w:r>
        <w:rPr>
          <w:rFonts w:hint="eastAsia" w:ascii="宋体" w:hAnsi="宋体" w:cs="宋体"/>
          <w:b/>
          <w:color w:val="auto"/>
          <w:sz w:val="24"/>
          <w:szCs w:val="24"/>
          <w:highlight w:val="none"/>
          <w:shd w:val="clear" w:color="auto" w:fill="FFFFFF"/>
        </w:rPr>
        <w:fldChar w:fldCharType="separate"/>
      </w:r>
      <w:r>
        <w:rPr>
          <w:rFonts w:hint="eastAsia" w:ascii="宋体" w:hAnsi="宋体" w:cs="宋体"/>
          <w:b/>
          <w:color w:val="auto"/>
          <w:sz w:val="24"/>
          <w:szCs w:val="24"/>
          <w:highlight w:val="none"/>
        </w:rPr>
        <w:t>第二章 评审办法</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_Toc26291 \h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5</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shd w:val="clear" w:color="auto" w:fill="FFFFFF"/>
        </w:rPr>
        <w:fldChar w:fldCharType="end"/>
      </w:r>
    </w:p>
    <w:p>
      <w:pPr>
        <w:pStyle w:val="18"/>
        <w:tabs>
          <w:tab w:val="right" w:leader="dot" w:pos="9072"/>
        </w:tabs>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shd w:val="clear" w:color="auto" w:fill="FFFFFF"/>
        </w:rPr>
        <w:fldChar w:fldCharType="begin"/>
      </w:r>
      <w:r>
        <w:rPr>
          <w:rFonts w:hint="eastAsia" w:ascii="宋体" w:hAnsi="宋体" w:cs="宋体"/>
          <w:b/>
          <w:color w:val="auto"/>
          <w:sz w:val="24"/>
          <w:szCs w:val="24"/>
          <w:highlight w:val="none"/>
          <w:shd w:val="clear" w:color="auto" w:fill="FFFFFF"/>
        </w:rPr>
        <w:instrText xml:space="preserve"> HYPERLINK \l _Toc20535 </w:instrText>
      </w:r>
      <w:r>
        <w:rPr>
          <w:rFonts w:hint="eastAsia" w:ascii="宋体" w:hAnsi="宋体" w:cs="宋体"/>
          <w:b/>
          <w:color w:val="auto"/>
          <w:sz w:val="24"/>
          <w:szCs w:val="24"/>
          <w:highlight w:val="none"/>
          <w:shd w:val="clear" w:color="auto" w:fill="FFFFFF"/>
        </w:rPr>
        <w:fldChar w:fldCharType="separate"/>
      </w:r>
      <w:r>
        <w:rPr>
          <w:rFonts w:hint="eastAsia" w:ascii="宋体" w:hAnsi="宋体" w:cs="宋体"/>
          <w:b/>
          <w:color w:val="auto"/>
          <w:kern w:val="28"/>
          <w:sz w:val="24"/>
          <w:szCs w:val="24"/>
          <w:highlight w:val="none"/>
        </w:rPr>
        <w:t>第三章 报价文件</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_Toc20535 \h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6</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shd w:val="clear" w:color="auto" w:fill="FFFFFF"/>
        </w:rPr>
        <w:fldChar w:fldCharType="end"/>
      </w:r>
    </w:p>
    <w:p>
      <w:pPr>
        <w:pStyle w:val="18"/>
        <w:tabs>
          <w:tab w:val="right" w:leader="dot" w:pos="9072"/>
        </w:tabs>
        <w:spacing w:line="360" w:lineRule="auto"/>
        <w:rPr>
          <w:rFonts w:hint="eastAsia" w:ascii="宋体" w:hAnsi="宋体" w:cs="宋体"/>
          <w:color w:val="auto"/>
          <w:sz w:val="24"/>
          <w:szCs w:val="24"/>
          <w:highlight w:val="none"/>
        </w:rPr>
      </w:pPr>
      <w:r>
        <w:rPr>
          <w:rFonts w:hint="eastAsia" w:ascii="宋体" w:hAnsi="宋体" w:cs="宋体"/>
          <w:b/>
          <w:color w:val="auto"/>
          <w:sz w:val="24"/>
          <w:szCs w:val="24"/>
          <w:highlight w:val="none"/>
          <w:shd w:val="clear" w:color="auto" w:fill="FFFFFF"/>
        </w:rPr>
        <w:fldChar w:fldCharType="begin"/>
      </w:r>
      <w:r>
        <w:rPr>
          <w:rFonts w:hint="eastAsia" w:ascii="宋体" w:hAnsi="宋体" w:cs="宋体"/>
          <w:b/>
          <w:color w:val="auto"/>
          <w:sz w:val="24"/>
          <w:szCs w:val="24"/>
          <w:highlight w:val="none"/>
          <w:shd w:val="clear" w:color="auto" w:fill="FFFFFF"/>
        </w:rPr>
        <w:instrText xml:space="preserve"> HYPERLINK \l _Toc13619 </w:instrText>
      </w:r>
      <w:r>
        <w:rPr>
          <w:rFonts w:hint="eastAsia" w:ascii="宋体" w:hAnsi="宋体" w:cs="宋体"/>
          <w:b/>
          <w:color w:val="auto"/>
          <w:sz w:val="24"/>
          <w:szCs w:val="24"/>
          <w:highlight w:val="none"/>
          <w:shd w:val="clear" w:color="auto" w:fill="FFFFFF"/>
        </w:rPr>
        <w:fldChar w:fldCharType="separate"/>
      </w:r>
      <w:r>
        <w:rPr>
          <w:rFonts w:hint="eastAsia" w:ascii="宋体" w:hAnsi="宋体" w:cs="宋体"/>
          <w:b/>
          <w:color w:val="auto"/>
          <w:kern w:val="28"/>
          <w:sz w:val="24"/>
          <w:szCs w:val="24"/>
          <w:highlight w:val="none"/>
        </w:rPr>
        <w:t>第四章 合同</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_Toc13619 \h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17</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shd w:val="clear" w:color="auto" w:fill="FFFFFF"/>
        </w:rPr>
        <w:fldChar w:fldCharType="end"/>
      </w:r>
    </w:p>
    <w:p>
      <w:pPr>
        <w:spacing w:line="360" w:lineRule="auto"/>
        <w:ind w:firstLine="480" w:firstLineChars="200"/>
        <w:jc w:val="center"/>
        <w:textAlignment w:val="top"/>
        <w:rPr>
          <w:rFonts w:hint="eastAsia" w:ascii="宋体" w:hAnsi="宋体" w:cs="宋体"/>
          <w:b/>
          <w:bCs/>
          <w:color w:val="auto"/>
          <w:sz w:val="24"/>
          <w:szCs w:val="24"/>
          <w:highlight w:val="none"/>
          <w:shd w:val="clear" w:color="auto" w:fill="FFFFFF"/>
        </w:rPr>
        <w:sectPr>
          <w:footerReference r:id="rId6" w:type="default"/>
          <w:pgSz w:w="11906" w:h="16838"/>
          <w:pgMar w:top="1440" w:right="1417" w:bottom="1440" w:left="1417" w:header="851" w:footer="992" w:gutter="0"/>
          <w:pgNumType w:start="1"/>
          <w:cols w:space="720" w:num="1"/>
          <w:docGrid w:type="lines" w:linePitch="312" w:charSpace="0"/>
        </w:sectPr>
      </w:pPr>
      <w:r>
        <w:rPr>
          <w:rFonts w:hint="eastAsia" w:ascii="宋体" w:hAnsi="宋体" w:cs="宋体"/>
          <w:bCs/>
          <w:color w:val="auto"/>
          <w:sz w:val="24"/>
          <w:szCs w:val="24"/>
          <w:highlight w:val="none"/>
          <w:shd w:val="clear" w:color="auto" w:fill="FFFFFF"/>
        </w:rPr>
        <w:fldChar w:fldCharType="end"/>
      </w:r>
    </w:p>
    <w:p>
      <w:pPr>
        <w:spacing w:before="156" w:beforeLines="50" w:after="156" w:afterLines="50" w:line="360" w:lineRule="auto"/>
        <w:ind w:firstLine="562" w:firstLineChars="200"/>
        <w:jc w:val="center"/>
        <w:textAlignment w:val="top"/>
        <w:outlineLvl w:val="0"/>
        <w:rPr>
          <w:rFonts w:hint="eastAsia" w:ascii="宋体" w:hAnsi="宋体" w:cs="宋体"/>
          <w:b/>
          <w:bCs/>
          <w:color w:val="auto"/>
          <w:sz w:val="28"/>
          <w:szCs w:val="28"/>
          <w:highlight w:val="none"/>
          <w:shd w:val="clear" w:color="auto" w:fill="FFFFFF"/>
        </w:rPr>
      </w:pPr>
      <w:bookmarkStart w:id="2" w:name="_Toc11163"/>
      <w:r>
        <w:rPr>
          <w:rFonts w:hint="eastAsia" w:ascii="宋体" w:hAnsi="宋体" w:cs="宋体"/>
          <w:b/>
          <w:bCs/>
          <w:color w:val="auto"/>
          <w:sz w:val="28"/>
          <w:szCs w:val="28"/>
          <w:highlight w:val="none"/>
          <w:shd w:val="clear" w:color="auto" w:fill="FFFFFF"/>
        </w:rPr>
        <w:t>第一章  询比</w:t>
      </w:r>
      <w:r>
        <w:rPr>
          <w:rFonts w:ascii="宋体" w:hAnsi="宋体" w:cs="宋体"/>
          <w:b/>
          <w:bCs/>
          <w:color w:val="auto"/>
          <w:sz w:val="28"/>
          <w:szCs w:val="28"/>
          <w:highlight w:val="none"/>
          <w:shd w:val="clear" w:color="auto" w:fill="FFFFFF"/>
        </w:rPr>
        <w:t>公告</w:t>
      </w:r>
      <w:bookmarkEnd w:id="2"/>
    </w:p>
    <w:p>
      <w:pPr>
        <w:spacing w:line="360" w:lineRule="auto"/>
        <w:ind w:firstLine="480" w:firstLineChars="200"/>
        <w:rPr>
          <w:rFonts w:hint="eastAsia" w:ascii="宋体" w:hAnsi="宋体" w:cs="宋体"/>
          <w:color w:val="auto"/>
          <w:sz w:val="24"/>
          <w:szCs w:val="24"/>
          <w:highlight w:val="none"/>
        </w:rPr>
      </w:pP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为更好地择优选取</w:t>
      </w:r>
      <w:r>
        <w:rPr>
          <w:rFonts w:hint="eastAsia" w:ascii="宋体" w:hAnsi="宋体" w:cs="宋体"/>
          <w:color w:val="auto"/>
          <w:sz w:val="24"/>
          <w:szCs w:val="24"/>
          <w:highlight w:val="none"/>
          <w:u w:val="single"/>
        </w:rPr>
        <w:t>荔湾区2023年树木保护和复壮工程监理</w:t>
      </w:r>
      <w:r>
        <w:rPr>
          <w:rFonts w:hint="eastAsia" w:ascii="宋体" w:hAnsi="宋体" w:cs="宋体"/>
          <w:color w:val="auto"/>
          <w:sz w:val="24"/>
          <w:szCs w:val="24"/>
          <w:highlight w:val="none"/>
        </w:rPr>
        <w:t>服务单位，</w:t>
      </w:r>
      <w:r>
        <w:rPr>
          <w:rFonts w:hint="eastAsia" w:ascii="宋体" w:hAnsi="宋体" w:cs="宋体"/>
          <w:color w:val="auto"/>
          <w:sz w:val="24"/>
          <w:szCs w:val="24"/>
          <w:highlight w:val="none"/>
          <w:lang w:bidi="ar"/>
        </w:rPr>
        <w:t>现</w:t>
      </w:r>
      <w:r>
        <w:rPr>
          <w:rFonts w:hint="eastAsia" w:ascii="宋体" w:hAnsi="宋体" w:cs="宋体"/>
          <w:color w:val="auto"/>
          <w:sz w:val="24"/>
          <w:szCs w:val="24"/>
          <w:highlight w:val="none"/>
        </w:rPr>
        <w:t>广州市荔湾区市政园林绿化管理中心进行公开询比，在报名并符合要求的企业内选取一家承办单位，</w:t>
      </w:r>
      <w:bookmarkStart w:id="3" w:name="EBf5670e6d291445918fbaeeb8f3e1df8e"/>
      <w:r>
        <w:rPr>
          <w:rFonts w:hint="eastAsia" w:ascii="宋体" w:hAnsi="宋体" w:cs="宋体"/>
          <w:color w:val="auto"/>
          <w:sz w:val="24"/>
          <w:szCs w:val="24"/>
          <w:highlight w:val="none"/>
        </w:rPr>
        <w:t>欢迎符合资格条件的意向人报名参加。</w:t>
      </w:r>
      <w:bookmarkEnd w:id="3"/>
    </w:p>
    <w:p>
      <w:pPr>
        <w:spacing w:line="360" w:lineRule="auto"/>
        <w:jc w:val="left"/>
        <w:textAlignment w:val="top"/>
        <w:rPr>
          <w:rFonts w:hint="eastAsia"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一、项目概况</w:t>
      </w:r>
    </w:p>
    <w:p>
      <w:pPr>
        <w:spacing w:line="360" w:lineRule="auto"/>
        <w:ind w:firstLine="480" w:firstLineChars="200"/>
        <w:jc w:val="left"/>
        <w:textAlignment w:val="top"/>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1.询比项目名称：</w:t>
      </w:r>
      <w:r>
        <w:rPr>
          <w:rFonts w:hint="eastAsia" w:ascii="宋体" w:hAnsi="宋体" w:cs="宋体"/>
          <w:color w:val="auto"/>
          <w:sz w:val="24"/>
          <w:szCs w:val="24"/>
          <w:highlight w:val="none"/>
          <w:u w:val="single"/>
        </w:rPr>
        <w:t>荔湾区2023年树木保护和复壮工程监理</w:t>
      </w:r>
    </w:p>
    <w:p>
      <w:pPr>
        <w:spacing w:line="360" w:lineRule="auto"/>
        <w:ind w:firstLine="480" w:firstLineChars="200"/>
        <w:jc w:val="left"/>
        <w:textAlignment w:val="top"/>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2.项目管理单位：</w:t>
      </w:r>
      <w:r>
        <w:rPr>
          <w:rFonts w:hint="eastAsia" w:ascii="宋体" w:hAnsi="宋体" w:cs="宋体"/>
          <w:color w:val="auto"/>
          <w:sz w:val="24"/>
          <w:szCs w:val="24"/>
          <w:highlight w:val="none"/>
        </w:rPr>
        <w:t>广州市荔湾区市政园林绿化管理中心。</w:t>
      </w:r>
    </w:p>
    <w:p>
      <w:pPr>
        <w:spacing w:line="360" w:lineRule="auto"/>
        <w:ind w:firstLine="480" w:firstLineChars="200"/>
        <w:jc w:val="left"/>
        <w:textAlignment w:val="top"/>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3.建设地点：</w:t>
      </w:r>
      <w:r>
        <w:rPr>
          <w:rFonts w:hint="eastAsia" w:ascii="宋体" w:hAnsi="宋体" w:cs="宋体"/>
          <w:color w:val="auto"/>
          <w:sz w:val="24"/>
          <w:szCs w:val="24"/>
          <w:highlight w:val="none"/>
        </w:rPr>
        <w:t>广州市荔湾区。</w:t>
      </w:r>
    </w:p>
    <w:p>
      <w:pPr>
        <w:spacing w:line="360" w:lineRule="auto"/>
        <w:ind w:firstLine="480" w:firstLineChars="200"/>
        <w:jc w:val="left"/>
        <w:textAlignment w:val="top"/>
        <w:rPr>
          <w:rFonts w:hint="eastAsia" w:ascii="宋体" w:hAnsi="宋体" w:cs="宋体"/>
          <w:color w:val="auto"/>
          <w:kern w:val="0"/>
          <w:sz w:val="24"/>
          <w:szCs w:val="24"/>
          <w:highlight w:val="none"/>
        </w:rPr>
      </w:pPr>
      <w:r>
        <w:rPr>
          <w:rFonts w:hint="eastAsia" w:ascii="宋体" w:hAnsi="宋体" w:cs="宋体"/>
          <w:color w:val="auto"/>
          <w:sz w:val="24"/>
          <w:szCs w:val="24"/>
          <w:highlight w:val="none"/>
          <w:shd w:val="clear" w:color="auto" w:fill="FFFFFF"/>
        </w:rPr>
        <w:t>4.项目内容：</w:t>
      </w:r>
      <w:r>
        <w:rPr>
          <w:rFonts w:ascii="宋体" w:hAnsi="宋体" w:cs="宋体"/>
          <w:color w:val="auto"/>
          <w:sz w:val="24"/>
          <w:szCs w:val="24"/>
          <w:highlight w:val="none"/>
        </w:rPr>
        <w:t>荔湾区内公共树木经多年的生长和城市发展，存在立地条件差、施工破坏大、生长空间有限、车辆蹭刮严重、真菌感染危害大以及其他因素影响生长等情况</w:t>
      </w:r>
      <w:r>
        <w:rPr>
          <w:rFonts w:hint="eastAsia" w:ascii="宋体" w:hAnsi="宋体" w:cs="宋体"/>
          <w:color w:val="auto"/>
          <w:sz w:val="24"/>
          <w:szCs w:val="24"/>
          <w:highlight w:val="none"/>
          <w:shd w:val="clear" w:color="auto" w:fill="FFFFFF"/>
        </w:rPr>
        <w:t>。现</w:t>
      </w:r>
      <w:r>
        <w:rPr>
          <w:rFonts w:ascii="宋体" w:hAnsi="宋体" w:cs="宋体"/>
          <w:color w:val="auto"/>
          <w:sz w:val="24"/>
          <w:szCs w:val="24"/>
          <w:highlight w:val="none"/>
        </w:rPr>
        <w:t>对荔湾区内有需要的树木进行修剪树枝、树洞修补和封涂、白蚁防治、病虫害防治、土壤改良、施肥复壮、壮根促根、树池改造、打透气孔、支撑牵引、围栏保护、挂铭牌等工作</w:t>
      </w:r>
      <w:r>
        <w:rPr>
          <w:rFonts w:ascii="宋体" w:hAnsi="宋体" w:cs="宋体"/>
          <w:color w:val="auto"/>
          <w:sz w:val="24"/>
          <w:szCs w:val="24"/>
          <w:highlight w:val="none"/>
        </w:rPr>
        <w:t>。</w:t>
      </w:r>
    </w:p>
    <w:p>
      <w:pPr>
        <w:pStyle w:val="49"/>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5.项目投资及资金来源：</w:t>
      </w:r>
      <w:r>
        <w:rPr>
          <w:rFonts w:ascii="宋体" w:hAnsi="宋体" w:cs="宋体"/>
          <w:color w:val="auto"/>
          <w:sz w:val="24"/>
          <w:szCs w:val="24"/>
          <w:highlight w:val="none"/>
        </w:rPr>
        <w:t>项目费用预算250万元。</w:t>
      </w:r>
      <w:r>
        <w:rPr>
          <w:rFonts w:hint="default" w:ascii="宋体" w:hAnsi="宋体" w:cs="宋体"/>
          <w:color w:val="auto"/>
          <w:sz w:val="24"/>
          <w:szCs w:val="24"/>
          <w:highlight w:val="none"/>
          <w:lang w:val="en-US"/>
        </w:rPr>
        <w:t>在预算内的绿化养护经费中统筹列支。</w:t>
      </w:r>
      <w:r>
        <w:rPr>
          <w:rFonts w:ascii="宋体" w:hAnsi="宋体" w:cs="宋体"/>
          <w:color w:val="auto"/>
          <w:sz w:val="24"/>
          <w:szCs w:val="24"/>
          <w:highlight w:val="none"/>
        </w:rPr>
        <w:t>由荔湾区财政资金安排。</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二、工作内容及要求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1.服务内容：</w:t>
      </w:r>
      <w:r>
        <w:rPr>
          <w:rFonts w:hint="eastAsia" w:ascii="宋体" w:hAnsi="宋体" w:cs="宋体"/>
          <w:color w:val="auto"/>
          <w:sz w:val="24"/>
          <w:szCs w:val="24"/>
          <w:highlight w:val="none"/>
        </w:rPr>
        <w:t>项目准备阶段、施工阶段、工程收尾阶段及工程质量保修阶段的质量控制、安全生产监督管理、投资控制、进度控制、合同管理、信息管理、组织协调等监理工作。包括但不限于项目施工阶段所有与本工程有关的安全、质量、文明施工、环保、资料、工程量审核、进度、投资控制、检验监测、监督巡查、相关上报信息资料的审核，审核每期送审的工程结算、做好每期支付的资料整理和审核工作、对应的台账及相关协调工作等。</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2.质量标准：</w:t>
      </w:r>
      <w:r>
        <w:rPr>
          <w:rFonts w:hint="eastAsia" w:ascii="宋体" w:hAnsi="宋体" w:cs="宋体"/>
          <w:color w:val="auto"/>
          <w:sz w:val="24"/>
          <w:szCs w:val="24"/>
          <w:highlight w:val="none"/>
          <w:shd w:val="clear" w:color="auto" w:fill="FFFFFF"/>
        </w:rPr>
        <w:t>监理人提供的监理相关服务，应当符合国家有关法律、法规和标准规范，满足合同约定的服务内容和质量等要求</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3.服务期限：自合同签订之日起至合同权利义务完成后为止。</w:t>
      </w:r>
    </w:p>
    <w:p>
      <w:pPr>
        <w:pStyle w:val="26"/>
        <w:rPr>
          <w:rFonts w:hint="eastAsia" w:ascii="宋体" w:hAnsi="宋体" w:cs="宋体"/>
          <w:color w:val="auto"/>
          <w:sz w:val="24"/>
          <w:szCs w:val="24"/>
          <w:highlight w:val="none"/>
        </w:rPr>
      </w:pPr>
      <w:r>
        <w:rPr>
          <w:rStyle w:val="29"/>
          <w:rFonts w:hint="eastAsia" w:ascii="宋体" w:hAnsi="宋体" w:cs="宋体"/>
          <w:color w:val="auto"/>
          <w:sz w:val="24"/>
          <w:szCs w:val="24"/>
          <w:highlight w:val="none"/>
          <w:shd w:val="clear" w:color="auto" w:fill="FFFFFF"/>
        </w:rPr>
        <w:t>具体的服务内容及服务期限以合同相关约定为准。</w:t>
      </w:r>
    </w:p>
    <w:p>
      <w:pPr>
        <w:widowControl/>
        <w:spacing w:line="360" w:lineRule="auto"/>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三、报价人资格要求</w:t>
      </w:r>
    </w:p>
    <w:p>
      <w:pPr>
        <w:widowControl/>
        <w:spacing w:line="360" w:lineRule="auto"/>
        <w:ind w:firstLine="480" w:firstLineChars="200"/>
        <w:jc w:val="left"/>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rPr>
        <w:t>1.</w:t>
      </w:r>
      <w:r>
        <w:rPr>
          <w:rFonts w:hint="eastAsia" w:ascii="宋体" w:hAnsi="宋体" w:cs="宋体"/>
          <w:color w:val="auto"/>
          <w:kern w:val="0"/>
          <w:sz w:val="24"/>
          <w:szCs w:val="24"/>
          <w:highlight w:val="none"/>
          <w:shd w:val="clear" w:color="auto" w:fill="FFFFFF"/>
          <w:lang w:bidi="ar"/>
        </w:rPr>
        <w:t>报价人具有独立法人资格，持有有效的市场监督（工商行政）管理部门核发的企业法人营业执照或各级登记管理机关颁发的事业单位法人证书，按国家法律经营。</w:t>
      </w:r>
    </w:p>
    <w:p>
      <w:pPr>
        <w:spacing w:line="360" w:lineRule="auto"/>
        <w:ind w:firstLine="480" w:firstLineChars="200"/>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2.报价人具有工程监理综合资质，或市政公用工程专业监理乙级（或以上）资质。</w:t>
      </w:r>
    </w:p>
    <w:p>
      <w:pPr>
        <w:widowControl/>
        <w:spacing w:line="360" w:lineRule="auto"/>
        <w:ind w:firstLine="480" w:firstLineChars="200"/>
        <w:jc w:val="left"/>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3.报价人委派的项目负责人须具备在报价单位注册的注册监理工程师执业资格，其注册专业为市政公用工程，并具备本科或以上学历。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shd w:val="clear" w:color="auto" w:fill="FFFFFF"/>
        </w:rPr>
        <w:t>4.本次询比不接受联合体报价。</w:t>
      </w:r>
    </w:p>
    <w:p>
      <w:pPr>
        <w:widowControl/>
        <w:spacing w:line="360" w:lineRule="auto"/>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四、报价及结算方式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1.最高限价：人民币89100.00元（大写：捌万玖仟壹佰元整）。</w:t>
      </w:r>
      <w:r>
        <w:rPr>
          <w:rFonts w:hint="eastAsia" w:ascii="宋体" w:hAnsi="宋体" w:cs="宋体"/>
          <w:color w:val="auto"/>
          <w:kern w:val="0"/>
          <w:sz w:val="24"/>
          <w:szCs w:val="20"/>
          <w:highlight w:val="none"/>
          <w:shd w:val="clear" w:color="auto" w:fill="FFFFFF"/>
        </w:rPr>
        <w:t>报价金额是固定价且是唯一的，未超过本项目最高限价，</w:t>
      </w:r>
      <w:r>
        <w:rPr>
          <w:rFonts w:hint="eastAsia" w:ascii="宋体" w:hAnsi="宋体" w:cs="宋体"/>
          <w:color w:val="auto"/>
          <w:sz w:val="24"/>
          <w:szCs w:val="24"/>
          <w:highlight w:val="none"/>
        </w:rPr>
        <w:t>有效报价下浮率为</w:t>
      </w:r>
      <w:r>
        <w:rPr>
          <w:rFonts w:hint="eastAsia" w:ascii="宋体" w:hAnsi="宋体" w:cs="宋体"/>
          <w:b/>
          <w:bCs/>
          <w:color w:val="auto"/>
          <w:sz w:val="24"/>
          <w:szCs w:val="24"/>
          <w:highlight w:val="none"/>
        </w:rPr>
        <w:t>0%-10%</w:t>
      </w:r>
      <w:r>
        <w:rPr>
          <w:rFonts w:hint="eastAsia" w:ascii="宋体" w:hAnsi="宋体" w:cs="宋体"/>
          <w:color w:val="auto"/>
          <w:sz w:val="24"/>
          <w:szCs w:val="24"/>
          <w:highlight w:val="none"/>
        </w:rPr>
        <w:t>。</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2.本工程监理系数为：专业调整系数0.8，工程复杂程度调整系数1.0，高程调整系数为1.0。</w:t>
      </w:r>
    </w:p>
    <w:p>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监理费结算按照“国家发展改革委、原建设部关于印发《建设工程监理与相关服务收费管理规定》的通知”（发改价格[2007]670号），以建安工程费结算价分档定额计费，并执行报价浮动幅度值。服务收费按施工监理服务收费基准价乘以（1-下浮率）进行计取。最终以甲方委托的</w:t>
      </w:r>
      <w:r>
        <w:rPr>
          <w:rFonts w:hint="eastAsia" w:ascii="宋体" w:hAnsi="宋体" w:cs="宋体"/>
          <w:color w:val="auto"/>
          <w:sz w:val="24"/>
          <w:szCs w:val="24"/>
          <w:highlight w:val="none"/>
        </w:rPr>
        <w:t>第三方审核单位审定</w:t>
      </w:r>
      <w:r>
        <w:rPr>
          <w:rFonts w:hint="eastAsia" w:ascii="宋体" w:hAnsi="宋体" w:cs="宋体"/>
          <w:color w:val="auto"/>
          <w:sz w:val="24"/>
          <w:szCs w:val="24"/>
          <w:highlight w:val="none"/>
        </w:rPr>
        <w:t>结算为准。</w:t>
      </w:r>
    </w:p>
    <w:p>
      <w:pPr>
        <w:pStyle w:val="49"/>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结算方式具体以合同约定为准。</w:t>
      </w:r>
    </w:p>
    <w:p>
      <w:pPr>
        <w:spacing w:line="360" w:lineRule="auto"/>
        <w:textAlignment w:val="top"/>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五、询比代理服务费及中选通知书的交付</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本次的询比代理服务费人民币1500元（大写：壹仟伍佰元整）由中选单位在收取中选通知书时一次性支付给询比代理服务机构。</w:t>
      </w:r>
    </w:p>
    <w:p>
      <w:pPr>
        <w:pStyle w:val="49"/>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六、询比文件的获取和邀请函时间</w:t>
      </w:r>
    </w:p>
    <w:p>
      <w:pPr>
        <w:widowControl/>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1.凡有意参加报价者，请于2023年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日至2023年</w:t>
      </w:r>
      <w:r>
        <w:rPr>
          <w:rFonts w:hint="eastAsia" w:ascii="宋体" w:hAnsi="宋体" w:cs="宋体"/>
          <w:color w:val="auto"/>
          <w:sz w:val="24"/>
          <w:szCs w:val="24"/>
          <w:highlight w:val="none"/>
          <w:u w:val="single"/>
          <w:lang w:val="en-US" w:eastAsia="zh-CN"/>
        </w:rPr>
        <w:t xml:space="preserve"> 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日，登录广州市荔湾区人民政府网站下载询比文件。</w:t>
      </w:r>
    </w:p>
    <w:p>
      <w:pPr>
        <w:widowControl/>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2.询比文件的获取时间：</w:t>
      </w:r>
    </w:p>
    <w:p>
      <w:pPr>
        <w:widowControl/>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获取询比文件的开始日期（含本日）为：2023年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widowControl/>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获取询比文件的截止日期（含本日）为：2023年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adjustRightInd w:val="0"/>
        <w:snapToGrid w:val="0"/>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七、报价文件的递交时间和递交地点：</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由报价意向人的法定代表人或授权代表</w:t>
      </w:r>
      <w:r>
        <w:rPr>
          <w:rFonts w:hint="eastAsia" w:ascii="宋体" w:hAnsi="宋体" w:cs="宋体"/>
          <w:b/>
          <w:bCs/>
          <w:color w:val="auto"/>
          <w:sz w:val="24"/>
          <w:szCs w:val="24"/>
          <w:highlight w:val="none"/>
        </w:rPr>
        <w:t>手持法定代表人证明书、授权委托书（如有）及身份证原件</w:t>
      </w: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rPr>
        <w:t>2023</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kern w:val="0"/>
          <w:sz w:val="24"/>
          <w:szCs w:val="24"/>
          <w:highlight w:val="none"/>
        </w:rPr>
        <w:t>上午</w:t>
      </w:r>
      <w:r>
        <w:rPr>
          <w:rFonts w:hint="eastAsia" w:ascii="宋体" w:hAnsi="宋体" w:cs="宋体"/>
          <w:color w:val="auto"/>
          <w:kern w:val="0"/>
          <w:sz w:val="24"/>
          <w:szCs w:val="24"/>
          <w:highlight w:val="none"/>
          <w:u w:val="single"/>
        </w:rPr>
        <w:t xml:space="preserve"> 9:30—11:30 </w:t>
      </w:r>
      <w:r>
        <w:rPr>
          <w:rFonts w:hint="eastAsia" w:ascii="宋体" w:hAnsi="宋体" w:cs="宋体"/>
          <w:color w:val="auto"/>
          <w:sz w:val="24"/>
          <w:szCs w:val="24"/>
          <w:highlight w:val="none"/>
        </w:rPr>
        <w:t>递交至</w:t>
      </w:r>
      <w:r>
        <w:rPr>
          <w:rFonts w:hint="eastAsia" w:ascii="宋体" w:hAnsi="宋体" w:cs="宋体"/>
          <w:color w:val="auto"/>
          <w:sz w:val="24"/>
          <w:szCs w:val="24"/>
          <w:highlight w:val="none"/>
          <w:u w:val="single"/>
        </w:rPr>
        <w:t>广州市荔湾区鹤盛路254号（停车场东5米）</w:t>
      </w:r>
      <w:r>
        <w:rPr>
          <w:rFonts w:hint="eastAsia" w:ascii="宋体" w:hAnsi="宋体" w:cs="宋体"/>
          <w:color w:val="auto"/>
          <w:sz w:val="24"/>
          <w:szCs w:val="24"/>
          <w:highlight w:val="none"/>
        </w:rPr>
        <w:t>，逾期恕不受理。</w:t>
      </w:r>
    </w:p>
    <w:p>
      <w:pPr>
        <w:spacing w:line="360" w:lineRule="auto"/>
        <w:rPr>
          <w:rFonts w:hint="eastAsia"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rPr>
        <w:t>八</w:t>
      </w:r>
      <w:r>
        <w:rPr>
          <w:rFonts w:hint="eastAsia" w:ascii="宋体" w:hAnsi="宋体" w:cs="宋体"/>
          <w:b/>
          <w:bCs/>
          <w:color w:val="auto"/>
          <w:sz w:val="24"/>
          <w:szCs w:val="24"/>
          <w:highlight w:val="none"/>
          <w:shd w:val="clear" w:color="auto" w:fill="FFFFFF"/>
        </w:rPr>
        <w:t>、询比人不承担报价人参加本次报价活动所发生的任何费用。询比人因故取消或中止询比活动，报价人无条件服从，因报价活动产生的费用由报价人自行负责。</w:t>
      </w:r>
    </w:p>
    <w:p>
      <w:pPr>
        <w:spacing w:line="360" w:lineRule="auto"/>
        <w:rPr>
          <w:rFonts w:hint="eastAsia"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九、询比人将在广州市荔湾区人民政府网上发布中选结果，中选公示期为1天。</w:t>
      </w:r>
    </w:p>
    <w:p>
      <w:pPr>
        <w:spacing w:line="360" w:lineRule="auto"/>
        <w:rPr>
          <w:rFonts w:hint="eastAsia" w:ascii="宋体" w:hAnsi="宋体" w:cs="宋体"/>
          <w:b/>
          <w:bCs/>
          <w:color w:val="auto"/>
          <w:sz w:val="24"/>
          <w:szCs w:val="24"/>
          <w:highlight w:val="none"/>
          <w:shd w:val="clear" w:color="auto" w:fill="FFFFFF"/>
        </w:rPr>
      </w:pPr>
      <w:r>
        <w:rPr>
          <w:rFonts w:hint="eastAsia" w:ascii="宋体" w:hAnsi="宋体" w:cs="宋体"/>
          <w:b/>
          <w:bCs/>
          <w:color w:val="auto"/>
          <w:sz w:val="24"/>
          <w:szCs w:val="24"/>
          <w:highlight w:val="none"/>
          <w:shd w:val="clear" w:color="auto" w:fill="FFFFFF"/>
        </w:rPr>
        <w:t>十、</w:t>
      </w:r>
      <w:r>
        <w:rPr>
          <w:rFonts w:hint="eastAsia" w:ascii="宋体" w:hAnsi="宋体" w:cs="宋体"/>
          <w:b/>
          <w:bCs/>
          <w:color w:val="auto"/>
          <w:sz w:val="24"/>
          <w:szCs w:val="24"/>
          <w:highlight w:val="none"/>
        </w:rPr>
        <w:t>广州市荔湾区市政园林绿化管理中心</w:t>
      </w:r>
      <w:r>
        <w:rPr>
          <w:rFonts w:hint="eastAsia" w:ascii="宋体" w:hAnsi="宋体" w:cs="宋体"/>
          <w:b/>
          <w:bCs/>
          <w:color w:val="auto"/>
          <w:sz w:val="24"/>
          <w:szCs w:val="24"/>
          <w:highlight w:val="none"/>
          <w:shd w:val="clear" w:color="auto" w:fill="FFFFFF"/>
        </w:rPr>
        <w:t>对询比邀请函及询比文件有最终解释权。</w:t>
      </w:r>
    </w:p>
    <w:p>
      <w:pPr>
        <w:spacing w:line="360" w:lineRule="auto"/>
        <w:textAlignment w:val="top"/>
        <w:rPr>
          <w:rFonts w:hint="eastAsia" w:ascii="宋体" w:hAnsi="宋体" w:cs="宋体"/>
          <w:b/>
          <w:bCs/>
          <w:color w:val="auto"/>
          <w:sz w:val="24"/>
          <w:szCs w:val="24"/>
          <w:highlight w:val="none"/>
        </w:rPr>
      </w:pPr>
      <w:r>
        <w:rPr>
          <w:rStyle w:val="29"/>
          <w:rFonts w:hint="eastAsia" w:ascii="宋体" w:hAnsi="宋体" w:cs="宋体"/>
          <w:color w:val="auto"/>
          <w:sz w:val="24"/>
          <w:szCs w:val="24"/>
          <w:highlight w:val="none"/>
          <w:shd w:val="clear" w:color="auto" w:fill="FFFFFF"/>
        </w:rPr>
        <w:t>十一、</w:t>
      </w:r>
      <w:r>
        <w:rPr>
          <w:rFonts w:hint="eastAsia" w:ascii="宋体" w:hAnsi="宋体" w:cs="宋体"/>
          <w:b/>
          <w:bCs/>
          <w:color w:val="auto"/>
          <w:sz w:val="24"/>
          <w:szCs w:val="24"/>
          <w:highlight w:val="none"/>
          <w:shd w:val="clear" w:color="auto" w:fill="FFFFFF"/>
        </w:rPr>
        <w:t>本项目中选单位与广州市荔湾区市政园林绿化管理中心签订服务合同，合同文本优先采用有关部门发布的合同示范文本。</w:t>
      </w:r>
    </w:p>
    <w:p>
      <w:pPr>
        <w:spacing w:line="360" w:lineRule="auto"/>
        <w:textAlignment w:val="top"/>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十二、联系方式：</w:t>
      </w:r>
    </w:p>
    <w:p>
      <w:pPr>
        <w:spacing w:line="360" w:lineRule="auto"/>
        <w:ind w:firstLine="480" w:firstLineChars="200"/>
        <w:jc w:val="left"/>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询比单位：</w:t>
      </w:r>
      <w:r>
        <w:rPr>
          <w:rFonts w:hint="eastAsia" w:ascii="宋体" w:hAnsi="宋体" w:cs="宋体"/>
          <w:color w:val="auto"/>
          <w:sz w:val="24"/>
          <w:szCs w:val="24"/>
          <w:highlight w:val="none"/>
          <w:u w:val="single"/>
        </w:rPr>
        <w:t>广州市荔湾区市政园林绿化管理中心</w:t>
      </w:r>
    </w:p>
    <w:p>
      <w:pPr>
        <w:spacing w:line="360" w:lineRule="auto"/>
        <w:ind w:firstLine="480" w:firstLineChars="200"/>
        <w:jc w:val="left"/>
        <w:textAlignment w:val="top"/>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 xml:space="preserve">           张工              </w:t>
      </w:r>
    </w:p>
    <w:p>
      <w:pPr>
        <w:spacing w:line="360" w:lineRule="auto"/>
        <w:ind w:firstLine="480" w:firstLineChars="200"/>
        <w:jc w:val="left"/>
        <w:textAlignment w:val="top"/>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18826493363           </w:t>
      </w:r>
    </w:p>
    <w:p>
      <w:pPr>
        <w:spacing w:line="360" w:lineRule="auto"/>
        <w:ind w:firstLine="480" w:firstLineChars="200"/>
        <w:jc w:val="left"/>
        <w:textAlignment w:val="top"/>
        <w:rPr>
          <w:rFonts w:hint="eastAsia" w:ascii="宋体" w:hAnsi="宋体" w:cs="宋体"/>
          <w:color w:val="auto"/>
          <w:sz w:val="24"/>
          <w:szCs w:val="24"/>
          <w:highlight w:val="none"/>
        </w:rPr>
      </w:pPr>
    </w:p>
    <w:p>
      <w:pPr>
        <w:spacing w:line="360" w:lineRule="auto"/>
        <w:ind w:firstLine="480" w:firstLineChars="200"/>
        <w:jc w:val="left"/>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询比代理单位：</w:t>
      </w:r>
      <w:r>
        <w:rPr>
          <w:rFonts w:hint="eastAsia" w:ascii="宋体" w:hAnsi="宋体" w:cs="宋体"/>
          <w:color w:val="auto"/>
          <w:sz w:val="24"/>
          <w:szCs w:val="24"/>
          <w:highlight w:val="none"/>
          <w:u w:val="single"/>
        </w:rPr>
        <w:t xml:space="preserve">广州标旗咨询有限公司     </w:t>
      </w:r>
      <w:r>
        <w:rPr>
          <w:rFonts w:hint="eastAsia" w:ascii="宋体" w:hAnsi="宋体" w:cs="宋体"/>
          <w:color w:val="auto"/>
          <w:sz w:val="24"/>
          <w:szCs w:val="24"/>
          <w:highlight w:val="none"/>
        </w:rPr>
        <w:t xml:space="preserve"> </w:t>
      </w:r>
    </w:p>
    <w:p>
      <w:pPr>
        <w:spacing w:line="360" w:lineRule="auto"/>
        <w:ind w:firstLine="480" w:firstLineChars="200"/>
        <w:jc w:val="left"/>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 xml:space="preserve">          邓小姐               </w:t>
      </w:r>
      <w:r>
        <w:rPr>
          <w:rFonts w:hint="eastAsia" w:ascii="宋体" w:hAnsi="宋体" w:cs="宋体"/>
          <w:color w:val="auto"/>
          <w:sz w:val="24"/>
          <w:szCs w:val="24"/>
          <w:highlight w:val="none"/>
        </w:rPr>
        <w:t xml:space="preserve"> </w:t>
      </w:r>
    </w:p>
    <w:p>
      <w:pPr>
        <w:spacing w:line="360" w:lineRule="auto"/>
        <w:ind w:firstLine="480" w:firstLineChars="200"/>
        <w:jc w:val="left"/>
        <w:textAlignment w:val="top"/>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13250582540            </w:t>
      </w:r>
    </w:p>
    <w:p>
      <w:pPr>
        <w:spacing w:line="360" w:lineRule="auto"/>
        <w:textAlignment w:val="top"/>
        <w:rPr>
          <w:rFonts w:hint="eastAsia" w:ascii="宋体" w:hAnsi="宋体" w:cs="宋体"/>
          <w:color w:val="auto"/>
          <w:sz w:val="24"/>
          <w:szCs w:val="24"/>
          <w:highlight w:val="none"/>
        </w:rPr>
      </w:pPr>
    </w:p>
    <w:p>
      <w:pPr>
        <w:spacing w:line="360" w:lineRule="auto"/>
        <w:ind w:firstLine="480" w:firstLineChars="200"/>
        <w:jc w:val="center"/>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广州市荔湾区市政园林绿化管理中心</w:t>
      </w:r>
    </w:p>
    <w:p>
      <w:pPr>
        <w:pStyle w:val="13"/>
        <w:spacing w:line="360" w:lineRule="auto"/>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2023年</w:t>
      </w:r>
      <w:r>
        <w:rPr>
          <w:rFonts w:hint="eastAsia" w:hAnsi="宋体" w:eastAsia="宋体" w:cs="宋体"/>
          <w:color w:val="auto"/>
          <w:sz w:val="24"/>
          <w:szCs w:val="24"/>
          <w:highlight w:val="none"/>
          <w:lang w:val="en-US" w:eastAsia="zh-CN"/>
        </w:rPr>
        <w:t>3</w:t>
      </w:r>
      <w:r>
        <w:rPr>
          <w:rFonts w:hint="eastAsia" w:hAnsi="宋体" w:eastAsia="宋体" w:cs="宋体"/>
          <w:color w:val="auto"/>
          <w:sz w:val="24"/>
          <w:szCs w:val="24"/>
          <w:highlight w:val="none"/>
        </w:rPr>
        <w:t>月</w:t>
      </w:r>
      <w:r>
        <w:rPr>
          <w:rFonts w:hint="eastAsia" w:hAnsi="宋体" w:eastAsia="宋体" w:cs="宋体"/>
          <w:color w:val="auto"/>
          <w:sz w:val="24"/>
          <w:szCs w:val="24"/>
          <w:highlight w:val="none"/>
          <w:lang w:val="en-US" w:eastAsia="zh-CN"/>
        </w:rPr>
        <w:t>1</w:t>
      </w:r>
      <w:r>
        <w:rPr>
          <w:rFonts w:hint="eastAsia" w:hAnsi="宋体" w:eastAsia="宋体" w:cs="宋体"/>
          <w:color w:val="auto"/>
          <w:sz w:val="24"/>
          <w:szCs w:val="24"/>
          <w:highlight w:val="none"/>
        </w:rPr>
        <w:t>日</w:t>
      </w:r>
    </w:p>
    <w:p>
      <w:pPr>
        <w:pStyle w:val="13"/>
        <w:spacing w:line="360" w:lineRule="auto"/>
        <w:jc w:val="center"/>
        <w:rPr>
          <w:rFonts w:hint="eastAsia" w:hAnsi="宋体" w:eastAsia="宋体" w:cs="宋体"/>
          <w:color w:val="auto"/>
          <w:sz w:val="24"/>
          <w:szCs w:val="24"/>
          <w:highlight w:val="none"/>
        </w:rPr>
        <w:sectPr>
          <w:pgSz w:w="11906" w:h="16838"/>
          <w:pgMar w:top="1440" w:right="1417" w:bottom="1440" w:left="1417" w:header="851" w:footer="992" w:gutter="0"/>
          <w:cols w:space="720" w:num="1"/>
          <w:docGrid w:type="lines" w:linePitch="312" w:charSpace="0"/>
        </w:sectPr>
      </w:pPr>
    </w:p>
    <w:p>
      <w:pPr>
        <w:pStyle w:val="13"/>
        <w:spacing w:before="156" w:beforeLines="50" w:after="156" w:afterLines="50" w:line="360" w:lineRule="auto"/>
        <w:jc w:val="center"/>
        <w:outlineLvl w:val="0"/>
        <w:rPr>
          <w:rFonts w:hAnsi="宋体" w:eastAsia="宋体" w:cs="宋体"/>
          <w:b/>
          <w:bCs/>
          <w:color w:val="auto"/>
          <w:sz w:val="28"/>
          <w:szCs w:val="28"/>
          <w:highlight w:val="none"/>
        </w:rPr>
      </w:pPr>
      <w:bookmarkStart w:id="4" w:name="_Toc26291"/>
      <w:r>
        <w:rPr>
          <w:rFonts w:hint="eastAsia" w:hAnsi="宋体" w:eastAsia="宋体" w:cs="宋体"/>
          <w:b/>
          <w:bCs/>
          <w:color w:val="auto"/>
          <w:sz w:val="28"/>
          <w:szCs w:val="28"/>
          <w:highlight w:val="none"/>
          <w:shd w:val="clear" w:color="auto" w:fill="FFFFFF"/>
        </w:rPr>
        <w:t>第二章 评审办法</w:t>
      </w:r>
      <w:bookmarkEnd w:id="4"/>
    </w:p>
    <w:p>
      <w:pPr>
        <w:pStyle w:val="13"/>
        <w:spacing w:line="360" w:lineRule="auto"/>
        <w:jc w:val="left"/>
        <w:rPr>
          <w:rFonts w:hAnsi="宋体" w:eastAsia="宋体" w:cs="宋体"/>
          <w:color w:val="auto"/>
          <w:sz w:val="24"/>
          <w:szCs w:val="24"/>
          <w:highlight w:val="none"/>
        </w:rPr>
      </w:pPr>
    </w:p>
    <w:p>
      <w:pPr>
        <w:pStyle w:val="13"/>
        <w:spacing w:line="360" w:lineRule="auto"/>
        <w:jc w:val="left"/>
        <w:rPr>
          <w:rFonts w:hAnsi="宋体" w:eastAsia="宋体" w:cs="宋体"/>
          <w:b/>
          <w:bCs/>
          <w:color w:val="auto"/>
          <w:sz w:val="24"/>
          <w:szCs w:val="24"/>
          <w:highlight w:val="none"/>
        </w:rPr>
      </w:pPr>
      <w:r>
        <w:rPr>
          <w:rFonts w:hint="eastAsia" w:hAnsi="宋体" w:eastAsia="宋体" w:cs="宋体"/>
          <w:b/>
          <w:bCs/>
          <w:color w:val="auto"/>
          <w:sz w:val="24"/>
          <w:szCs w:val="24"/>
          <w:highlight w:val="none"/>
        </w:rPr>
        <w:t>一、评审办法</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1.本次评审采用综合评分法。询比人首先审查报价单位的资格性和符合性条件，通过资格性和符合性审查的报价单位的报价文件将进入下一环节的评分</w:t>
      </w:r>
      <w:r>
        <w:rPr>
          <w:rFonts w:hint="eastAsia" w:ascii="宋体" w:hAnsi="宋体" w:cs="宋体"/>
          <w:color w:val="auto"/>
          <w:kern w:val="0"/>
          <w:sz w:val="24"/>
          <w:szCs w:val="24"/>
          <w:highlight w:val="none"/>
        </w:rPr>
        <w:t>（详见附件一：</w:t>
      </w:r>
      <w:r>
        <w:rPr>
          <w:rFonts w:hint="eastAsia" w:ascii="宋体" w:hAnsi="宋体" w:cs="宋体"/>
          <w:color w:val="auto"/>
          <w:sz w:val="24"/>
          <w:szCs w:val="24"/>
          <w:highlight w:val="none"/>
        </w:rPr>
        <w:t>资格性和符合性审查表</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w:t>
      </w:r>
    </w:p>
    <w:p>
      <w:pPr>
        <w:pStyle w:val="13"/>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2.询比人对满足询比文件实质性要求的报价文件，按照询比文件规定的评分标准进行打分，评审过程中如发现存在不满足询比文件实质性要求的报价文件不予评分。</w:t>
      </w:r>
    </w:p>
    <w:p>
      <w:pPr>
        <w:pStyle w:val="13"/>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3.评分按照各报价人总得分从高到低排列先后次序。若两家或以上的报价人总得分相同时，则报价部分得分高的排前；若报价部分得分相同，则由报价文件提交顺序较早的排前（详见附件二：综合评分表）。</w:t>
      </w:r>
    </w:p>
    <w:p>
      <w:pPr>
        <w:pStyle w:val="13"/>
        <w:spacing w:line="360" w:lineRule="auto"/>
        <w:ind w:firstLine="480" w:firstLineChars="200"/>
        <w:jc w:val="left"/>
        <w:rPr>
          <w:rFonts w:hAnsi="宋体" w:eastAsia="宋体" w:cs="宋体"/>
          <w:color w:val="auto"/>
          <w:sz w:val="24"/>
          <w:szCs w:val="24"/>
          <w:highlight w:val="none"/>
        </w:rPr>
        <w:sectPr>
          <w:pgSz w:w="11906" w:h="16838"/>
          <w:pgMar w:top="1440" w:right="1701" w:bottom="1440" w:left="1701" w:header="851" w:footer="992" w:gutter="0"/>
          <w:cols w:space="720" w:num="1"/>
          <w:docGrid w:type="lines" w:linePitch="312" w:charSpace="0"/>
        </w:sectPr>
      </w:pPr>
      <w:r>
        <w:rPr>
          <w:rFonts w:hint="eastAsia" w:hAnsi="宋体" w:eastAsia="宋体" w:cs="宋体"/>
          <w:color w:val="auto"/>
          <w:sz w:val="24"/>
          <w:szCs w:val="24"/>
          <w:highlight w:val="none"/>
        </w:rPr>
        <w:t>4.若本项目满足资格性和符合性审查合格条件的报价人不足1家或经评审有效的报价人不足1家，则本次询比失败，询比人将视情况重新组织询比。</w:t>
      </w:r>
    </w:p>
    <w:p>
      <w:pPr>
        <w:tabs>
          <w:tab w:val="left" w:pos="5220"/>
        </w:tabs>
        <w:adjustRightInd w:val="0"/>
        <w:snapToGrid w:val="0"/>
        <w:spacing w:before="156" w:beforeLines="50" w:after="156" w:afterLines="50" w:line="360" w:lineRule="auto"/>
        <w:jc w:val="center"/>
        <w:outlineLvl w:val="0"/>
        <w:rPr>
          <w:rFonts w:hint="eastAsia" w:ascii="宋体" w:hAnsi="宋体" w:cs="宋体"/>
          <w:b/>
          <w:bCs/>
          <w:color w:val="auto"/>
          <w:sz w:val="28"/>
          <w:szCs w:val="28"/>
          <w:highlight w:val="none"/>
          <w:shd w:val="clear" w:color="auto" w:fill="FFFFFF"/>
        </w:rPr>
      </w:pPr>
      <w:bookmarkStart w:id="5" w:name="_Toc20535"/>
      <w:r>
        <w:rPr>
          <w:rFonts w:hint="eastAsia" w:ascii="宋体" w:hAnsi="宋体" w:cs="宋体"/>
          <w:b/>
          <w:bCs/>
          <w:color w:val="auto"/>
          <w:sz w:val="28"/>
          <w:szCs w:val="28"/>
          <w:highlight w:val="none"/>
          <w:shd w:val="clear" w:color="auto" w:fill="FFFFFF"/>
        </w:rPr>
        <w:t>第三章 报价文件</w:t>
      </w:r>
      <w:bookmarkEnd w:id="5"/>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一、报价文件编制要求</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1.报价文件编制规范、签署合格、报价唯一固定、报价无重大漏项及重大不合理。</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2.报价文件份数为一式二份</w:t>
      </w:r>
      <w:r>
        <w:rPr>
          <w:rFonts w:hint="eastAsia" w:ascii="宋体" w:hAnsi="宋体" w:cs="宋体"/>
          <w:b/>
          <w:bCs/>
          <w:color w:val="auto"/>
          <w:sz w:val="24"/>
          <w:szCs w:val="24"/>
          <w:highlight w:val="none"/>
        </w:rPr>
        <w:t>原件（正本）</w:t>
      </w:r>
      <w:r>
        <w:rPr>
          <w:rFonts w:hint="eastAsia" w:ascii="宋体" w:hAnsi="宋体" w:cs="宋体"/>
          <w:color w:val="auto"/>
          <w:sz w:val="24"/>
          <w:szCs w:val="24"/>
          <w:highlight w:val="none"/>
        </w:rPr>
        <w:t>。报价文件须用不褪色的黑色墨水书写或打印，报价文件（纸质版）须加盖单位公章后扫描电子版拷贝至光盘（或u盘），纸质版的报价文件应与光盘（或u盘）内的文件内容一致，并装订成册与光盘或u盘装入同一个密封袋。</w:t>
      </w:r>
      <w:r>
        <w:rPr>
          <w:rFonts w:hint="eastAsia" w:ascii="宋体" w:hAnsi="宋体" w:cs="宋体"/>
          <w:b/>
          <w:bCs/>
          <w:color w:val="auto"/>
          <w:kern w:val="0"/>
          <w:sz w:val="24"/>
          <w:szCs w:val="24"/>
          <w:highlight w:val="none"/>
        </w:rPr>
        <w:t>封口须以封条并加盖公章密封，否则报价文件当无效处理。</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3.报价文件密封在一个包封内，外包装材料不应留有可在包封后添加或抽取报价文件的空隙。</w:t>
      </w:r>
      <w:r>
        <w:rPr>
          <w:rFonts w:hint="eastAsia" w:ascii="宋体" w:hAnsi="宋体" w:cs="宋体"/>
          <w:b/>
          <w:bCs/>
          <w:color w:val="auto"/>
          <w:sz w:val="24"/>
          <w:szCs w:val="24"/>
          <w:highlight w:val="none"/>
        </w:rPr>
        <w:t>外包封及报价文件封面</w:t>
      </w:r>
      <w:r>
        <w:rPr>
          <w:rFonts w:hint="eastAsia" w:ascii="宋体" w:hAnsi="宋体" w:cs="宋体"/>
          <w:color w:val="auto"/>
          <w:sz w:val="24"/>
          <w:szCs w:val="24"/>
          <w:highlight w:val="none"/>
        </w:rPr>
        <w:t>应标注“正本”、“项目名称”、“报价文件”、“联系人”、“联系方式”和“报价人”等字样。</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4.报价文件中的所有材料内容（复印件、截图证明等）</w:t>
      </w:r>
      <w:r>
        <w:rPr>
          <w:rFonts w:hint="eastAsia" w:ascii="宋体" w:hAnsi="宋体" w:cs="宋体"/>
          <w:b/>
          <w:bCs/>
          <w:color w:val="auto"/>
          <w:sz w:val="24"/>
          <w:szCs w:val="24"/>
          <w:highlight w:val="none"/>
        </w:rPr>
        <w:t>须清晰可见，模糊不清晰的则当无效材料处理。</w:t>
      </w:r>
      <w:r>
        <w:rPr>
          <w:rFonts w:hint="eastAsia" w:ascii="宋体" w:hAnsi="宋体" w:cs="宋体"/>
          <w:color w:val="auto"/>
          <w:sz w:val="24"/>
          <w:szCs w:val="24"/>
          <w:highlight w:val="none"/>
        </w:rPr>
        <w:t>报价文件须附上材料目录（附页码）。</w:t>
      </w:r>
    </w:p>
    <w:p>
      <w:pPr>
        <w:spacing w:line="360" w:lineRule="auto"/>
        <w:textAlignment w:val="top"/>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二、完整的报价文件至少包括以下内容：</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1.报价文件封面（原件，格式详见附件三）；</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2.报价表（原件，格式详见附件四）；</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3.企业营业执照或事业单位法人证书（复印件）、资质证书及报价人资格要求需要提供的其他文件（复印件，如有）；</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4.法定代表人身份证明书（原件，格式详见附件五-5.1）、法人授权委托书（原件，格式详见附件五-5.2，仅限于非法定代表人参加询比活动时提供）；</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5.业绩情况汇总表（原件，格式详见附件六），须附业绩证明材料（合同复印件或评分标准要求提供的其他证明文件复印件）；</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6.项目负责人及其他人员配备情况表（原件，格式详见附件七），须附项目负责人及其他人员相关证书及社保证明（复印件）；</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7.综合评分表上要求提供的其他材料（复印件）；</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8.承诺书（原件，详见附件八）；</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9.报价文件电子版（附光盘或u盘，报价文件电子版命名格式为“报价人单位名称+项目名称+报价文件”）；</w:t>
      </w:r>
    </w:p>
    <w:p>
      <w:pPr>
        <w:spacing w:line="360" w:lineRule="auto"/>
        <w:ind w:firstLine="480" w:firstLineChars="200"/>
        <w:textAlignment w:val="top"/>
        <w:rPr>
          <w:rFonts w:hint="eastAsia" w:ascii="宋体" w:hAnsi="宋体" w:cs="宋体"/>
          <w:color w:val="auto"/>
          <w:sz w:val="24"/>
          <w:szCs w:val="24"/>
          <w:highlight w:val="none"/>
        </w:rPr>
      </w:pPr>
      <w:r>
        <w:rPr>
          <w:rFonts w:hint="eastAsia" w:ascii="宋体" w:hAnsi="宋体" w:cs="宋体"/>
          <w:color w:val="auto"/>
          <w:sz w:val="24"/>
          <w:szCs w:val="24"/>
          <w:highlight w:val="none"/>
        </w:rPr>
        <w:t>10.其他报价人认为需要提供的资料。</w:t>
      </w:r>
    </w:p>
    <w:p>
      <w:pPr>
        <w:pStyle w:val="49"/>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以上复印件材料均需盖上单位公章。</w:t>
      </w:r>
    </w:p>
    <w:p>
      <w:pPr>
        <w:spacing w:line="360" w:lineRule="auto"/>
        <w:textAlignment w:val="top"/>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附件：</w:t>
      </w:r>
    </w:p>
    <w:p>
      <w:pPr>
        <w:pStyle w:val="50"/>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1.资格性和符合性审查表</w:t>
      </w:r>
    </w:p>
    <w:p>
      <w:pPr>
        <w:pStyle w:val="50"/>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2.综合评分表</w:t>
      </w:r>
    </w:p>
    <w:p>
      <w:pPr>
        <w:pStyle w:val="50"/>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3.报价文件封面</w:t>
      </w:r>
    </w:p>
    <w:p>
      <w:pPr>
        <w:pStyle w:val="50"/>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4.报价表</w:t>
      </w:r>
    </w:p>
    <w:p>
      <w:pPr>
        <w:pStyle w:val="50"/>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5.法定代表人证明书、法人授权委托书</w:t>
      </w:r>
    </w:p>
    <w:p>
      <w:pPr>
        <w:pStyle w:val="50"/>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6.业绩情况汇总表</w:t>
      </w:r>
    </w:p>
    <w:p>
      <w:pPr>
        <w:pStyle w:val="50"/>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7.项目负责人及其他人员配备情况表</w:t>
      </w:r>
    </w:p>
    <w:p>
      <w:pPr>
        <w:pStyle w:val="50"/>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8.承诺书</w:t>
      </w:r>
    </w:p>
    <w:p>
      <w:pPr>
        <w:pStyle w:val="49"/>
        <w:rPr>
          <w:rFonts w:ascii="宋体" w:hAnsi="宋体" w:cs="宋体"/>
          <w:color w:val="auto"/>
          <w:sz w:val="24"/>
          <w:szCs w:val="24"/>
          <w:highlight w:val="none"/>
        </w:rPr>
      </w:pPr>
    </w:p>
    <w:p>
      <w:pPr>
        <w:pStyle w:val="49"/>
        <w:rPr>
          <w:rFonts w:hint="eastAsia" w:ascii="宋体" w:hAnsi="宋体" w:cs="宋体"/>
          <w:color w:val="auto"/>
          <w:sz w:val="24"/>
          <w:szCs w:val="24"/>
          <w:highlight w:val="none"/>
        </w:rPr>
      </w:pPr>
    </w:p>
    <w:p>
      <w:pPr>
        <w:pStyle w:val="49"/>
        <w:rPr>
          <w:rFonts w:hint="eastAsia" w:ascii="宋体" w:hAnsi="宋体" w:cs="宋体"/>
          <w:color w:val="auto"/>
          <w:sz w:val="24"/>
          <w:szCs w:val="24"/>
          <w:highlight w:val="none"/>
        </w:rPr>
      </w:pPr>
    </w:p>
    <w:p>
      <w:pPr>
        <w:pStyle w:val="49"/>
        <w:rPr>
          <w:rFonts w:hint="eastAsia" w:ascii="宋体" w:hAnsi="宋体" w:cs="宋体"/>
          <w:color w:val="auto"/>
          <w:sz w:val="24"/>
          <w:szCs w:val="24"/>
          <w:highlight w:val="none"/>
        </w:rPr>
        <w:sectPr>
          <w:headerReference r:id="rId7" w:type="default"/>
          <w:pgSz w:w="11906" w:h="16838"/>
          <w:pgMar w:top="1418" w:right="1457" w:bottom="1418" w:left="1457" w:header="851" w:footer="992" w:gutter="0"/>
          <w:cols w:space="720" w:num="1"/>
          <w:docGrid w:type="lines" w:linePitch="312" w:charSpace="0"/>
        </w:sectPr>
      </w:pPr>
    </w:p>
    <w:p>
      <w:pPr>
        <w:pStyle w:val="49"/>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附件一</w:t>
      </w:r>
    </w:p>
    <w:p>
      <w:pPr>
        <w:pStyle w:val="13"/>
        <w:spacing w:line="360" w:lineRule="auto"/>
        <w:jc w:val="center"/>
        <w:rPr>
          <w:rFonts w:hAnsi="宋体" w:eastAsia="宋体" w:cs="宋体"/>
          <w:b/>
          <w:bCs/>
          <w:color w:val="auto"/>
          <w:sz w:val="24"/>
          <w:szCs w:val="24"/>
          <w:highlight w:val="none"/>
        </w:rPr>
      </w:pPr>
      <w:r>
        <w:rPr>
          <w:rFonts w:hint="eastAsia" w:hAnsi="宋体" w:eastAsia="宋体" w:cs="宋体"/>
          <w:b/>
          <w:bCs/>
          <w:color w:val="auto"/>
          <w:sz w:val="28"/>
          <w:szCs w:val="28"/>
          <w:highlight w:val="none"/>
        </w:rPr>
        <w:t>资格性和符合性审查表</w:t>
      </w:r>
    </w:p>
    <w:p>
      <w:pPr>
        <w:widowControl/>
        <w:shd w:val="clear" w:color="auto" w:fill="FFFFFF"/>
        <w:spacing w:line="360" w:lineRule="auto"/>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荔湾区2023年树木保护和复壮工程监理</w:t>
      </w:r>
    </w:p>
    <w:tbl>
      <w:tblPr>
        <w:tblStyle w:val="27"/>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5294"/>
        <w:gridCol w:w="1147"/>
        <w:gridCol w:w="1147"/>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52" w:type="dxa"/>
            <w:noWrap w:val="0"/>
            <w:vAlign w:val="center"/>
          </w:tcPr>
          <w:p>
            <w:pPr>
              <w:pStyle w:val="13"/>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序号</w:t>
            </w:r>
          </w:p>
        </w:tc>
        <w:tc>
          <w:tcPr>
            <w:tcW w:w="5294" w:type="dxa"/>
            <w:noWrap w:val="0"/>
            <w:vAlign w:val="center"/>
          </w:tcPr>
          <w:p>
            <w:pPr>
              <w:pStyle w:val="13"/>
              <w:spacing w:line="360" w:lineRule="auto"/>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审查内容</w:t>
            </w:r>
          </w:p>
        </w:tc>
        <w:tc>
          <w:tcPr>
            <w:tcW w:w="1147" w:type="dxa"/>
            <w:noWrap w:val="0"/>
            <w:vAlign w:val="center"/>
          </w:tcPr>
          <w:p>
            <w:pPr>
              <w:pStyle w:val="13"/>
              <w:spacing w:line="360" w:lineRule="auto"/>
              <w:rPr>
                <w:rFonts w:hAnsi="宋体" w:eastAsia="宋体" w:cs="宋体"/>
                <w:b/>
                <w:bCs/>
                <w:color w:val="auto"/>
                <w:sz w:val="24"/>
                <w:szCs w:val="24"/>
                <w:highlight w:val="none"/>
              </w:rPr>
            </w:pPr>
            <w:r>
              <w:rPr>
                <w:rFonts w:hint="eastAsia" w:hAnsi="宋体" w:eastAsia="宋体" w:cs="宋体"/>
                <w:b/>
                <w:bCs/>
                <w:color w:val="auto"/>
                <w:sz w:val="24"/>
                <w:szCs w:val="24"/>
                <w:highlight w:val="none"/>
              </w:rPr>
              <w:t>报价人1</w:t>
            </w:r>
          </w:p>
        </w:tc>
        <w:tc>
          <w:tcPr>
            <w:tcW w:w="1147" w:type="dxa"/>
            <w:noWrap w:val="0"/>
            <w:vAlign w:val="center"/>
          </w:tcPr>
          <w:p>
            <w:pPr>
              <w:pStyle w:val="13"/>
              <w:spacing w:line="360" w:lineRule="auto"/>
              <w:rPr>
                <w:rFonts w:hAnsi="宋体" w:eastAsia="宋体" w:cs="宋体"/>
                <w:b/>
                <w:bCs/>
                <w:color w:val="auto"/>
                <w:sz w:val="24"/>
                <w:szCs w:val="24"/>
                <w:highlight w:val="none"/>
              </w:rPr>
            </w:pPr>
            <w:r>
              <w:rPr>
                <w:rFonts w:hint="eastAsia" w:hAnsi="宋体" w:eastAsia="宋体" w:cs="宋体"/>
                <w:b/>
                <w:bCs/>
                <w:color w:val="auto"/>
                <w:sz w:val="24"/>
                <w:szCs w:val="24"/>
                <w:highlight w:val="none"/>
              </w:rPr>
              <w:t>报价人2</w:t>
            </w:r>
          </w:p>
        </w:tc>
        <w:tc>
          <w:tcPr>
            <w:tcW w:w="1045" w:type="dxa"/>
            <w:noWrap w:val="0"/>
            <w:vAlign w:val="center"/>
          </w:tcPr>
          <w:p>
            <w:pPr>
              <w:pStyle w:val="13"/>
              <w:spacing w:line="360" w:lineRule="auto"/>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752" w:type="dxa"/>
            <w:noWrap w:val="0"/>
            <w:vAlign w:val="center"/>
          </w:tcPr>
          <w:p>
            <w:pPr>
              <w:pStyle w:val="13"/>
              <w:jc w:val="center"/>
              <w:rPr>
                <w:rFonts w:hAnsi="宋体" w:eastAsia="宋体" w:cs="宋体"/>
                <w:color w:val="auto"/>
                <w:sz w:val="24"/>
                <w:szCs w:val="24"/>
                <w:highlight w:val="none"/>
              </w:rPr>
            </w:pPr>
            <w:r>
              <w:rPr>
                <w:rFonts w:hint="eastAsia" w:hAnsi="宋体" w:eastAsia="宋体" w:cs="宋体"/>
                <w:color w:val="auto"/>
                <w:sz w:val="24"/>
                <w:szCs w:val="24"/>
                <w:highlight w:val="none"/>
              </w:rPr>
              <w:t>1</w:t>
            </w:r>
          </w:p>
        </w:tc>
        <w:tc>
          <w:tcPr>
            <w:tcW w:w="5294" w:type="dxa"/>
            <w:noWrap w:val="0"/>
            <w:vAlign w:val="center"/>
          </w:tcPr>
          <w:p>
            <w:pPr>
              <w:widowControl/>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shd w:val="clear" w:color="auto" w:fill="FFFFFF"/>
                <w:lang w:bidi="ar"/>
              </w:rPr>
              <w:t>报价人具有独立法人资格，持有有效的市场监督（工商行政）管理部门核发的企业法人营业执照或各级登记管理机关颁发的事业单位法人证书，按国家法律经营。</w:t>
            </w:r>
          </w:p>
        </w:tc>
        <w:tc>
          <w:tcPr>
            <w:tcW w:w="1147" w:type="dxa"/>
            <w:noWrap w:val="0"/>
            <w:vAlign w:val="top"/>
          </w:tcPr>
          <w:p>
            <w:pPr>
              <w:pStyle w:val="13"/>
              <w:spacing w:line="360" w:lineRule="auto"/>
              <w:rPr>
                <w:rFonts w:hAnsi="宋体" w:eastAsia="宋体" w:cs="宋体"/>
                <w:color w:val="auto"/>
                <w:sz w:val="24"/>
                <w:szCs w:val="24"/>
                <w:highlight w:val="none"/>
              </w:rPr>
            </w:pPr>
          </w:p>
        </w:tc>
        <w:tc>
          <w:tcPr>
            <w:tcW w:w="1147" w:type="dxa"/>
            <w:noWrap w:val="0"/>
            <w:vAlign w:val="top"/>
          </w:tcPr>
          <w:p>
            <w:pPr>
              <w:pStyle w:val="13"/>
              <w:spacing w:line="360" w:lineRule="auto"/>
              <w:rPr>
                <w:rFonts w:hAnsi="宋体" w:eastAsia="宋体" w:cs="宋体"/>
                <w:color w:val="auto"/>
                <w:sz w:val="24"/>
                <w:szCs w:val="24"/>
                <w:highlight w:val="none"/>
              </w:rPr>
            </w:pPr>
          </w:p>
        </w:tc>
        <w:tc>
          <w:tcPr>
            <w:tcW w:w="1045" w:type="dxa"/>
            <w:noWrap w:val="0"/>
            <w:vAlign w:val="top"/>
          </w:tcPr>
          <w:p>
            <w:pPr>
              <w:pStyle w:val="13"/>
              <w:spacing w:line="360" w:lineRule="auto"/>
              <w:rPr>
                <w:rFonts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52" w:type="dxa"/>
            <w:noWrap w:val="0"/>
            <w:vAlign w:val="center"/>
          </w:tcPr>
          <w:p>
            <w:pPr>
              <w:pStyle w:val="13"/>
              <w:jc w:val="center"/>
              <w:rPr>
                <w:rFonts w:hAnsi="宋体" w:eastAsia="宋体" w:cs="宋体"/>
                <w:color w:val="auto"/>
                <w:sz w:val="24"/>
                <w:szCs w:val="24"/>
                <w:highlight w:val="none"/>
              </w:rPr>
            </w:pPr>
            <w:r>
              <w:rPr>
                <w:rFonts w:hint="eastAsia" w:hAnsi="宋体" w:eastAsia="宋体" w:cs="宋体"/>
                <w:color w:val="auto"/>
                <w:sz w:val="24"/>
                <w:szCs w:val="24"/>
                <w:highlight w:val="none"/>
              </w:rPr>
              <w:t>2</w:t>
            </w:r>
          </w:p>
        </w:tc>
        <w:tc>
          <w:tcPr>
            <w:tcW w:w="5294" w:type="dxa"/>
            <w:noWrap w:val="0"/>
            <w:vAlign w:val="center"/>
          </w:tcPr>
          <w:p>
            <w:pPr>
              <w:widowControl/>
              <w:jc w:val="left"/>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lang w:bidi="ar"/>
              </w:rPr>
              <w:t>报价人具有工程监理综合资质，或市政公用工程专业监理乙级（或以上）资质。</w:t>
            </w:r>
          </w:p>
        </w:tc>
        <w:tc>
          <w:tcPr>
            <w:tcW w:w="1147" w:type="dxa"/>
            <w:noWrap w:val="0"/>
            <w:vAlign w:val="top"/>
          </w:tcPr>
          <w:p>
            <w:pPr>
              <w:pStyle w:val="13"/>
              <w:spacing w:line="360" w:lineRule="auto"/>
              <w:rPr>
                <w:rFonts w:hAnsi="宋体" w:eastAsia="宋体" w:cs="宋体"/>
                <w:color w:val="auto"/>
                <w:sz w:val="24"/>
                <w:szCs w:val="24"/>
                <w:highlight w:val="none"/>
              </w:rPr>
            </w:pPr>
          </w:p>
        </w:tc>
        <w:tc>
          <w:tcPr>
            <w:tcW w:w="1147" w:type="dxa"/>
            <w:noWrap w:val="0"/>
            <w:vAlign w:val="top"/>
          </w:tcPr>
          <w:p>
            <w:pPr>
              <w:pStyle w:val="13"/>
              <w:spacing w:line="360" w:lineRule="auto"/>
              <w:rPr>
                <w:rFonts w:hAnsi="宋体" w:eastAsia="宋体" w:cs="宋体"/>
                <w:color w:val="auto"/>
                <w:sz w:val="24"/>
                <w:szCs w:val="24"/>
                <w:highlight w:val="none"/>
              </w:rPr>
            </w:pPr>
          </w:p>
        </w:tc>
        <w:tc>
          <w:tcPr>
            <w:tcW w:w="1045" w:type="dxa"/>
            <w:noWrap w:val="0"/>
            <w:vAlign w:val="top"/>
          </w:tcPr>
          <w:p>
            <w:pPr>
              <w:pStyle w:val="13"/>
              <w:spacing w:line="360" w:lineRule="auto"/>
              <w:rPr>
                <w:rFonts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52" w:type="dxa"/>
            <w:noWrap w:val="0"/>
            <w:vAlign w:val="center"/>
          </w:tcPr>
          <w:p>
            <w:pPr>
              <w:pStyle w:val="13"/>
              <w:jc w:val="center"/>
              <w:rPr>
                <w:rFonts w:hAnsi="宋体" w:eastAsia="宋体" w:cs="宋体"/>
                <w:color w:val="auto"/>
                <w:sz w:val="24"/>
                <w:szCs w:val="24"/>
                <w:highlight w:val="none"/>
              </w:rPr>
            </w:pPr>
            <w:r>
              <w:rPr>
                <w:rFonts w:hint="eastAsia" w:hAnsi="宋体" w:eastAsia="宋体" w:cs="宋体"/>
                <w:color w:val="auto"/>
                <w:sz w:val="24"/>
                <w:szCs w:val="24"/>
                <w:highlight w:val="none"/>
              </w:rPr>
              <w:t>3</w:t>
            </w:r>
          </w:p>
        </w:tc>
        <w:tc>
          <w:tcPr>
            <w:tcW w:w="5294" w:type="dxa"/>
            <w:noWrap w:val="0"/>
            <w:vAlign w:val="center"/>
          </w:tcPr>
          <w:p>
            <w:pPr>
              <w:widowControl/>
              <w:jc w:val="left"/>
              <w:rPr>
                <w:rFonts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shd w:val="clear" w:color="auto" w:fill="FFFFFF"/>
                <w:lang w:bidi="ar"/>
              </w:rPr>
              <w:t>报价人委派的项目负责人须具备在报价单位注册的注册监理工程师执业资格，其注册专业为市政公用工程，并具备本科或以上学历。</w:t>
            </w:r>
          </w:p>
        </w:tc>
        <w:tc>
          <w:tcPr>
            <w:tcW w:w="1147" w:type="dxa"/>
            <w:noWrap w:val="0"/>
            <w:vAlign w:val="top"/>
          </w:tcPr>
          <w:p>
            <w:pPr>
              <w:pStyle w:val="13"/>
              <w:spacing w:line="360" w:lineRule="auto"/>
              <w:rPr>
                <w:rFonts w:hAnsi="宋体" w:eastAsia="宋体" w:cs="宋体"/>
                <w:color w:val="auto"/>
                <w:sz w:val="24"/>
                <w:szCs w:val="24"/>
                <w:highlight w:val="none"/>
              </w:rPr>
            </w:pPr>
          </w:p>
        </w:tc>
        <w:tc>
          <w:tcPr>
            <w:tcW w:w="1147" w:type="dxa"/>
            <w:noWrap w:val="0"/>
            <w:vAlign w:val="top"/>
          </w:tcPr>
          <w:p>
            <w:pPr>
              <w:pStyle w:val="13"/>
              <w:spacing w:line="360" w:lineRule="auto"/>
              <w:rPr>
                <w:rFonts w:hAnsi="宋体" w:eastAsia="宋体" w:cs="宋体"/>
                <w:color w:val="auto"/>
                <w:sz w:val="24"/>
                <w:szCs w:val="24"/>
                <w:highlight w:val="none"/>
              </w:rPr>
            </w:pPr>
          </w:p>
        </w:tc>
        <w:tc>
          <w:tcPr>
            <w:tcW w:w="1045" w:type="dxa"/>
            <w:noWrap w:val="0"/>
            <w:vAlign w:val="top"/>
          </w:tcPr>
          <w:p>
            <w:pPr>
              <w:pStyle w:val="13"/>
              <w:spacing w:line="360" w:lineRule="auto"/>
              <w:rPr>
                <w:rFonts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2" w:type="dxa"/>
            <w:noWrap w:val="0"/>
            <w:vAlign w:val="center"/>
          </w:tcPr>
          <w:p>
            <w:pPr>
              <w:pStyle w:val="13"/>
              <w:jc w:val="center"/>
              <w:rPr>
                <w:rFonts w:hAnsi="宋体" w:eastAsia="宋体" w:cs="宋体"/>
                <w:color w:val="auto"/>
                <w:sz w:val="24"/>
                <w:szCs w:val="24"/>
                <w:highlight w:val="none"/>
              </w:rPr>
            </w:pPr>
            <w:r>
              <w:rPr>
                <w:rFonts w:hint="eastAsia" w:hAnsi="宋体" w:eastAsia="宋体" w:cs="宋体"/>
                <w:color w:val="auto"/>
                <w:sz w:val="24"/>
                <w:szCs w:val="24"/>
                <w:highlight w:val="none"/>
              </w:rPr>
              <w:t>4</w:t>
            </w:r>
          </w:p>
        </w:tc>
        <w:tc>
          <w:tcPr>
            <w:tcW w:w="5294" w:type="dxa"/>
            <w:noWrap w:val="0"/>
            <w:vAlign w:val="center"/>
          </w:tcPr>
          <w:p>
            <w:pPr>
              <w:pStyle w:val="13"/>
              <w:tabs>
                <w:tab w:val="left" w:pos="1175"/>
              </w:tabs>
              <w:rPr>
                <w:rFonts w:hAnsi="宋体" w:eastAsia="宋体" w:cs="宋体"/>
                <w:color w:val="auto"/>
                <w:sz w:val="24"/>
                <w:szCs w:val="24"/>
                <w:highlight w:val="none"/>
              </w:rPr>
            </w:pPr>
            <w:r>
              <w:rPr>
                <w:rFonts w:hint="eastAsia" w:hAnsi="宋体" w:eastAsia="宋体" w:cs="宋体"/>
                <w:color w:val="auto"/>
                <w:sz w:val="24"/>
                <w:szCs w:val="24"/>
                <w:highlight w:val="none"/>
              </w:rPr>
              <w:t>本次询比不接受联合体报价。</w:t>
            </w:r>
          </w:p>
        </w:tc>
        <w:tc>
          <w:tcPr>
            <w:tcW w:w="1147" w:type="dxa"/>
            <w:noWrap w:val="0"/>
            <w:vAlign w:val="top"/>
          </w:tcPr>
          <w:p>
            <w:pPr>
              <w:pStyle w:val="13"/>
              <w:spacing w:line="360" w:lineRule="auto"/>
              <w:rPr>
                <w:rFonts w:hAnsi="宋体" w:eastAsia="宋体" w:cs="宋体"/>
                <w:color w:val="auto"/>
                <w:sz w:val="24"/>
                <w:szCs w:val="24"/>
                <w:highlight w:val="none"/>
              </w:rPr>
            </w:pPr>
          </w:p>
        </w:tc>
        <w:tc>
          <w:tcPr>
            <w:tcW w:w="1147" w:type="dxa"/>
            <w:noWrap w:val="0"/>
            <w:vAlign w:val="top"/>
          </w:tcPr>
          <w:p>
            <w:pPr>
              <w:pStyle w:val="13"/>
              <w:spacing w:line="360" w:lineRule="auto"/>
              <w:rPr>
                <w:rFonts w:hAnsi="宋体" w:eastAsia="宋体" w:cs="宋体"/>
                <w:color w:val="auto"/>
                <w:sz w:val="24"/>
                <w:szCs w:val="24"/>
                <w:highlight w:val="none"/>
              </w:rPr>
            </w:pPr>
          </w:p>
        </w:tc>
        <w:tc>
          <w:tcPr>
            <w:tcW w:w="1045" w:type="dxa"/>
            <w:noWrap w:val="0"/>
            <w:vAlign w:val="top"/>
          </w:tcPr>
          <w:p>
            <w:pPr>
              <w:pStyle w:val="13"/>
              <w:spacing w:line="360" w:lineRule="auto"/>
              <w:rPr>
                <w:rFonts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52" w:type="dxa"/>
            <w:noWrap w:val="0"/>
            <w:vAlign w:val="center"/>
          </w:tcPr>
          <w:p>
            <w:pPr>
              <w:pStyle w:val="13"/>
              <w:jc w:val="center"/>
              <w:rPr>
                <w:rFonts w:hAnsi="宋体" w:eastAsia="宋体" w:cs="宋体"/>
                <w:color w:val="auto"/>
                <w:sz w:val="24"/>
                <w:szCs w:val="24"/>
                <w:highlight w:val="none"/>
              </w:rPr>
            </w:pPr>
            <w:r>
              <w:rPr>
                <w:rFonts w:hint="eastAsia" w:hAnsi="宋体" w:eastAsia="宋体" w:cs="宋体"/>
                <w:color w:val="auto"/>
                <w:sz w:val="24"/>
                <w:szCs w:val="24"/>
                <w:highlight w:val="none"/>
              </w:rPr>
              <w:t>5</w:t>
            </w:r>
          </w:p>
        </w:tc>
        <w:tc>
          <w:tcPr>
            <w:tcW w:w="5294" w:type="dxa"/>
            <w:noWrap w:val="0"/>
            <w:vAlign w:val="center"/>
          </w:tcPr>
          <w:p>
            <w:pPr>
              <w:pStyle w:val="13"/>
              <w:rPr>
                <w:rFonts w:hAnsi="宋体" w:eastAsia="宋体" w:cs="宋体"/>
                <w:color w:val="auto"/>
                <w:sz w:val="24"/>
                <w:szCs w:val="24"/>
                <w:highlight w:val="none"/>
              </w:rPr>
            </w:pPr>
            <w:r>
              <w:rPr>
                <w:rFonts w:hint="eastAsia" w:hAnsi="宋体" w:cs="宋体"/>
                <w:color w:val="auto"/>
                <w:sz w:val="24"/>
                <w:szCs w:val="24"/>
                <w:highlight w:val="none"/>
              </w:rPr>
              <w:t>报价总金额是固定价且是唯一的，未超过本项目最高报价限价，有效报价下浮率为0%-</w:t>
            </w:r>
            <w:r>
              <w:rPr>
                <w:rFonts w:hint="eastAsia" w:hAnsi="宋体" w:eastAsia="宋体" w:cs="宋体"/>
                <w:color w:val="auto"/>
                <w:sz w:val="24"/>
                <w:szCs w:val="24"/>
                <w:highlight w:val="none"/>
              </w:rPr>
              <w:t>1</w:t>
            </w:r>
            <w:r>
              <w:rPr>
                <w:rFonts w:hint="eastAsia" w:hAnsi="宋体" w:cs="宋体"/>
                <w:color w:val="auto"/>
                <w:sz w:val="24"/>
                <w:szCs w:val="24"/>
                <w:highlight w:val="none"/>
              </w:rPr>
              <w:t>0%</w:t>
            </w:r>
            <w:r>
              <w:rPr>
                <w:rFonts w:hint="eastAsia" w:hAnsi="宋体" w:eastAsia="宋体" w:cs="宋体"/>
                <w:color w:val="auto"/>
                <w:sz w:val="24"/>
                <w:szCs w:val="24"/>
                <w:highlight w:val="none"/>
              </w:rPr>
              <w:t>。</w:t>
            </w:r>
          </w:p>
        </w:tc>
        <w:tc>
          <w:tcPr>
            <w:tcW w:w="1147" w:type="dxa"/>
            <w:noWrap w:val="0"/>
            <w:vAlign w:val="top"/>
          </w:tcPr>
          <w:p>
            <w:pPr>
              <w:pStyle w:val="13"/>
              <w:spacing w:line="360" w:lineRule="auto"/>
              <w:rPr>
                <w:rFonts w:hAnsi="宋体" w:eastAsia="宋体" w:cs="宋体"/>
                <w:color w:val="auto"/>
                <w:sz w:val="24"/>
                <w:szCs w:val="24"/>
                <w:highlight w:val="none"/>
              </w:rPr>
            </w:pPr>
          </w:p>
        </w:tc>
        <w:tc>
          <w:tcPr>
            <w:tcW w:w="1147" w:type="dxa"/>
            <w:noWrap w:val="0"/>
            <w:vAlign w:val="top"/>
          </w:tcPr>
          <w:p>
            <w:pPr>
              <w:pStyle w:val="13"/>
              <w:spacing w:line="360" w:lineRule="auto"/>
              <w:rPr>
                <w:rFonts w:hAnsi="宋体" w:eastAsia="宋体" w:cs="宋体"/>
                <w:color w:val="auto"/>
                <w:sz w:val="24"/>
                <w:szCs w:val="24"/>
                <w:highlight w:val="none"/>
              </w:rPr>
            </w:pPr>
          </w:p>
        </w:tc>
        <w:tc>
          <w:tcPr>
            <w:tcW w:w="1045" w:type="dxa"/>
            <w:noWrap w:val="0"/>
            <w:vAlign w:val="top"/>
          </w:tcPr>
          <w:p>
            <w:pPr>
              <w:pStyle w:val="13"/>
              <w:spacing w:line="360" w:lineRule="auto"/>
              <w:rPr>
                <w:rFonts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52" w:type="dxa"/>
            <w:noWrap w:val="0"/>
            <w:vAlign w:val="center"/>
          </w:tcPr>
          <w:p>
            <w:pPr>
              <w:pStyle w:val="13"/>
              <w:jc w:val="center"/>
              <w:rPr>
                <w:rFonts w:hAnsi="宋体" w:eastAsia="宋体" w:cs="宋体"/>
                <w:color w:val="auto"/>
                <w:sz w:val="24"/>
                <w:szCs w:val="24"/>
                <w:highlight w:val="none"/>
              </w:rPr>
            </w:pPr>
            <w:r>
              <w:rPr>
                <w:rFonts w:hint="eastAsia" w:hAnsi="宋体" w:eastAsia="宋体" w:cs="宋体"/>
                <w:color w:val="auto"/>
                <w:sz w:val="24"/>
                <w:szCs w:val="24"/>
                <w:highlight w:val="none"/>
              </w:rPr>
              <w:t>6</w:t>
            </w:r>
          </w:p>
        </w:tc>
        <w:tc>
          <w:tcPr>
            <w:tcW w:w="5294" w:type="dxa"/>
            <w:noWrap w:val="0"/>
            <w:vAlign w:val="center"/>
          </w:tcPr>
          <w:p>
            <w:pPr>
              <w:pStyle w:val="13"/>
              <w:rPr>
                <w:rFonts w:hAnsi="宋体" w:eastAsia="宋体" w:cs="宋体"/>
                <w:color w:val="auto"/>
                <w:sz w:val="24"/>
                <w:szCs w:val="24"/>
                <w:highlight w:val="none"/>
              </w:rPr>
            </w:pPr>
            <w:r>
              <w:rPr>
                <w:rFonts w:hint="eastAsia" w:hAnsi="宋体" w:eastAsia="宋体" w:cs="宋体"/>
                <w:color w:val="auto"/>
                <w:sz w:val="24"/>
                <w:szCs w:val="24"/>
                <w:highlight w:val="none"/>
              </w:rPr>
              <w:t>报价文件内容完整，无重大错漏，并已按询比文件要求签署及盖章。</w:t>
            </w:r>
          </w:p>
        </w:tc>
        <w:tc>
          <w:tcPr>
            <w:tcW w:w="1147" w:type="dxa"/>
            <w:noWrap w:val="0"/>
            <w:vAlign w:val="top"/>
          </w:tcPr>
          <w:p>
            <w:pPr>
              <w:pStyle w:val="13"/>
              <w:spacing w:line="360" w:lineRule="auto"/>
              <w:rPr>
                <w:rFonts w:hAnsi="宋体" w:eastAsia="宋体" w:cs="宋体"/>
                <w:color w:val="auto"/>
                <w:sz w:val="24"/>
                <w:szCs w:val="24"/>
                <w:highlight w:val="none"/>
              </w:rPr>
            </w:pPr>
          </w:p>
        </w:tc>
        <w:tc>
          <w:tcPr>
            <w:tcW w:w="1147" w:type="dxa"/>
            <w:noWrap w:val="0"/>
            <w:vAlign w:val="top"/>
          </w:tcPr>
          <w:p>
            <w:pPr>
              <w:pStyle w:val="13"/>
              <w:spacing w:line="360" w:lineRule="auto"/>
              <w:rPr>
                <w:rFonts w:hAnsi="宋体" w:eastAsia="宋体" w:cs="宋体"/>
                <w:color w:val="auto"/>
                <w:sz w:val="24"/>
                <w:szCs w:val="24"/>
                <w:highlight w:val="none"/>
              </w:rPr>
            </w:pPr>
          </w:p>
        </w:tc>
        <w:tc>
          <w:tcPr>
            <w:tcW w:w="1045" w:type="dxa"/>
            <w:noWrap w:val="0"/>
            <w:vAlign w:val="top"/>
          </w:tcPr>
          <w:p>
            <w:pPr>
              <w:pStyle w:val="13"/>
              <w:spacing w:line="360" w:lineRule="auto"/>
              <w:rPr>
                <w:rFonts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046" w:type="dxa"/>
            <w:gridSpan w:val="2"/>
            <w:noWrap w:val="0"/>
            <w:vAlign w:val="center"/>
          </w:tcPr>
          <w:p>
            <w:pPr>
              <w:pStyle w:val="13"/>
              <w:spacing w:line="360" w:lineRule="auto"/>
              <w:jc w:val="center"/>
              <w:rPr>
                <w:rFonts w:hAnsi="宋体" w:eastAsia="宋体" w:cs="宋体"/>
                <w:color w:val="auto"/>
                <w:sz w:val="24"/>
                <w:szCs w:val="24"/>
                <w:highlight w:val="none"/>
              </w:rPr>
            </w:pPr>
            <w:r>
              <w:rPr>
                <w:rFonts w:hint="eastAsia" w:hAnsi="宋体" w:eastAsia="宋体" w:cs="宋体"/>
                <w:color w:val="auto"/>
                <w:sz w:val="24"/>
                <w:szCs w:val="24"/>
                <w:highlight w:val="none"/>
              </w:rPr>
              <w:t>结论</w:t>
            </w:r>
          </w:p>
        </w:tc>
        <w:tc>
          <w:tcPr>
            <w:tcW w:w="1147" w:type="dxa"/>
            <w:noWrap w:val="0"/>
            <w:vAlign w:val="top"/>
          </w:tcPr>
          <w:p>
            <w:pPr>
              <w:pStyle w:val="13"/>
              <w:spacing w:line="360" w:lineRule="auto"/>
              <w:rPr>
                <w:rFonts w:hAnsi="宋体" w:eastAsia="宋体" w:cs="宋体"/>
                <w:color w:val="auto"/>
                <w:sz w:val="24"/>
                <w:szCs w:val="24"/>
                <w:highlight w:val="none"/>
              </w:rPr>
            </w:pPr>
          </w:p>
        </w:tc>
        <w:tc>
          <w:tcPr>
            <w:tcW w:w="1147" w:type="dxa"/>
            <w:noWrap w:val="0"/>
            <w:vAlign w:val="top"/>
          </w:tcPr>
          <w:p>
            <w:pPr>
              <w:pStyle w:val="13"/>
              <w:spacing w:line="360" w:lineRule="auto"/>
              <w:rPr>
                <w:rFonts w:hAnsi="宋体" w:eastAsia="宋体" w:cs="宋体"/>
                <w:color w:val="auto"/>
                <w:sz w:val="24"/>
                <w:szCs w:val="24"/>
                <w:highlight w:val="none"/>
              </w:rPr>
            </w:pPr>
          </w:p>
        </w:tc>
        <w:tc>
          <w:tcPr>
            <w:tcW w:w="1045" w:type="dxa"/>
            <w:noWrap w:val="0"/>
            <w:vAlign w:val="top"/>
          </w:tcPr>
          <w:p>
            <w:pPr>
              <w:pStyle w:val="13"/>
              <w:spacing w:line="360" w:lineRule="auto"/>
              <w:rPr>
                <w:rFonts w:hAnsi="宋体" w:eastAsia="宋体" w:cs="宋体"/>
                <w:color w:val="auto"/>
                <w:sz w:val="24"/>
                <w:szCs w:val="24"/>
                <w:highlight w:val="none"/>
              </w:rPr>
            </w:pPr>
          </w:p>
        </w:tc>
      </w:tr>
    </w:tbl>
    <w:p>
      <w:pPr>
        <w:pStyle w:val="13"/>
        <w:jc w:val="left"/>
        <w:rPr>
          <w:rFonts w:hAnsi="宋体" w:eastAsia="宋体" w:cs="宋体"/>
          <w:color w:val="auto"/>
          <w:szCs w:val="21"/>
          <w:highlight w:val="none"/>
        </w:rPr>
      </w:pPr>
      <w:r>
        <w:rPr>
          <w:rFonts w:hint="eastAsia" w:hAnsi="宋体" w:eastAsia="宋体" w:cs="宋体"/>
          <w:color w:val="auto"/>
          <w:szCs w:val="21"/>
          <w:highlight w:val="none"/>
        </w:rPr>
        <w:t>注：1. 每一项符合的打“√”，不符合的打“×”。</w:t>
      </w:r>
    </w:p>
    <w:p>
      <w:pPr>
        <w:pStyle w:val="13"/>
        <w:ind w:firstLine="420" w:firstLineChars="200"/>
        <w:jc w:val="left"/>
        <w:rPr>
          <w:rFonts w:hAnsi="宋体" w:eastAsia="宋体" w:cs="宋体"/>
          <w:color w:val="auto"/>
          <w:szCs w:val="21"/>
          <w:highlight w:val="none"/>
        </w:rPr>
      </w:pPr>
      <w:r>
        <w:rPr>
          <w:rFonts w:hint="eastAsia" w:hAnsi="宋体" w:eastAsia="宋体" w:cs="宋体"/>
          <w:color w:val="auto"/>
          <w:szCs w:val="21"/>
          <w:highlight w:val="none"/>
        </w:rPr>
        <w:t>2. “结论”一栏填写“通过”或“不通过”；任何一项出现“×”的，结论为不通过；不通过的为无效报价。</w:t>
      </w:r>
    </w:p>
    <w:p>
      <w:pPr>
        <w:pStyle w:val="13"/>
        <w:spacing w:line="360" w:lineRule="auto"/>
        <w:ind w:right="480"/>
        <w:jc w:val="right"/>
        <w:rPr>
          <w:rFonts w:hAnsi="宋体" w:eastAsia="宋体" w:cs="宋体"/>
          <w:color w:val="auto"/>
          <w:highlight w:val="none"/>
        </w:rPr>
        <w:sectPr>
          <w:pgSz w:w="11906" w:h="16838"/>
          <w:pgMar w:top="1418" w:right="1457" w:bottom="1418" w:left="1457" w:header="851" w:footer="992" w:gutter="0"/>
          <w:cols w:space="720" w:num="1"/>
          <w:docGrid w:type="lines" w:linePitch="312" w:charSpace="0"/>
        </w:sectPr>
      </w:pPr>
      <w:r>
        <w:rPr>
          <w:rFonts w:hint="eastAsia" w:hAnsi="宋体" w:eastAsia="宋体" w:cs="宋体"/>
          <w:color w:val="auto"/>
          <w:sz w:val="24"/>
          <w:szCs w:val="24"/>
          <w:highlight w:val="none"/>
        </w:rPr>
        <w:t xml:space="preserve">  </w:t>
      </w:r>
    </w:p>
    <w:p>
      <w:pPr>
        <w:widowControl/>
        <w:shd w:val="clear" w:color="auto" w:fill="FFFFFF"/>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附件二</w:t>
      </w:r>
    </w:p>
    <w:p>
      <w:pPr>
        <w:widowControl/>
        <w:shd w:val="clear" w:color="auto" w:fill="FFFFFF"/>
        <w:spacing w:line="360" w:lineRule="auto"/>
        <w:jc w:val="center"/>
        <w:rPr>
          <w:rFonts w:ascii="宋体" w:hAnsi="宋体" w:cs="宋体"/>
          <w:b/>
          <w:bCs/>
          <w:color w:val="auto"/>
          <w:sz w:val="24"/>
          <w:szCs w:val="24"/>
          <w:highlight w:val="none"/>
        </w:rPr>
      </w:pPr>
      <w:r>
        <w:rPr>
          <w:rFonts w:hint="eastAsia" w:ascii="宋体" w:hAnsi="宋体" w:cs="宋体"/>
          <w:b/>
          <w:bCs/>
          <w:color w:val="auto"/>
          <w:sz w:val="28"/>
          <w:szCs w:val="28"/>
          <w:highlight w:val="none"/>
        </w:rPr>
        <w:t>综合评分表</w:t>
      </w: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u w:val="single"/>
        </w:rPr>
        <w:t>荔湾区2023年树木保护和复壮工程监理</w:t>
      </w:r>
    </w:p>
    <w:tbl>
      <w:tblPr>
        <w:tblStyle w:val="27"/>
        <w:tblpPr w:leftFromText="180" w:rightFromText="180" w:vertAnchor="text" w:horzAnchor="page" w:tblpX="1300" w:tblpY="260"/>
        <w:tblOverlap w:val="never"/>
        <w:tblW w:w="9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08"/>
        <w:gridCol w:w="7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4" w:type="dxa"/>
            <w:noWrap w:val="0"/>
            <w:vAlign w:val="center"/>
          </w:tcPr>
          <w:p>
            <w:pPr>
              <w:spacing w:line="2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208" w:type="dxa"/>
            <w:noWrap w:val="0"/>
            <w:vAlign w:val="center"/>
          </w:tcPr>
          <w:p>
            <w:pPr>
              <w:spacing w:line="2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w:t>
            </w:r>
          </w:p>
        </w:tc>
        <w:tc>
          <w:tcPr>
            <w:tcW w:w="7700" w:type="dxa"/>
            <w:noWrap w:val="0"/>
            <w:vAlign w:val="center"/>
          </w:tcPr>
          <w:p>
            <w:pPr>
              <w:tabs>
                <w:tab w:val="left" w:pos="7780"/>
              </w:tabs>
              <w:spacing w:line="360" w:lineRule="exact"/>
              <w:ind w:right="-2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704"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一</w:t>
            </w:r>
          </w:p>
        </w:tc>
        <w:tc>
          <w:tcPr>
            <w:tcW w:w="1208" w:type="dxa"/>
            <w:noWrap w:val="0"/>
            <w:vAlign w:val="center"/>
          </w:tcPr>
          <w:p>
            <w:pPr>
              <w:tabs>
                <w:tab w:val="left" w:pos="7780"/>
              </w:tabs>
              <w:ind w:right="-2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业绩情况（25分）</w:t>
            </w:r>
          </w:p>
        </w:tc>
        <w:tc>
          <w:tcPr>
            <w:tcW w:w="7700" w:type="dxa"/>
            <w:noWrap w:val="0"/>
            <w:vAlign w:val="center"/>
          </w:tcPr>
          <w:p>
            <w:pPr>
              <w:tabs>
                <w:tab w:val="left" w:pos="7780"/>
              </w:tabs>
              <w:ind w:right="-23"/>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报价人自2019年1月1日至今独立完成过质量合格的园林绿化类监理项目业绩，每项业绩得5分，本项最高得25分。</w:t>
            </w:r>
          </w:p>
          <w:p>
            <w:pPr>
              <w:tabs>
                <w:tab w:val="left" w:pos="7780"/>
              </w:tabs>
              <w:ind w:right="-23"/>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注：需同时提供监理合同、中标通知书（或委托书）和验收报告（或竣工验收证明）复印件为依据，时间以验收报告（或竣工验收证明）落款时间为准。未提供不得分。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704" w:type="dxa"/>
            <w:noWrap w:val="0"/>
            <w:vAlign w:val="center"/>
          </w:tcPr>
          <w:p>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二</w:t>
            </w:r>
          </w:p>
        </w:tc>
        <w:tc>
          <w:tcPr>
            <w:tcW w:w="1208" w:type="dxa"/>
            <w:noWrap w:val="0"/>
            <w:vAlign w:val="center"/>
          </w:tcPr>
          <w:p>
            <w:pPr>
              <w:tabs>
                <w:tab w:val="left" w:pos="7780"/>
              </w:tabs>
              <w:ind w:right="-2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项目总监（15分）</w:t>
            </w:r>
          </w:p>
        </w:tc>
        <w:tc>
          <w:tcPr>
            <w:tcW w:w="7700" w:type="dxa"/>
            <w:noWrap w:val="0"/>
            <w:vAlign w:val="center"/>
          </w:tcPr>
          <w:p>
            <w:pPr>
              <w:tabs>
                <w:tab w:val="left" w:pos="7780"/>
              </w:tabs>
              <w:ind w:right="-23"/>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1、拟委派的项目总监理工程师具有具有备园林类专业中级或以上工程师职称的，得5分；无或其他情况不得分。本小项最高得5分。</w:t>
            </w:r>
          </w:p>
          <w:p>
            <w:pPr>
              <w:tabs>
                <w:tab w:val="left" w:pos="7780"/>
              </w:tabs>
              <w:ind w:right="-23"/>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2、2019年1月1月至今，拟委派的项目总监理工程师担任过质量合格的类似园林绿化监理项目总监理工程师（或总监代表）的，每项得2分，本小项最高得10分。</w:t>
            </w:r>
          </w:p>
          <w:p>
            <w:pPr>
              <w:tabs>
                <w:tab w:val="left" w:pos="7780"/>
              </w:tabs>
              <w:ind w:right="-23"/>
              <w:jc w:val="left"/>
              <w:rPr>
                <w:rFonts w:ascii="宋体" w:hAnsi="宋体" w:cs="宋体"/>
                <w:color w:val="auto"/>
                <w:sz w:val="24"/>
                <w:szCs w:val="24"/>
                <w:highlight w:val="none"/>
              </w:rPr>
            </w:pPr>
            <w:r>
              <w:rPr>
                <w:rFonts w:hint="eastAsia" w:ascii="宋体" w:hAnsi="宋体" w:cs="宋体"/>
                <w:color w:val="auto"/>
                <w:sz w:val="24"/>
                <w:szCs w:val="24"/>
                <w:highlight w:val="none"/>
              </w:rPr>
              <w:t>本项累计最高得15分。</w:t>
            </w:r>
          </w:p>
          <w:p>
            <w:pPr>
              <w:tabs>
                <w:tab w:val="left" w:pos="7780"/>
              </w:tabs>
              <w:ind w:right="-23"/>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注：需按评审标准要求提供注册证书、毕业证书、职称证书、业绩证明（体现总监姓名的合同或验收报告或竣工验收证明等证明材料）及</w:t>
            </w:r>
            <w:r>
              <w:rPr>
                <w:rFonts w:hint="eastAsia" w:ascii="宋体" w:hAnsi="宋体" w:cs="宋体"/>
                <w:color w:val="auto"/>
                <w:kern w:val="0"/>
                <w:sz w:val="24"/>
                <w:szCs w:val="24"/>
                <w:highlight w:val="none"/>
              </w:rPr>
              <w:t>近三个月（2022年11月份至2023年1月份）在本单位（含分支机构）缴纳社保的证明材料</w:t>
            </w:r>
            <w:r>
              <w:rPr>
                <w:rFonts w:hint="eastAsia" w:ascii="宋体" w:hAnsi="宋体" w:cs="宋体"/>
                <w:color w:val="auto"/>
                <w:sz w:val="24"/>
                <w:szCs w:val="24"/>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704" w:type="dxa"/>
            <w:noWrap w:val="0"/>
            <w:vAlign w:val="center"/>
          </w:tcPr>
          <w:p>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三</w:t>
            </w:r>
          </w:p>
        </w:tc>
        <w:tc>
          <w:tcPr>
            <w:tcW w:w="1208"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专业技术人员（项目总监理工程师除外）</w:t>
            </w:r>
          </w:p>
          <w:p>
            <w:pPr>
              <w:pStyle w:val="2"/>
              <w:rPr>
                <w:rFonts w:hint="eastAsia" w:ascii="宋体" w:hAnsi="宋体" w:cs="宋体"/>
                <w:color w:val="auto"/>
                <w:sz w:val="24"/>
                <w:szCs w:val="24"/>
                <w:highlight w:val="none"/>
              </w:rPr>
            </w:pPr>
            <w:r>
              <w:rPr>
                <w:rFonts w:hint="eastAsia" w:ascii="宋体" w:hAnsi="宋体" w:cs="宋体"/>
                <w:color w:val="auto"/>
                <w:sz w:val="24"/>
                <w:szCs w:val="24"/>
                <w:highlight w:val="none"/>
              </w:rPr>
              <w:t>（35分）</w:t>
            </w:r>
          </w:p>
        </w:tc>
        <w:tc>
          <w:tcPr>
            <w:tcW w:w="7700" w:type="dxa"/>
            <w:noWrap w:val="0"/>
            <w:vAlign w:val="center"/>
          </w:tcPr>
          <w:p>
            <w:pPr>
              <w:tabs>
                <w:tab w:val="left" w:pos="7780"/>
              </w:tabs>
              <w:ind w:right="-23"/>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1、拟投入的专业监理人员满足本项目各专业（市政公用工程专业监理工程师1人、林业专业工程师2人，造价工程师1人、监理员1人）要求，每投入一名专业人员得5分，本小项最高得25分。</w:t>
            </w:r>
          </w:p>
          <w:p>
            <w:pPr>
              <w:tabs>
                <w:tab w:val="left" w:pos="7780"/>
              </w:tabs>
              <w:ind w:right="-23"/>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2、上述人员中具备注册监理工程师或一级注册造价工程师执业资格的，每人加5分，本小项最高得10分。</w:t>
            </w:r>
          </w:p>
          <w:p>
            <w:pPr>
              <w:tabs>
                <w:tab w:val="left" w:pos="7780"/>
              </w:tabs>
              <w:ind w:right="-23"/>
              <w:jc w:val="left"/>
              <w:rPr>
                <w:rFonts w:ascii="宋体" w:hAnsi="宋体" w:cs="宋体"/>
                <w:color w:val="auto"/>
                <w:sz w:val="24"/>
                <w:szCs w:val="24"/>
                <w:highlight w:val="none"/>
              </w:rPr>
            </w:pPr>
            <w:r>
              <w:rPr>
                <w:rFonts w:hint="eastAsia" w:ascii="宋体" w:hAnsi="宋体" w:cs="宋体"/>
                <w:color w:val="auto"/>
                <w:sz w:val="24"/>
                <w:szCs w:val="24"/>
                <w:highlight w:val="none"/>
              </w:rPr>
              <w:t>本项累计最高得35分。</w:t>
            </w:r>
          </w:p>
          <w:p>
            <w:pPr>
              <w:tabs>
                <w:tab w:val="left" w:pos="7780"/>
              </w:tabs>
              <w:ind w:right="-23"/>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需提供职称证书、本单位注册造价工程师注册证书（未实行分级的注册造价工程师自动划分为一级注册造价工程师）、执业资格证书，并提供近三个月（2022年11月份至2023年1月份）在本单位（含分支机构）缴纳社保的证明材料（退休人员则提供退休证明、退休人员返聘协议及本单位为其缴纳的个人纳税证明。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noWrap w:val="0"/>
            <w:vAlign w:val="center"/>
          </w:tcPr>
          <w:p>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四</w:t>
            </w:r>
          </w:p>
        </w:tc>
        <w:tc>
          <w:tcPr>
            <w:tcW w:w="1208"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企业纳税情况</w:t>
            </w:r>
          </w:p>
          <w:p>
            <w:pPr>
              <w:pStyle w:val="2"/>
              <w:rPr>
                <w:rFonts w:hint="eastAsia" w:ascii="宋体" w:hAnsi="宋体" w:cs="宋体"/>
                <w:color w:val="auto"/>
                <w:sz w:val="24"/>
                <w:szCs w:val="24"/>
                <w:highlight w:val="none"/>
              </w:rPr>
            </w:pPr>
            <w:r>
              <w:rPr>
                <w:rFonts w:hint="eastAsia" w:ascii="宋体" w:hAnsi="宋体" w:cs="宋体"/>
                <w:color w:val="auto"/>
                <w:sz w:val="24"/>
                <w:szCs w:val="24"/>
                <w:highlight w:val="none"/>
              </w:rPr>
              <w:t>（5分）</w:t>
            </w:r>
          </w:p>
        </w:tc>
        <w:tc>
          <w:tcPr>
            <w:tcW w:w="7700" w:type="dxa"/>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报价人2021年获得过国家税务局纳税信用等级证书：A级的得5分；B级的得2分；C级的得1分。本小项最高得5分，无或其他情况不得分。</w:t>
            </w:r>
          </w:p>
          <w:p>
            <w:pPr>
              <w:jc w:val="left"/>
              <w:rPr>
                <w:rFonts w:ascii="宋体" w:hAnsi="宋体" w:cs="宋体"/>
                <w:color w:val="auto"/>
                <w:sz w:val="24"/>
                <w:szCs w:val="24"/>
                <w:highlight w:val="none"/>
              </w:rPr>
            </w:pPr>
            <w:r>
              <w:rPr>
                <w:rFonts w:hint="eastAsia" w:ascii="宋体" w:hAnsi="宋体" w:cs="宋体"/>
                <w:color w:val="auto"/>
                <w:sz w:val="24"/>
                <w:szCs w:val="24"/>
                <w:highlight w:val="none"/>
              </w:rPr>
              <w:t>注：企业纳税需提供相关国家税务机关或主管税务机关出具的证明。未提供不得分。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04"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五</w:t>
            </w:r>
          </w:p>
        </w:tc>
        <w:tc>
          <w:tcPr>
            <w:tcW w:w="1208"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报价评分</w:t>
            </w:r>
          </w:p>
          <w:p>
            <w:pPr>
              <w:pStyle w:val="2"/>
              <w:rPr>
                <w:rFonts w:hint="eastAsia" w:ascii="宋体" w:hAnsi="宋体" w:cs="宋体"/>
                <w:color w:val="auto"/>
                <w:sz w:val="24"/>
                <w:szCs w:val="24"/>
                <w:highlight w:val="none"/>
              </w:rPr>
            </w:pPr>
            <w:r>
              <w:rPr>
                <w:rFonts w:hint="eastAsia" w:ascii="宋体" w:hAnsi="宋体" w:cs="宋体"/>
                <w:color w:val="auto"/>
                <w:sz w:val="24"/>
                <w:szCs w:val="24"/>
                <w:highlight w:val="none"/>
              </w:rPr>
              <w:t>（20分）</w:t>
            </w:r>
          </w:p>
        </w:tc>
        <w:tc>
          <w:tcPr>
            <w:tcW w:w="7700" w:type="dxa"/>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当有效报价等于报价基准价时，报价得分为20分，报价每高于报价基准价1%，扣0.5分，每低于1%，扣0.25分，扣至0分为止，计算出报价得分，精确到小数点后两位。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612" w:type="dxa"/>
            <w:gridSpan w:val="3"/>
            <w:noWrap w:val="0"/>
            <w:vAlign w:val="center"/>
          </w:tcPr>
          <w:p>
            <w:pPr>
              <w:tabs>
                <w:tab w:val="left" w:pos="7780"/>
              </w:tabs>
              <w:ind w:right="-2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总得分100分</w:t>
            </w:r>
          </w:p>
        </w:tc>
      </w:tr>
    </w:tbl>
    <w:p>
      <w:pPr>
        <w:tabs>
          <w:tab w:val="left" w:pos="7780"/>
        </w:tabs>
        <w:ind w:right="-23"/>
        <w:jc w:val="left"/>
        <w:rPr>
          <w:rFonts w:hint="eastAsia" w:ascii="宋体" w:hAnsi="宋体" w:cs="宋体"/>
          <w:color w:val="auto"/>
          <w:szCs w:val="21"/>
          <w:highlight w:val="none"/>
        </w:rPr>
      </w:pPr>
    </w:p>
    <w:p>
      <w:pPr>
        <w:widowControl/>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附件三</w:t>
      </w:r>
    </w:p>
    <w:p>
      <w:pPr>
        <w:spacing w:line="360" w:lineRule="auto"/>
        <w:rPr>
          <w:rFonts w:hint="eastAsia" w:ascii="宋体" w:hAnsi="宋体" w:cs="宋体"/>
          <w:b/>
          <w:bCs/>
          <w:color w:val="auto"/>
          <w:sz w:val="44"/>
          <w:highlight w:val="none"/>
        </w:rPr>
      </w:pPr>
    </w:p>
    <w:p>
      <w:pPr>
        <w:pStyle w:val="49"/>
        <w:spacing w:line="360" w:lineRule="auto"/>
        <w:jc w:val="right"/>
        <w:rPr>
          <w:rFonts w:hint="eastAsia"/>
          <w:color w:val="auto"/>
          <w:highlight w:val="none"/>
        </w:rPr>
      </w:pPr>
      <w:r>
        <w:rPr>
          <w:rFonts w:hint="eastAsia" w:ascii="宋体" w:hAnsi="宋体" w:cs="宋体"/>
          <w:b/>
          <w:bCs/>
          <w:color w:val="auto"/>
          <w:sz w:val="44"/>
          <w:highlight w:val="none"/>
        </w:rPr>
        <w:t>正本</w:t>
      </w:r>
    </w:p>
    <w:p>
      <w:pPr>
        <w:pStyle w:val="49"/>
        <w:spacing w:line="360" w:lineRule="auto"/>
        <w:rPr>
          <w:rFonts w:hint="eastAsia"/>
          <w:color w:val="auto"/>
          <w:highlight w:val="none"/>
        </w:rPr>
      </w:pPr>
    </w:p>
    <w:p>
      <w:pPr>
        <w:spacing w:line="360" w:lineRule="auto"/>
        <w:rPr>
          <w:rFonts w:hint="eastAsia"/>
          <w:color w:val="auto"/>
          <w:highlight w:val="none"/>
        </w:rPr>
      </w:pPr>
    </w:p>
    <w:p>
      <w:pPr>
        <w:pStyle w:val="49"/>
        <w:spacing w:line="360" w:lineRule="auto"/>
        <w:rPr>
          <w:rFonts w:hint="eastAsia"/>
          <w:color w:val="auto"/>
          <w:highlight w:val="none"/>
        </w:rPr>
      </w:pPr>
    </w:p>
    <w:p>
      <w:pPr>
        <w:spacing w:line="360" w:lineRule="auto"/>
        <w:rPr>
          <w:rFonts w:hint="eastAsia"/>
          <w:color w:val="auto"/>
          <w:highlight w:val="none"/>
        </w:rPr>
      </w:pPr>
    </w:p>
    <w:p>
      <w:pPr>
        <w:spacing w:line="360" w:lineRule="auto"/>
        <w:jc w:val="center"/>
        <w:rPr>
          <w:rFonts w:hint="eastAsia" w:ascii="宋体" w:hAnsi="宋体" w:cs="宋体"/>
          <w:b/>
          <w:bCs/>
          <w:color w:val="auto"/>
          <w:sz w:val="44"/>
          <w:highlight w:val="none"/>
        </w:rPr>
      </w:pPr>
      <w:r>
        <w:rPr>
          <w:rFonts w:hint="eastAsia" w:ascii="宋体" w:hAnsi="宋体" w:cs="宋体"/>
          <w:b/>
          <w:bCs/>
          <w:color w:val="auto"/>
          <w:sz w:val="44"/>
          <w:highlight w:val="none"/>
        </w:rPr>
        <w:t>荔湾区2023年树木保护和复壮工程监理</w:t>
      </w:r>
    </w:p>
    <w:p>
      <w:pPr>
        <w:spacing w:line="360" w:lineRule="auto"/>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报价文件</w:t>
      </w:r>
    </w:p>
    <w:p>
      <w:pPr>
        <w:spacing w:line="360" w:lineRule="auto"/>
        <w:rPr>
          <w:rFonts w:hint="eastAsia" w:ascii="宋体" w:hAnsi="宋体" w:cs="宋体"/>
          <w:b/>
          <w:bCs/>
          <w:color w:val="auto"/>
          <w:sz w:val="44"/>
          <w:highlight w:val="none"/>
        </w:rPr>
      </w:pPr>
    </w:p>
    <w:p>
      <w:pPr>
        <w:spacing w:line="360" w:lineRule="auto"/>
        <w:rPr>
          <w:rFonts w:hint="eastAsia" w:ascii="宋体" w:hAnsi="宋体" w:cs="宋体"/>
          <w:b/>
          <w:bCs/>
          <w:color w:val="auto"/>
          <w:sz w:val="44"/>
          <w:highlight w:val="none"/>
        </w:rPr>
      </w:pPr>
    </w:p>
    <w:p>
      <w:pPr>
        <w:spacing w:line="360" w:lineRule="auto"/>
        <w:rPr>
          <w:rFonts w:hint="eastAsia" w:ascii="宋体" w:hAnsi="宋体" w:cs="宋体"/>
          <w:b/>
          <w:bCs/>
          <w:color w:val="auto"/>
          <w:sz w:val="44"/>
          <w:highlight w:val="none"/>
        </w:rPr>
      </w:pPr>
    </w:p>
    <w:p>
      <w:pPr>
        <w:spacing w:line="360" w:lineRule="auto"/>
        <w:rPr>
          <w:rFonts w:hint="eastAsia" w:ascii="宋体" w:hAnsi="宋体" w:cs="宋体"/>
          <w:b/>
          <w:bCs/>
          <w:color w:val="auto"/>
          <w:sz w:val="44"/>
          <w:highlight w:val="none"/>
        </w:rPr>
      </w:pPr>
    </w:p>
    <w:p>
      <w:pPr>
        <w:pStyle w:val="49"/>
        <w:spacing w:line="360" w:lineRule="auto"/>
        <w:rPr>
          <w:rFonts w:hint="eastAsia" w:ascii="宋体" w:hAnsi="宋体" w:cs="宋体"/>
          <w:b/>
          <w:bCs/>
          <w:color w:val="auto"/>
          <w:sz w:val="44"/>
          <w:highlight w:val="none"/>
        </w:rPr>
      </w:pPr>
    </w:p>
    <w:p>
      <w:pPr>
        <w:spacing w:line="360" w:lineRule="auto"/>
        <w:rPr>
          <w:rFonts w:hint="eastAsia" w:ascii="宋体" w:hAnsi="宋体" w:cs="宋体"/>
          <w:b/>
          <w:bCs/>
          <w:color w:val="auto"/>
          <w:sz w:val="44"/>
          <w:highlight w:val="none"/>
        </w:rPr>
      </w:pPr>
    </w:p>
    <w:p>
      <w:pPr>
        <w:pStyle w:val="49"/>
        <w:spacing w:line="360" w:lineRule="auto"/>
        <w:rPr>
          <w:rFonts w:hint="eastAsia"/>
          <w:color w:val="auto"/>
          <w:highlight w:val="none"/>
        </w:rPr>
      </w:pPr>
    </w:p>
    <w:p>
      <w:pPr>
        <w:spacing w:line="360" w:lineRule="auto"/>
        <w:rPr>
          <w:rFonts w:hint="eastAsia" w:ascii="宋体" w:hAnsi="宋体" w:cs="宋体"/>
          <w:b/>
          <w:bCs/>
          <w:color w:val="auto"/>
          <w:sz w:val="44"/>
          <w:highlight w:val="none"/>
        </w:rPr>
      </w:pPr>
    </w:p>
    <w:p>
      <w:pPr>
        <w:spacing w:line="360" w:lineRule="auto"/>
        <w:ind w:left="840" w:firstLine="420"/>
        <w:rPr>
          <w:rFonts w:hint="eastAsia" w:ascii="宋体" w:hAnsi="宋体" w:cs="宋体"/>
          <w:b/>
          <w:bCs/>
          <w:color w:val="auto"/>
          <w:sz w:val="32"/>
          <w:highlight w:val="none"/>
          <w:u w:val="single"/>
        </w:rPr>
      </w:pPr>
      <w:r>
        <w:rPr>
          <w:rFonts w:hint="eastAsia" w:ascii="宋体" w:hAnsi="宋体" w:cs="宋体"/>
          <w:b/>
          <w:bCs/>
          <w:color w:val="auto"/>
          <w:sz w:val="32"/>
          <w:highlight w:val="none"/>
        </w:rPr>
        <w:t>报价人：</w:t>
      </w:r>
      <w:r>
        <w:rPr>
          <w:rFonts w:hint="eastAsia" w:ascii="宋体" w:hAnsi="宋体" w:cs="宋体"/>
          <w:b/>
          <w:bCs/>
          <w:color w:val="auto"/>
          <w:sz w:val="32"/>
          <w:highlight w:val="none"/>
          <w:u w:val="single"/>
        </w:rPr>
        <w:t xml:space="preserve">                   </w:t>
      </w:r>
    </w:p>
    <w:p>
      <w:pPr>
        <w:spacing w:line="360" w:lineRule="auto"/>
        <w:ind w:left="840" w:firstLine="420"/>
        <w:rPr>
          <w:rFonts w:hint="eastAsia" w:ascii="宋体" w:hAnsi="宋体" w:cs="宋体"/>
          <w:b/>
          <w:bCs/>
          <w:color w:val="auto"/>
          <w:sz w:val="32"/>
          <w:highlight w:val="none"/>
          <w:u w:val="single"/>
        </w:rPr>
      </w:pPr>
      <w:r>
        <w:rPr>
          <w:rFonts w:hint="eastAsia" w:ascii="宋体" w:hAnsi="宋体" w:cs="宋体"/>
          <w:b/>
          <w:bCs/>
          <w:color w:val="auto"/>
          <w:sz w:val="32"/>
          <w:highlight w:val="none"/>
        </w:rPr>
        <w:t>联系人：</w:t>
      </w:r>
      <w:r>
        <w:rPr>
          <w:rFonts w:hint="eastAsia" w:ascii="宋体" w:hAnsi="宋体" w:cs="宋体"/>
          <w:b/>
          <w:bCs/>
          <w:color w:val="auto"/>
          <w:sz w:val="32"/>
          <w:highlight w:val="none"/>
          <w:u w:val="single"/>
        </w:rPr>
        <w:t xml:space="preserve">                   </w:t>
      </w:r>
    </w:p>
    <w:p>
      <w:pPr>
        <w:spacing w:line="360" w:lineRule="auto"/>
        <w:ind w:left="840" w:firstLine="420"/>
        <w:rPr>
          <w:rFonts w:hint="eastAsia" w:ascii="宋体" w:hAnsi="宋体" w:cs="宋体"/>
          <w:b/>
          <w:bCs/>
          <w:color w:val="auto"/>
          <w:sz w:val="32"/>
          <w:highlight w:val="none"/>
        </w:rPr>
      </w:pPr>
      <w:r>
        <w:rPr>
          <w:rFonts w:hint="eastAsia" w:ascii="宋体" w:hAnsi="宋体" w:cs="宋体"/>
          <w:b/>
          <w:bCs/>
          <w:color w:val="auto"/>
          <w:sz w:val="32"/>
          <w:highlight w:val="none"/>
        </w:rPr>
        <w:t>联系电话（</w:t>
      </w:r>
      <w:r>
        <w:rPr>
          <w:rFonts w:ascii="宋体" w:hAnsi="宋体" w:cs="宋体"/>
          <w:b/>
          <w:bCs/>
          <w:color w:val="auto"/>
          <w:sz w:val="32"/>
          <w:highlight w:val="none"/>
        </w:rPr>
        <w:t>固定电话/手机号码</w:t>
      </w:r>
      <w:r>
        <w:rPr>
          <w:rFonts w:hint="eastAsia" w:ascii="宋体" w:hAnsi="宋体" w:cs="宋体"/>
          <w:b/>
          <w:bCs/>
          <w:color w:val="auto"/>
          <w:sz w:val="32"/>
          <w:highlight w:val="none"/>
        </w:rPr>
        <w:t>）：</w:t>
      </w:r>
      <w:r>
        <w:rPr>
          <w:rFonts w:hint="eastAsia" w:ascii="宋体" w:hAnsi="宋体" w:cs="宋体"/>
          <w:b/>
          <w:bCs/>
          <w:color w:val="auto"/>
          <w:sz w:val="32"/>
          <w:highlight w:val="none"/>
          <w:u w:val="single"/>
        </w:rPr>
        <w:t xml:space="preserve">                   </w:t>
      </w:r>
    </w:p>
    <w:p>
      <w:pPr>
        <w:pStyle w:val="52"/>
        <w:ind w:firstLine="0" w:firstLineChars="0"/>
        <w:jc w:val="center"/>
        <w:rPr>
          <w:rFonts w:hint="eastAsia" w:ascii="宋体" w:hAnsi="宋体" w:cs="宋体"/>
          <w:b/>
          <w:snapToGrid/>
          <w:color w:val="auto"/>
          <w:spacing w:val="0"/>
          <w:kern w:val="2"/>
          <w:sz w:val="28"/>
          <w:szCs w:val="28"/>
          <w:highlight w:val="none"/>
        </w:rPr>
        <w:sectPr>
          <w:footerReference r:id="rId8" w:type="default"/>
          <w:pgSz w:w="11906" w:h="16838"/>
          <w:pgMar w:top="737" w:right="1134" w:bottom="737" w:left="1134" w:header="851" w:footer="992" w:gutter="0"/>
          <w:cols w:space="720" w:num="1"/>
          <w:docGrid w:type="lines" w:linePitch="312" w:charSpace="0"/>
        </w:sectPr>
      </w:pPr>
      <w:r>
        <w:rPr>
          <w:rFonts w:hint="eastAsia" w:ascii="宋体" w:hAnsi="宋体" w:cs="宋体"/>
          <w:b/>
          <w:color w:val="auto"/>
          <w:sz w:val="32"/>
          <w:szCs w:val="32"/>
          <w:highlight w:val="none"/>
        </w:rPr>
        <w:t xml:space="preserve">年   月   </w:t>
      </w:r>
    </w:p>
    <w:p>
      <w:pPr>
        <w:widowControl/>
        <w:shd w:val="clear" w:color="auto" w:fill="FFFFFF"/>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附件四</w:t>
      </w:r>
    </w:p>
    <w:p>
      <w:pPr>
        <w:pStyle w:val="52"/>
        <w:ind w:firstLine="0" w:firstLineChars="0"/>
        <w:jc w:val="center"/>
        <w:rPr>
          <w:rFonts w:ascii="宋体" w:hAnsi="宋体" w:cs="宋体"/>
          <w:b/>
          <w:snapToGrid/>
          <w:color w:val="auto"/>
          <w:spacing w:val="0"/>
          <w:kern w:val="2"/>
          <w:sz w:val="28"/>
          <w:szCs w:val="28"/>
          <w:highlight w:val="none"/>
        </w:rPr>
      </w:pPr>
      <w:r>
        <w:rPr>
          <w:rFonts w:hint="eastAsia" w:ascii="宋体" w:hAnsi="宋体" w:cs="宋体"/>
          <w:b/>
          <w:snapToGrid/>
          <w:color w:val="auto"/>
          <w:spacing w:val="0"/>
          <w:kern w:val="2"/>
          <w:sz w:val="28"/>
          <w:szCs w:val="28"/>
          <w:highlight w:val="none"/>
        </w:rPr>
        <w:t>报价表</w:t>
      </w:r>
    </w:p>
    <w:p>
      <w:pPr>
        <w:pStyle w:val="52"/>
        <w:ind w:firstLine="0" w:firstLineChars="0"/>
        <w:jc w:val="left"/>
        <w:rPr>
          <w:rFonts w:hint="eastAsia" w:ascii="宋体" w:hAnsi="宋体" w:cs="宋体"/>
          <w:bCs/>
          <w:snapToGrid/>
          <w:color w:val="auto"/>
          <w:spacing w:val="0"/>
          <w:kern w:val="2"/>
          <w:highlight w:val="none"/>
          <w:u w:val="single"/>
        </w:rPr>
      </w:pPr>
      <w:r>
        <w:rPr>
          <w:rFonts w:hint="eastAsia" w:ascii="宋体" w:hAnsi="宋体" w:cs="宋体"/>
          <w:bCs/>
          <w:color w:val="auto"/>
          <w:highlight w:val="none"/>
        </w:rPr>
        <w:t>项目名称：</w:t>
      </w:r>
      <w:r>
        <w:rPr>
          <w:rFonts w:hint="eastAsia" w:ascii="宋体" w:hAnsi="宋体" w:cs="宋体"/>
          <w:color w:val="auto"/>
          <w:highlight w:val="none"/>
          <w:u w:val="single"/>
        </w:rPr>
        <w:t>荔湾区2023年树木保护和复壮工程监理</w:t>
      </w:r>
    </w:p>
    <w:tbl>
      <w:tblPr>
        <w:tblStyle w:val="2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6"/>
        <w:gridCol w:w="1967"/>
        <w:gridCol w:w="2137"/>
        <w:gridCol w:w="1926"/>
        <w:gridCol w:w="1871"/>
        <w:gridCol w:w="1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328" w:type="pct"/>
            <w:noWrap w:val="0"/>
            <w:vAlign w:val="center"/>
          </w:tcPr>
          <w:p>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998" w:type="pct"/>
            <w:noWrap w:val="0"/>
            <w:vAlign w:val="center"/>
          </w:tcPr>
          <w:p>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内容</w:t>
            </w:r>
          </w:p>
        </w:tc>
        <w:tc>
          <w:tcPr>
            <w:tcW w:w="1084" w:type="pct"/>
            <w:noWrap w:val="0"/>
            <w:vAlign w:val="center"/>
          </w:tcPr>
          <w:p>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最高限价（元）</w:t>
            </w:r>
          </w:p>
        </w:tc>
        <w:tc>
          <w:tcPr>
            <w:tcW w:w="977" w:type="pct"/>
            <w:noWrap w:val="0"/>
            <w:vAlign w:val="center"/>
          </w:tcPr>
          <w:p>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报价（元）</w:t>
            </w:r>
          </w:p>
        </w:tc>
        <w:tc>
          <w:tcPr>
            <w:tcW w:w="949" w:type="pct"/>
            <w:tcBorders>
              <w:bottom w:val="single" w:color="auto" w:sz="4" w:space="0"/>
            </w:tcBorders>
            <w:noWrap w:val="0"/>
            <w:vAlign w:val="center"/>
          </w:tcPr>
          <w:p>
            <w:pPr>
              <w:adjustRightInd w:val="0"/>
              <w:snapToGrid w:val="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报价下浮率（%）</w:t>
            </w:r>
          </w:p>
        </w:tc>
        <w:tc>
          <w:tcPr>
            <w:tcW w:w="661" w:type="pct"/>
            <w:tcBorders>
              <w:bottom w:val="single" w:color="auto" w:sz="4" w:space="0"/>
            </w:tcBorders>
            <w:noWrap w:val="0"/>
            <w:vAlign w:val="center"/>
          </w:tcPr>
          <w:p>
            <w:pPr>
              <w:adjustRightInd w:val="0"/>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4" w:hRule="exact"/>
          <w:jc w:val="center"/>
        </w:trPr>
        <w:tc>
          <w:tcPr>
            <w:tcW w:w="328" w:type="pct"/>
            <w:noWrap w:val="0"/>
            <w:vAlign w:val="center"/>
          </w:tcPr>
          <w:p>
            <w:pPr>
              <w:adjustRightInd w:val="0"/>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一</w:t>
            </w:r>
          </w:p>
        </w:tc>
        <w:tc>
          <w:tcPr>
            <w:tcW w:w="998" w:type="pct"/>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u w:val="single"/>
              </w:rPr>
              <w:t>荔湾区2023年树木保护和复壮工程监理</w:t>
            </w:r>
          </w:p>
        </w:tc>
        <w:tc>
          <w:tcPr>
            <w:tcW w:w="1084" w:type="pct"/>
            <w:noWrap w:val="0"/>
            <w:vAlign w:val="center"/>
          </w:tcPr>
          <w:p>
            <w:pPr>
              <w:adjustRightInd w:val="0"/>
              <w:snapToGrid w:val="0"/>
              <w:jc w:val="center"/>
              <w:rPr>
                <w:rFonts w:ascii="宋体" w:hAnsi="宋体" w:cs="宋体"/>
                <w:color w:val="auto"/>
                <w:sz w:val="24"/>
                <w:szCs w:val="24"/>
                <w:highlight w:val="none"/>
              </w:rPr>
            </w:pPr>
            <w:r>
              <w:rPr>
                <w:rFonts w:ascii="宋体" w:hAnsi="宋体" w:cs="宋体"/>
                <w:color w:val="auto"/>
                <w:sz w:val="24"/>
                <w:szCs w:val="24"/>
                <w:highlight w:val="none"/>
              </w:rPr>
              <w:t>89100.00</w:t>
            </w:r>
          </w:p>
        </w:tc>
        <w:tc>
          <w:tcPr>
            <w:tcW w:w="977" w:type="pct"/>
            <w:tcBorders>
              <w:right w:val="single" w:color="auto" w:sz="4" w:space="0"/>
            </w:tcBorders>
            <w:noWrap w:val="0"/>
            <w:vAlign w:val="center"/>
          </w:tcPr>
          <w:p>
            <w:pPr>
              <w:adjustRightInd w:val="0"/>
              <w:snapToGrid w:val="0"/>
              <w:jc w:val="center"/>
              <w:rPr>
                <w:rFonts w:ascii="宋体" w:hAnsi="宋体" w:cs="宋体"/>
                <w:color w:val="auto"/>
                <w:sz w:val="24"/>
                <w:szCs w:val="24"/>
                <w:highlight w:val="none"/>
              </w:rPr>
            </w:pPr>
          </w:p>
        </w:tc>
        <w:tc>
          <w:tcPr>
            <w:tcW w:w="94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color w:val="auto"/>
                <w:sz w:val="24"/>
                <w:szCs w:val="24"/>
                <w:highlight w:val="none"/>
              </w:rPr>
            </w:pPr>
          </w:p>
        </w:tc>
        <w:tc>
          <w:tcPr>
            <w:tcW w:w="6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宋体" w:hAnsi="宋体" w:cs="宋体"/>
                <w:color w:val="auto"/>
                <w:sz w:val="24"/>
                <w:szCs w:val="24"/>
                <w:highlight w:val="none"/>
              </w:rPr>
            </w:pPr>
          </w:p>
        </w:tc>
      </w:tr>
    </w:tbl>
    <w:p>
      <w:pPr>
        <w:pStyle w:val="49"/>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注：1.保留小数点后二位，第三位四舍五入。若用小写表示的金额和用大写表示的金额不一致，以大写表示的金额为准。若报价金额与报价下浮率不一致时，以报价金额为准，并修正报价下浮率。</w:t>
      </w:r>
    </w:p>
    <w:p>
      <w:pPr>
        <w:pStyle w:val="49"/>
        <w:ind w:firstLine="1050" w:firstLineChars="500"/>
        <w:rPr>
          <w:rFonts w:hint="eastAsia" w:ascii="宋体" w:hAnsi="宋体" w:cs="宋体"/>
          <w:color w:val="auto"/>
          <w:szCs w:val="21"/>
          <w:highlight w:val="none"/>
        </w:rPr>
      </w:pPr>
      <w:r>
        <w:rPr>
          <w:rFonts w:hint="eastAsia" w:ascii="宋体" w:hAnsi="宋体" w:cs="宋体"/>
          <w:color w:val="auto"/>
          <w:szCs w:val="21"/>
          <w:highlight w:val="none"/>
        </w:rPr>
        <w:t>2.报价下浮率=（1-报价/最高限价）*100%。</w:t>
      </w:r>
    </w:p>
    <w:p>
      <w:pPr>
        <w:pStyle w:val="49"/>
        <w:spacing w:line="360" w:lineRule="auto"/>
        <w:rPr>
          <w:rFonts w:ascii="宋体" w:hAnsi="宋体" w:cs="宋体"/>
          <w:color w:val="auto"/>
          <w:sz w:val="24"/>
          <w:szCs w:val="24"/>
          <w:highlight w:val="none"/>
        </w:rPr>
      </w:pPr>
    </w:p>
    <w:p>
      <w:pPr>
        <w:pStyle w:val="49"/>
        <w:spacing w:line="360" w:lineRule="auto"/>
        <w:rPr>
          <w:rFonts w:ascii="宋体" w:hAnsi="宋体" w:cs="宋体"/>
          <w:color w:val="auto"/>
          <w:sz w:val="24"/>
          <w:szCs w:val="24"/>
          <w:highlight w:val="none"/>
        </w:rPr>
      </w:pPr>
    </w:p>
    <w:p>
      <w:pPr>
        <w:pStyle w:val="49"/>
        <w:spacing w:line="360" w:lineRule="auto"/>
        <w:rPr>
          <w:rFonts w:ascii="宋体" w:hAnsi="宋体" w:cs="宋体"/>
          <w:color w:val="auto"/>
          <w:sz w:val="24"/>
          <w:szCs w:val="24"/>
          <w:highlight w:val="none"/>
        </w:rPr>
      </w:pPr>
    </w:p>
    <w:p>
      <w:pPr>
        <w:tabs>
          <w:tab w:val="left" w:pos="13320"/>
        </w:tabs>
        <w:snapToGrid w:val="0"/>
        <w:spacing w:line="360" w:lineRule="auto"/>
        <w:ind w:left="718" w:leftChars="342" w:right="-52" w:firstLine="2872" w:firstLineChars="1197"/>
        <w:rPr>
          <w:rFonts w:hint="eastAsia" w:ascii="宋体" w:hAnsi="宋体" w:cs="宋体"/>
          <w:color w:val="auto"/>
          <w:sz w:val="24"/>
          <w:szCs w:val="24"/>
          <w:highlight w:val="none"/>
        </w:rPr>
      </w:pPr>
    </w:p>
    <w:p>
      <w:pPr>
        <w:tabs>
          <w:tab w:val="left" w:pos="13320"/>
        </w:tabs>
        <w:snapToGrid w:val="0"/>
        <w:spacing w:line="360" w:lineRule="auto"/>
        <w:ind w:left="718" w:leftChars="342" w:right="-52" w:firstLine="2872" w:firstLineChars="1197"/>
        <w:rPr>
          <w:rFonts w:ascii="宋体" w:hAnsi="宋体" w:cs="宋体"/>
          <w:color w:val="auto"/>
          <w:sz w:val="24"/>
          <w:szCs w:val="24"/>
          <w:highlight w:val="none"/>
          <w:u w:val="single"/>
        </w:rPr>
      </w:pPr>
      <w:r>
        <w:rPr>
          <w:rFonts w:hint="eastAsia" w:ascii="宋体" w:hAnsi="宋体" w:cs="宋体"/>
          <w:color w:val="auto"/>
          <w:sz w:val="24"/>
          <w:szCs w:val="24"/>
          <w:highlight w:val="none"/>
        </w:rPr>
        <w:t>报价人（法人公章）：</w:t>
      </w:r>
      <w:r>
        <w:rPr>
          <w:rFonts w:hint="eastAsia" w:ascii="宋体" w:hAnsi="宋体" w:cs="宋体"/>
          <w:color w:val="auto"/>
          <w:sz w:val="24"/>
          <w:szCs w:val="24"/>
          <w:highlight w:val="none"/>
          <w:u w:val="single"/>
        </w:rPr>
        <w:t xml:space="preserve">                        </w:t>
      </w:r>
    </w:p>
    <w:p>
      <w:pPr>
        <w:tabs>
          <w:tab w:val="left" w:pos="13320"/>
        </w:tabs>
        <w:snapToGrid w:val="0"/>
        <w:spacing w:line="360" w:lineRule="auto"/>
        <w:ind w:left="718" w:leftChars="342" w:right="-52" w:firstLine="2872" w:firstLineChars="1197"/>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p>
    <w:p>
      <w:pPr>
        <w:pStyle w:val="13"/>
        <w:adjustRightInd w:val="0"/>
        <w:snapToGrid w:val="0"/>
        <w:spacing w:line="360" w:lineRule="auto"/>
        <w:jc w:val="center"/>
        <w:rPr>
          <w:rFonts w:hAnsi="宋体" w:eastAsia="宋体" w:cs="宋体"/>
          <w:color w:val="auto"/>
          <w:sz w:val="24"/>
          <w:szCs w:val="24"/>
          <w:highlight w:val="none"/>
        </w:rPr>
        <w:sectPr>
          <w:pgSz w:w="11906" w:h="16838"/>
          <w:pgMar w:top="737" w:right="1134" w:bottom="737" w:left="1134" w:header="851" w:footer="992" w:gutter="0"/>
          <w:cols w:space="720" w:num="1"/>
          <w:docGrid w:type="lines" w:linePitch="312" w:charSpace="0"/>
        </w:sectPr>
      </w:pPr>
      <w:r>
        <w:rPr>
          <w:rFonts w:hint="eastAsia" w:hAnsi="宋体" w:eastAsia="宋体" w:cs="宋体"/>
          <w:color w:val="auto"/>
          <w:sz w:val="24"/>
          <w:szCs w:val="24"/>
          <w:highlight w:val="none"/>
        </w:rPr>
        <w:t xml:space="preserve">         日期：_____年______月______日</w:t>
      </w:r>
    </w:p>
    <w:p>
      <w:pPr>
        <w:widowControl/>
        <w:shd w:val="clear" w:color="auto" w:fill="FFFFFF"/>
        <w:spacing w:before="150" w:after="1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附件五</w:t>
      </w:r>
    </w:p>
    <w:p>
      <w:pPr>
        <w:pStyle w:val="13"/>
        <w:adjustRightInd w:val="0"/>
        <w:snapToGrid w:val="0"/>
        <w:spacing w:line="360" w:lineRule="auto"/>
        <w:jc w:val="center"/>
        <w:rPr>
          <w:rFonts w:hint="eastAsia" w:hAnsi="宋体" w:eastAsia="宋体" w:cs="宋体"/>
          <w:b/>
          <w:bCs/>
          <w:color w:val="auto"/>
          <w:sz w:val="24"/>
          <w:szCs w:val="24"/>
          <w:highlight w:val="none"/>
        </w:rPr>
      </w:pPr>
    </w:p>
    <w:p>
      <w:pPr>
        <w:pStyle w:val="50"/>
        <w:spacing w:line="360" w:lineRule="auto"/>
        <w:jc w:val="center"/>
        <w:rPr>
          <w:rFonts w:hint="eastAsia" w:hAnsi="宋体" w:eastAsia="宋体" w:cs="宋体"/>
          <w:b/>
          <w:bCs/>
          <w:color w:val="auto"/>
          <w:sz w:val="28"/>
          <w:szCs w:val="28"/>
          <w:highlight w:val="none"/>
        </w:rPr>
      </w:pPr>
      <w:bookmarkStart w:id="6" w:name="_Toc99380420"/>
      <w:r>
        <w:rPr>
          <w:rFonts w:hint="eastAsia" w:hAnsi="宋体" w:eastAsia="宋体" w:cs="宋体"/>
          <w:b/>
          <w:bCs/>
          <w:color w:val="auto"/>
          <w:sz w:val="28"/>
          <w:szCs w:val="28"/>
          <w:highlight w:val="none"/>
        </w:rPr>
        <w:t>5.1 法定代表人证明书</w:t>
      </w:r>
      <w:bookmarkEnd w:id="6"/>
    </w:p>
    <w:p>
      <w:pPr>
        <w:spacing w:line="360" w:lineRule="auto"/>
        <w:rPr>
          <w:rFonts w:ascii="宋体" w:hAnsi="宋体" w:cs="宋体"/>
          <w:b/>
          <w:color w:val="auto"/>
          <w:sz w:val="24"/>
          <w:szCs w:val="24"/>
          <w:highlight w:val="none"/>
        </w:rPr>
      </w:pP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单位名称：</w:t>
      </w:r>
      <w:r>
        <w:rPr>
          <w:rFonts w:hint="eastAsia" w:ascii="宋体" w:hAnsi="宋体" w:cs="宋体"/>
          <w:color w:val="auto"/>
          <w:sz w:val="24"/>
          <w:szCs w:val="24"/>
          <w:highlight w:val="none"/>
          <w:u w:val="single"/>
        </w:rPr>
        <w:t xml:space="preserve">                    </w:t>
      </w: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（单位名称）          </w:t>
      </w:r>
      <w:r>
        <w:rPr>
          <w:rFonts w:hint="eastAsia" w:ascii="宋体" w:hAnsi="宋体" w:cs="宋体"/>
          <w:color w:val="auto"/>
          <w:sz w:val="24"/>
          <w:szCs w:val="24"/>
          <w:highlight w:val="none"/>
        </w:rPr>
        <w:t>的法定代表人。</w:t>
      </w:r>
    </w:p>
    <w:p>
      <w:pPr>
        <w:spacing w:line="360" w:lineRule="auto"/>
        <w:rPr>
          <w:rFonts w:hint="eastAsia" w:ascii="宋体" w:hAnsi="宋体" w:cs="宋体"/>
          <w:color w:val="auto"/>
          <w:sz w:val="24"/>
          <w:szCs w:val="24"/>
          <w:highlight w:val="none"/>
        </w:rPr>
      </w:pPr>
    </w:p>
    <w:p>
      <w:pPr>
        <w:pStyle w:val="49"/>
        <w:spacing w:line="360" w:lineRule="auto"/>
        <w:rPr>
          <w:rFonts w:hint="eastAsia" w:ascii="宋体" w:hAnsi="宋体" w:cs="宋体"/>
          <w:color w:val="auto"/>
          <w:sz w:val="24"/>
          <w:szCs w:val="24"/>
          <w:highlight w:val="none"/>
        </w:rPr>
      </w:pPr>
    </w:p>
    <w:p>
      <w:pPr>
        <w:pStyle w:val="49"/>
        <w:spacing w:line="360" w:lineRule="auto"/>
        <w:rPr>
          <w:rFonts w:hint="eastAsia" w:ascii="宋体" w:hAnsi="宋体" w:cs="宋体"/>
          <w:color w:val="auto"/>
          <w:sz w:val="24"/>
          <w:szCs w:val="24"/>
          <w:highlight w:val="none"/>
        </w:rPr>
      </w:pPr>
    </w:p>
    <w:p>
      <w:pPr>
        <w:spacing w:line="360" w:lineRule="auto"/>
        <w:ind w:left="4200" w:leftChars="2000"/>
        <w:rPr>
          <w:rFonts w:ascii="宋体" w:hAnsi="宋体" w:cs="宋体"/>
          <w:color w:val="auto"/>
          <w:sz w:val="24"/>
          <w:szCs w:val="24"/>
          <w:highlight w:val="none"/>
        </w:rPr>
      </w:pPr>
      <w:r>
        <w:rPr>
          <w:rFonts w:hint="eastAsia" w:ascii="宋体" w:hAnsi="宋体" w:cs="宋体"/>
          <w:color w:val="auto"/>
          <w:sz w:val="24"/>
          <w:szCs w:val="24"/>
          <w:highlight w:val="none"/>
        </w:rPr>
        <w:t>报价人：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rPr>
        <w:t>法人公章</w:t>
      </w:r>
      <w:r>
        <w:rPr>
          <w:rFonts w:hint="eastAsia" w:ascii="宋体" w:hAnsi="宋体" w:cs="宋体"/>
          <w:color w:val="auto"/>
          <w:sz w:val="24"/>
          <w:szCs w:val="24"/>
          <w:highlight w:val="none"/>
        </w:rPr>
        <w:t>）</w:t>
      </w:r>
    </w:p>
    <w:p>
      <w:pPr>
        <w:spacing w:line="360" w:lineRule="auto"/>
        <w:ind w:left="4200" w:leftChars="2000"/>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440" w:lineRule="exact"/>
        <w:rPr>
          <w:rFonts w:ascii="宋体" w:hAnsi="宋体" w:cs="宋体"/>
          <w:color w:val="auto"/>
          <w:sz w:val="24"/>
          <w:szCs w:val="24"/>
          <w:highlight w:val="none"/>
        </w:rPr>
      </w:pPr>
    </w:p>
    <w:p>
      <w:pPr>
        <w:snapToGrid w:val="0"/>
        <w:spacing w:line="360" w:lineRule="auto"/>
        <w:ind w:firstLine="576"/>
        <w:jc w:val="right"/>
        <w:rPr>
          <w:rFonts w:ascii="宋体" w:hAnsi="宋体" w:cs="宋体"/>
          <w:b/>
          <w:color w:val="auto"/>
          <w:sz w:val="24"/>
          <w:szCs w:val="24"/>
          <w:highlight w:val="none"/>
        </w:rPr>
      </w:pPr>
    </w:p>
    <w:p>
      <w:pPr>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附法定代表人身份证复印件：</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trPr>
        <w:tc>
          <w:tcPr>
            <w:tcW w:w="4707" w:type="dxa"/>
            <w:noWrap w:val="0"/>
            <w:vAlign w:val="top"/>
          </w:tcPr>
          <w:p>
            <w:pPr>
              <w:spacing w:line="360" w:lineRule="auto"/>
              <w:rPr>
                <w:rFonts w:hint="eastAsia" w:ascii="宋体" w:hAnsi="宋体" w:cs="宋体"/>
                <w:color w:val="auto"/>
                <w:sz w:val="24"/>
                <w:szCs w:val="24"/>
                <w:highlight w:val="none"/>
              </w:rPr>
            </w:pPr>
          </w:p>
        </w:tc>
        <w:tc>
          <w:tcPr>
            <w:tcW w:w="4341" w:type="dxa"/>
            <w:noWrap w:val="0"/>
            <w:vAlign w:val="top"/>
          </w:tcPr>
          <w:p>
            <w:pPr>
              <w:spacing w:line="360" w:lineRule="auto"/>
              <w:rPr>
                <w:rFonts w:hint="eastAsia" w:ascii="宋体" w:hAnsi="宋体" w:cs="宋体"/>
                <w:color w:val="auto"/>
                <w:sz w:val="24"/>
                <w:szCs w:val="24"/>
                <w:highlight w:val="none"/>
              </w:rPr>
            </w:pPr>
          </w:p>
        </w:tc>
      </w:tr>
    </w:tbl>
    <w:p>
      <w:pPr>
        <w:spacing w:line="360" w:lineRule="auto"/>
        <w:jc w:val="center"/>
        <w:rPr>
          <w:rFonts w:hint="eastAsia" w:ascii="宋体" w:hAnsi="宋体" w:cs="宋体"/>
          <w:b/>
          <w:bCs/>
          <w:color w:val="auto"/>
          <w:sz w:val="28"/>
          <w:szCs w:val="28"/>
          <w:highlight w:val="none"/>
        </w:rPr>
      </w:pPr>
      <w:r>
        <w:rPr>
          <w:rFonts w:hint="eastAsia" w:ascii="宋体" w:hAnsi="宋体" w:cs="宋体"/>
          <w:color w:val="auto"/>
          <w:sz w:val="24"/>
          <w:szCs w:val="24"/>
          <w:highlight w:val="none"/>
        </w:rPr>
        <w:br w:type="page"/>
      </w:r>
      <w:bookmarkStart w:id="7" w:name="_Toc99380421"/>
      <w:r>
        <w:rPr>
          <w:rFonts w:hint="eastAsia" w:ascii="宋体" w:hAnsi="宋体" w:cs="宋体"/>
          <w:b/>
          <w:bCs/>
          <w:color w:val="auto"/>
          <w:sz w:val="28"/>
          <w:szCs w:val="28"/>
          <w:highlight w:val="none"/>
        </w:rPr>
        <w:t>5.2 法人授权委托书</w:t>
      </w:r>
      <w:bookmarkEnd w:id="7"/>
    </w:p>
    <w:p>
      <w:pPr>
        <w:topLinePunct/>
        <w:spacing w:line="360" w:lineRule="auto"/>
        <w:ind w:firstLine="480" w:firstLineChars="200"/>
        <w:rPr>
          <w:rFonts w:hint="eastAsia" w:ascii="宋体" w:hAnsi="宋体" w:cs="宋体"/>
          <w:color w:val="auto"/>
          <w:sz w:val="24"/>
          <w:szCs w:val="24"/>
          <w:highlight w:val="none"/>
        </w:rPr>
      </w:pP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（单位名称）          </w:t>
      </w:r>
      <w:r>
        <w:rPr>
          <w:rFonts w:hint="eastAsia" w:ascii="宋体" w:hAnsi="宋体" w:cs="宋体"/>
          <w:color w:val="auto"/>
          <w:sz w:val="24"/>
          <w:szCs w:val="24"/>
          <w:highlight w:val="none"/>
        </w:rPr>
        <w:t>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（姓名）为我方代理人。代理人根据授权，以我方名义签署、澄清、说明、补正、递交、撤回、修改荔湾区2023年树木保护和复壮工程监理报价文件等有关事宜，其法律后果由我方承担。</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附：代理人身份证明</w:t>
      </w:r>
    </w:p>
    <w:p>
      <w:pPr>
        <w:spacing w:line="360" w:lineRule="auto"/>
        <w:ind w:firstLine="3840" w:firstLineChars="1600"/>
        <w:rPr>
          <w:rFonts w:hint="eastAsia" w:ascii="宋体" w:hAnsi="宋体" w:cs="宋体"/>
          <w:color w:val="auto"/>
          <w:sz w:val="24"/>
          <w:szCs w:val="24"/>
          <w:highlight w:val="none"/>
        </w:rPr>
      </w:pPr>
    </w:p>
    <w:p>
      <w:pPr>
        <w:spacing w:line="360" w:lineRule="auto"/>
        <w:ind w:firstLine="3840" w:firstLineChars="1600"/>
        <w:rPr>
          <w:rFonts w:ascii="宋体" w:hAnsi="宋体" w:cs="宋体"/>
          <w:color w:val="auto"/>
          <w:sz w:val="24"/>
          <w:szCs w:val="24"/>
          <w:highlight w:val="none"/>
        </w:rPr>
      </w:pPr>
      <w:r>
        <w:rPr>
          <w:rFonts w:hint="eastAsia" w:ascii="宋体" w:hAnsi="宋体" w:cs="宋体"/>
          <w:color w:val="auto"/>
          <w:sz w:val="24"/>
          <w:szCs w:val="24"/>
          <w:highlight w:val="none"/>
        </w:rPr>
        <w:t>报价人：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rPr>
        <w:t>法人公章</w:t>
      </w:r>
      <w:r>
        <w:rPr>
          <w:rFonts w:hint="eastAsia" w:ascii="宋体" w:hAnsi="宋体" w:cs="宋体"/>
          <w:color w:val="auto"/>
          <w:sz w:val="24"/>
          <w:szCs w:val="24"/>
          <w:highlight w:val="none"/>
        </w:rPr>
        <w:t>）</w:t>
      </w:r>
    </w:p>
    <w:p>
      <w:pPr>
        <w:spacing w:line="360" w:lineRule="auto"/>
        <w:ind w:firstLine="3840" w:firstLineChars="1600"/>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pPr>
        <w:spacing w:line="360" w:lineRule="auto"/>
        <w:ind w:firstLine="3840" w:firstLineChars="1600"/>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（签字） </w:t>
      </w:r>
    </w:p>
    <w:p>
      <w:pPr>
        <w:spacing w:line="360" w:lineRule="auto"/>
        <w:ind w:left="3420"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firstLine="3840" w:firstLineChars="16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p>
    <w:p>
      <w:pPr>
        <w:spacing w:after="156" w:afterLines="50" w:line="360" w:lineRule="auto"/>
        <w:rPr>
          <w:rFonts w:ascii="宋体" w:hAnsi="宋体" w:cs="宋体"/>
          <w:color w:val="auto"/>
          <w:sz w:val="24"/>
          <w:szCs w:val="24"/>
          <w:highlight w:val="none"/>
        </w:rPr>
      </w:pP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附委托代理人身份证复印件：</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4707" w:type="dxa"/>
            <w:noWrap w:val="0"/>
            <w:vAlign w:val="top"/>
          </w:tcPr>
          <w:p>
            <w:pPr>
              <w:rPr>
                <w:rFonts w:ascii="宋体" w:hAnsi="宋体" w:cs="宋体"/>
                <w:color w:val="auto"/>
                <w:szCs w:val="21"/>
                <w:highlight w:val="none"/>
              </w:rPr>
            </w:pPr>
          </w:p>
        </w:tc>
        <w:tc>
          <w:tcPr>
            <w:tcW w:w="4349" w:type="dxa"/>
            <w:noWrap w:val="0"/>
            <w:vAlign w:val="top"/>
          </w:tcPr>
          <w:p>
            <w:pPr>
              <w:rPr>
                <w:rFonts w:ascii="宋体" w:hAnsi="宋体" w:cs="宋体"/>
                <w:color w:val="auto"/>
                <w:szCs w:val="21"/>
                <w:highlight w:val="none"/>
              </w:rPr>
            </w:pPr>
          </w:p>
        </w:tc>
      </w:tr>
    </w:tbl>
    <w:p>
      <w:pPr>
        <w:pStyle w:val="13"/>
        <w:adjustRightInd w:val="0"/>
        <w:snapToGrid w:val="0"/>
        <w:spacing w:line="360" w:lineRule="auto"/>
        <w:jc w:val="center"/>
        <w:rPr>
          <w:rFonts w:hint="eastAsia" w:hAnsi="宋体" w:eastAsia="宋体" w:cs="宋体"/>
          <w:b/>
          <w:bCs/>
          <w:color w:val="auto"/>
          <w:sz w:val="24"/>
          <w:szCs w:val="24"/>
          <w:highlight w:val="none"/>
        </w:rPr>
        <w:sectPr>
          <w:headerReference r:id="rId9" w:type="default"/>
          <w:footerReference r:id="rId10" w:type="default"/>
          <w:footerReference r:id="rId11" w:type="even"/>
          <w:pgSz w:w="11907" w:h="16840"/>
          <w:pgMar w:top="1440" w:right="1106" w:bottom="1440" w:left="1797" w:header="851" w:footer="992" w:gutter="0"/>
          <w:cols w:space="720" w:num="1"/>
          <w:docGrid w:type="lines" w:linePitch="312" w:charSpace="0"/>
        </w:sectPr>
      </w:pPr>
    </w:p>
    <w:p>
      <w:pPr>
        <w:widowControl/>
        <w:shd w:val="clear" w:color="auto" w:fill="FFFFFF"/>
        <w:spacing w:line="360" w:lineRule="auto"/>
        <w:jc w:val="left"/>
        <w:outlineLvl w:val="0"/>
        <w:rPr>
          <w:rFonts w:hint="eastAsia" w:ascii="宋体" w:hAnsi="宋体" w:cs="宋体"/>
          <w:color w:val="auto"/>
          <w:sz w:val="24"/>
          <w:szCs w:val="24"/>
          <w:highlight w:val="none"/>
        </w:rPr>
      </w:pPr>
      <w:bookmarkStart w:id="8" w:name="_Toc5687"/>
      <w:bookmarkStart w:id="9" w:name="_Toc26166"/>
      <w:r>
        <w:rPr>
          <w:rFonts w:hint="eastAsia" w:ascii="宋体" w:hAnsi="宋体" w:cs="宋体"/>
          <w:color w:val="auto"/>
          <w:sz w:val="24"/>
          <w:szCs w:val="24"/>
          <w:highlight w:val="none"/>
        </w:rPr>
        <w:t>附件六</w:t>
      </w:r>
      <w:bookmarkEnd w:id="8"/>
      <w:bookmarkEnd w:id="9"/>
    </w:p>
    <w:p>
      <w:pPr>
        <w:pStyle w:val="13"/>
        <w:adjustRightInd w:val="0"/>
        <w:snapToGrid w:val="0"/>
        <w:spacing w:line="360" w:lineRule="auto"/>
        <w:jc w:val="center"/>
        <w:rPr>
          <w:rFonts w:hAnsi="宋体" w:eastAsia="宋体" w:cs="宋体"/>
          <w:b/>
          <w:color w:val="auto"/>
          <w:sz w:val="28"/>
          <w:szCs w:val="28"/>
          <w:highlight w:val="none"/>
        </w:rPr>
      </w:pPr>
      <w:r>
        <w:rPr>
          <w:rFonts w:hint="eastAsia" w:hAnsi="宋体" w:eastAsia="宋体" w:cs="宋体"/>
          <w:b/>
          <w:bCs/>
          <w:color w:val="auto"/>
          <w:sz w:val="28"/>
          <w:szCs w:val="28"/>
          <w:highlight w:val="none"/>
        </w:rPr>
        <w:t>业绩</w:t>
      </w:r>
      <w:r>
        <w:rPr>
          <w:rFonts w:hint="eastAsia" w:hAnsi="宋体" w:eastAsia="宋体" w:cs="宋体"/>
          <w:b/>
          <w:color w:val="auto"/>
          <w:sz w:val="28"/>
          <w:szCs w:val="28"/>
          <w:highlight w:val="none"/>
        </w:rPr>
        <w:t>情况汇总表</w:t>
      </w:r>
    </w:p>
    <w:p>
      <w:pPr>
        <w:pStyle w:val="13"/>
        <w:adjustRightInd w:val="0"/>
        <w:snapToGrid w:val="0"/>
        <w:spacing w:line="360" w:lineRule="auto"/>
        <w:jc w:val="center"/>
        <w:rPr>
          <w:rFonts w:hAnsi="宋体" w:eastAsia="宋体" w:cs="宋体"/>
          <w:b/>
          <w:color w:val="auto"/>
          <w:sz w:val="28"/>
          <w:szCs w:val="28"/>
          <w:highlight w:val="none"/>
        </w:rPr>
      </w:pPr>
      <w:r>
        <w:rPr>
          <w:rFonts w:hint="eastAsia" w:hAnsi="宋体" w:eastAsia="宋体" w:cs="宋体"/>
          <w:b/>
          <w:color w:val="auto"/>
          <w:sz w:val="28"/>
          <w:szCs w:val="28"/>
          <w:highlight w:val="none"/>
        </w:rPr>
        <w:t>（20  年1月1日至今）</w:t>
      </w:r>
    </w:p>
    <w:p>
      <w:pPr>
        <w:pStyle w:val="13"/>
        <w:adjustRightInd w:val="0"/>
        <w:snapToGrid w:val="0"/>
        <w:spacing w:line="360" w:lineRule="auto"/>
        <w:jc w:val="left"/>
        <w:rPr>
          <w:rFonts w:hint="eastAsia" w:hAnsi="宋体" w:eastAsia="宋体" w:cs="宋体"/>
          <w:b/>
          <w:color w:val="auto"/>
          <w:sz w:val="24"/>
          <w:szCs w:val="24"/>
          <w:highlight w:val="none"/>
        </w:rPr>
      </w:pPr>
      <w:r>
        <w:rPr>
          <w:rFonts w:hint="eastAsia" w:hAnsi="宋体" w:eastAsia="宋体" w:cs="宋体"/>
          <w:bCs/>
          <w:color w:val="auto"/>
          <w:sz w:val="24"/>
          <w:szCs w:val="24"/>
          <w:highlight w:val="none"/>
        </w:rPr>
        <w:t>项目名称：</w:t>
      </w:r>
      <w:r>
        <w:rPr>
          <w:rFonts w:hint="eastAsia" w:hAnsi="宋体" w:eastAsia="宋体" w:cs="宋体"/>
          <w:color w:val="auto"/>
          <w:sz w:val="24"/>
          <w:szCs w:val="24"/>
          <w:highlight w:val="none"/>
          <w:u w:val="single"/>
        </w:rPr>
        <w:t>荔湾区2023年树木保护和复壮工程监理</w:t>
      </w:r>
    </w:p>
    <w:tbl>
      <w:tblPr>
        <w:tblStyle w:val="27"/>
        <w:tblpPr w:leftFromText="180" w:rightFromText="180" w:vertAnchor="text" w:horzAnchor="page" w:tblpX="1691"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04"/>
        <w:gridCol w:w="1247"/>
        <w:gridCol w:w="1559"/>
        <w:gridCol w:w="2268"/>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0" w:type="dxa"/>
            <w:noWrap w:val="0"/>
            <w:vAlign w:val="center"/>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304" w:type="dxa"/>
            <w:noWrap w:val="0"/>
            <w:vAlign w:val="center"/>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项目名称</w:t>
            </w:r>
          </w:p>
        </w:tc>
        <w:tc>
          <w:tcPr>
            <w:tcW w:w="1247" w:type="dxa"/>
            <w:noWrap w:val="0"/>
            <w:vAlign w:val="center"/>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项目业主</w:t>
            </w:r>
          </w:p>
        </w:tc>
        <w:tc>
          <w:tcPr>
            <w:tcW w:w="1559" w:type="dxa"/>
            <w:noWrap w:val="0"/>
            <w:vAlign w:val="center"/>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合同价</w:t>
            </w:r>
          </w:p>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（万元）</w:t>
            </w:r>
          </w:p>
        </w:tc>
        <w:tc>
          <w:tcPr>
            <w:tcW w:w="2268" w:type="dxa"/>
            <w:noWrap w:val="0"/>
            <w:vAlign w:val="center"/>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项目类型</w:t>
            </w:r>
          </w:p>
        </w:tc>
        <w:tc>
          <w:tcPr>
            <w:tcW w:w="1897" w:type="dxa"/>
            <w:noWrap w:val="0"/>
            <w:vAlign w:val="center"/>
          </w:tcPr>
          <w:p>
            <w:pPr>
              <w:jc w:val="center"/>
              <w:rPr>
                <w:rFonts w:ascii="宋体" w:hAnsi="宋体" w:cs="宋体"/>
                <w:b/>
                <w:bCs/>
                <w:color w:val="auto"/>
                <w:sz w:val="24"/>
                <w:szCs w:val="24"/>
                <w:highlight w:val="none"/>
              </w:rPr>
            </w:pPr>
            <w:r>
              <w:rPr>
                <w:rFonts w:hint="eastAsia" w:ascii="宋体" w:hAnsi="宋体" w:cs="宋体"/>
                <w:b/>
                <w:color w:val="auto"/>
                <w:sz w:val="24"/>
                <w:szCs w:val="24"/>
                <w:highlight w:val="none"/>
              </w:rPr>
              <w:t>建设单位联系人及电话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0" w:type="dxa"/>
            <w:noWrap w:val="0"/>
            <w:vAlign w:val="center"/>
          </w:tcPr>
          <w:p>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304" w:type="dxa"/>
            <w:noWrap w:val="0"/>
            <w:vAlign w:val="center"/>
          </w:tcPr>
          <w:p>
            <w:pPr>
              <w:spacing w:line="360" w:lineRule="auto"/>
              <w:jc w:val="center"/>
              <w:rPr>
                <w:rFonts w:ascii="宋体" w:hAnsi="宋体" w:cs="宋体"/>
                <w:bCs/>
                <w:color w:val="auto"/>
                <w:sz w:val="24"/>
                <w:szCs w:val="24"/>
                <w:highlight w:val="none"/>
              </w:rPr>
            </w:pPr>
          </w:p>
        </w:tc>
        <w:tc>
          <w:tcPr>
            <w:tcW w:w="1247" w:type="dxa"/>
            <w:noWrap w:val="0"/>
            <w:vAlign w:val="center"/>
          </w:tcPr>
          <w:p>
            <w:pPr>
              <w:spacing w:line="360" w:lineRule="auto"/>
              <w:jc w:val="center"/>
              <w:rPr>
                <w:rFonts w:ascii="宋体" w:hAnsi="宋体" w:cs="宋体"/>
                <w:bCs/>
                <w:color w:val="auto"/>
                <w:sz w:val="24"/>
                <w:szCs w:val="24"/>
                <w:highlight w:val="none"/>
              </w:rPr>
            </w:pPr>
          </w:p>
        </w:tc>
        <w:tc>
          <w:tcPr>
            <w:tcW w:w="1559" w:type="dxa"/>
            <w:noWrap w:val="0"/>
            <w:vAlign w:val="center"/>
          </w:tcPr>
          <w:p>
            <w:pPr>
              <w:spacing w:line="360" w:lineRule="auto"/>
              <w:jc w:val="center"/>
              <w:rPr>
                <w:rFonts w:ascii="宋体" w:hAnsi="宋体" w:cs="宋体"/>
                <w:bCs/>
                <w:color w:val="auto"/>
                <w:sz w:val="24"/>
                <w:szCs w:val="24"/>
                <w:highlight w:val="none"/>
              </w:rPr>
            </w:pPr>
          </w:p>
        </w:tc>
        <w:tc>
          <w:tcPr>
            <w:tcW w:w="2268" w:type="dxa"/>
            <w:noWrap w:val="0"/>
            <w:vAlign w:val="center"/>
          </w:tcPr>
          <w:p>
            <w:pPr>
              <w:spacing w:line="360" w:lineRule="auto"/>
              <w:jc w:val="center"/>
              <w:rPr>
                <w:rFonts w:ascii="宋体" w:hAnsi="宋体" w:cs="宋体"/>
                <w:bCs/>
                <w:color w:val="auto"/>
                <w:sz w:val="24"/>
                <w:szCs w:val="24"/>
                <w:highlight w:val="none"/>
              </w:rPr>
            </w:pPr>
          </w:p>
        </w:tc>
        <w:tc>
          <w:tcPr>
            <w:tcW w:w="1897" w:type="dxa"/>
            <w:noWrap w:val="0"/>
            <w:vAlign w:val="center"/>
          </w:tcPr>
          <w:p>
            <w:pPr>
              <w:spacing w:line="360" w:lineRule="auto"/>
              <w:jc w:val="center"/>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0" w:type="dxa"/>
            <w:noWrap w:val="0"/>
            <w:vAlign w:val="center"/>
          </w:tcPr>
          <w:p>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304" w:type="dxa"/>
            <w:noWrap w:val="0"/>
            <w:vAlign w:val="center"/>
          </w:tcPr>
          <w:p>
            <w:pPr>
              <w:spacing w:line="360" w:lineRule="auto"/>
              <w:jc w:val="center"/>
              <w:rPr>
                <w:rFonts w:ascii="宋体" w:hAnsi="宋体" w:cs="宋体"/>
                <w:bCs/>
                <w:color w:val="auto"/>
                <w:sz w:val="24"/>
                <w:szCs w:val="24"/>
                <w:highlight w:val="none"/>
              </w:rPr>
            </w:pPr>
          </w:p>
        </w:tc>
        <w:tc>
          <w:tcPr>
            <w:tcW w:w="1247" w:type="dxa"/>
            <w:noWrap w:val="0"/>
            <w:vAlign w:val="center"/>
          </w:tcPr>
          <w:p>
            <w:pPr>
              <w:spacing w:line="360" w:lineRule="auto"/>
              <w:jc w:val="center"/>
              <w:rPr>
                <w:rFonts w:ascii="宋体" w:hAnsi="宋体" w:cs="宋体"/>
                <w:bCs/>
                <w:color w:val="auto"/>
                <w:sz w:val="24"/>
                <w:szCs w:val="24"/>
                <w:highlight w:val="none"/>
              </w:rPr>
            </w:pPr>
          </w:p>
        </w:tc>
        <w:tc>
          <w:tcPr>
            <w:tcW w:w="1559" w:type="dxa"/>
            <w:noWrap w:val="0"/>
            <w:vAlign w:val="center"/>
          </w:tcPr>
          <w:p>
            <w:pPr>
              <w:spacing w:line="360" w:lineRule="auto"/>
              <w:jc w:val="center"/>
              <w:rPr>
                <w:rFonts w:ascii="宋体" w:hAnsi="宋体" w:cs="宋体"/>
                <w:bCs/>
                <w:color w:val="auto"/>
                <w:sz w:val="24"/>
                <w:szCs w:val="24"/>
                <w:highlight w:val="none"/>
              </w:rPr>
            </w:pPr>
          </w:p>
        </w:tc>
        <w:tc>
          <w:tcPr>
            <w:tcW w:w="2268" w:type="dxa"/>
            <w:noWrap w:val="0"/>
            <w:vAlign w:val="center"/>
          </w:tcPr>
          <w:p>
            <w:pPr>
              <w:spacing w:line="360" w:lineRule="auto"/>
              <w:jc w:val="center"/>
              <w:rPr>
                <w:rFonts w:ascii="宋体" w:hAnsi="宋体" w:cs="宋体"/>
                <w:bCs/>
                <w:color w:val="auto"/>
                <w:sz w:val="24"/>
                <w:szCs w:val="24"/>
                <w:highlight w:val="none"/>
              </w:rPr>
            </w:pPr>
          </w:p>
        </w:tc>
        <w:tc>
          <w:tcPr>
            <w:tcW w:w="1897" w:type="dxa"/>
            <w:noWrap w:val="0"/>
            <w:vAlign w:val="center"/>
          </w:tcPr>
          <w:p>
            <w:pPr>
              <w:spacing w:line="360" w:lineRule="auto"/>
              <w:jc w:val="center"/>
              <w:rPr>
                <w:rFonts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0" w:type="dxa"/>
            <w:noWrap w:val="0"/>
            <w:vAlign w:val="center"/>
          </w:tcPr>
          <w:p>
            <w:pPr>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w:t>
            </w:r>
          </w:p>
        </w:tc>
        <w:tc>
          <w:tcPr>
            <w:tcW w:w="1304" w:type="dxa"/>
            <w:noWrap w:val="0"/>
            <w:vAlign w:val="center"/>
          </w:tcPr>
          <w:p>
            <w:pPr>
              <w:spacing w:line="360" w:lineRule="auto"/>
              <w:jc w:val="center"/>
              <w:rPr>
                <w:rFonts w:ascii="宋体" w:hAnsi="宋体" w:cs="宋体"/>
                <w:bCs/>
                <w:color w:val="auto"/>
                <w:sz w:val="24"/>
                <w:szCs w:val="24"/>
                <w:highlight w:val="none"/>
              </w:rPr>
            </w:pPr>
          </w:p>
        </w:tc>
        <w:tc>
          <w:tcPr>
            <w:tcW w:w="1247" w:type="dxa"/>
            <w:noWrap w:val="0"/>
            <w:vAlign w:val="center"/>
          </w:tcPr>
          <w:p>
            <w:pPr>
              <w:spacing w:line="360" w:lineRule="auto"/>
              <w:jc w:val="center"/>
              <w:rPr>
                <w:rFonts w:ascii="宋体" w:hAnsi="宋体" w:cs="宋体"/>
                <w:bCs/>
                <w:color w:val="auto"/>
                <w:sz w:val="24"/>
                <w:szCs w:val="24"/>
                <w:highlight w:val="none"/>
              </w:rPr>
            </w:pPr>
          </w:p>
        </w:tc>
        <w:tc>
          <w:tcPr>
            <w:tcW w:w="1559" w:type="dxa"/>
            <w:noWrap w:val="0"/>
            <w:vAlign w:val="center"/>
          </w:tcPr>
          <w:p>
            <w:pPr>
              <w:spacing w:line="360" w:lineRule="auto"/>
              <w:jc w:val="center"/>
              <w:rPr>
                <w:rFonts w:ascii="宋体" w:hAnsi="宋体" w:cs="宋体"/>
                <w:bCs/>
                <w:color w:val="auto"/>
                <w:sz w:val="24"/>
                <w:szCs w:val="24"/>
                <w:highlight w:val="none"/>
              </w:rPr>
            </w:pPr>
          </w:p>
        </w:tc>
        <w:tc>
          <w:tcPr>
            <w:tcW w:w="2268" w:type="dxa"/>
            <w:noWrap w:val="0"/>
            <w:vAlign w:val="center"/>
          </w:tcPr>
          <w:p>
            <w:pPr>
              <w:spacing w:line="360" w:lineRule="auto"/>
              <w:jc w:val="center"/>
              <w:rPr>
                <w:rFonts w:ascii="宋体" w:hAnsi="宋体" w:cs="宋体"/>
                <w:bCs/>
                <w:color w:val="auto"/>
                <w:sz w:val="24"/>
                <w:szCs w:val="24"/>
                <w:highlight w:val="none"/>
              </w:rPr>
            </w:pPr>
          </w:p>
        </w:tc>
        <w:tc>
          <w:tcPr>
            <w:tcW w:w="1897" w:type="dxa"/>
            <w:noWrap w:val="0"/>
            <w:vAlign w:val="center"/>
          </w:tcPr>
          <w:p>
            <w:pPr>
              <w:spacing w:line="360" w:lineRule="auto"/>
              <w:jc w:val="center"/>
              <w:rPr>
                <w:rFonts w:ascii="宋体" w:hAnsi="宋体" w:cs="宋体"/>
                <w:bCs/>
                <w:color w:val="auto"/>
                <w:sz w:val="24"/>
                <w:szCs w:val="24"/>
                <w:highlight w:val="none"/>
              </w:rPr>
            </w:pPr>
          </w:p>
        </w:tc>
      </w:tr>
    </w:tbl>
    <w:p>
      <w:pPr>
        <w:adjustRightInd w:val="0"/>
        <w:snapToGrid w:val="0"/>
        <w:rPr>
          <w:rFonts w:ascii="宋体" w:hAnsi="宋体" w:cs="宋体"/>
          <w:color w:val="auto"/>
          <w:szCs w:val="21"/>
          <w:highlight w:val="none"/>
        </w:rPr>
      </w:pPr>
      <w:r>
        <w:rPr>
          <w:rFonts w:hint="eastAsia" w:ascii="宋体" w:hAnsi="宋体" w:cs="宋体"/>
          <w:bCs/>
          <w:color w:val="auto"/>
          <w:szCs w:val="21"/>
          <w:highlight w:val="none"/>
        </w:rPr>
        <w:t>注：</w:t>
      </w:r>
      <w:r>
        <w:rPr>
          <w:rFonts w:hint="eastAsia" w:ascii="宋体" w:hAnsi="宋体" w:cs="宋体"/>
          <w:color w:val="auto"/>
          <w:szCs w:val="21"/>
          <w:highlight w:val="none"/>
        </w:rPr>
        <w:t>本表后应按综合评分表要求附相关证明文件复印件。</w:t>
      </w:r>
    </w:p>
    <w:p>
      <w:pPr>
        <w:pStyle w:val="49"/>
        <w:rPr>
          <w:rFonts w:ascii="宋体" w:hAnsi="宋体" w:cs="宋体"/>
          <w:color w:val="auto"/>
          <w:szCs w:val="21"/>
          <w:highlight w:val="none"/>
        </w:rPr>
      </w:pPr>
      <w:r>
        <w:rPr>
          <w:rFonts w:hint="eastAsia" w:ascii="宋体" w:hAnsi="宋体" w:cs="宋体"/>
          <w:color w:val="auto"/>
          <w:szCs w:val="21"/>
          <w:highlight w:val="none"/>
        </w:rPr>
        <w:t xml:space="preserve"> </w:t>
      </w:r>
    </w:p>
    <w:p>
      <w:pPr>
        <w:tabs>
          <w:tab w:val="left" w:pos="13320"/>
        </w:tabs>
        <w:snapToGrid w:val="0"/>
        <w:spacing w:line="360" w:lineRule="auto"/>
        <w:ind w:left="718" w:leftChars="342" w:right="-52" w:firstLine="2397" w:firstLineChars="999"/>
        <w:rPr>
          <w:rFonts w:ascii="宋体" w:hAnsi="宋体" w:cs="宋体"/>
          <w:color w:val="auto"/>
          <w:sz w:val="24"/>
          <w:szCs w:val="24"/>
          <w:highlight w:val="none"/>
        </w:rPr>
      </w:pPr>
    </w:p>
    <w:p>
      <w:pPr>
        <w:tabs>
          <w:tab w:val="left" w:pos="13320"/>
        </w:tabs>
        <w:snapToGrid w:val="0"/>
        <w:spacing w:line="360" w:lineRule="auto"/>
        <w:ind w:left="718" w:leftChars="342" w:right="-52" w:firstLine="2397" w:firstLineChars="999"/>
        <w:rPr>
          <w:rFonts w:ascii="宋体" w:hAnsi="宋体" w:cs="宋体"/>
          <w:color w:val="auto"/>
          <w:sz w:val="24"/>
          <w:szCs w:val="24"/>
          <w:highlight w:val="none"/>
        </w:rPr>
      </w:pPr>
    </w:p>
    <w:p>
      <w:pPr>
        <w:tabs>
          <w:tab w:val="left" w:pos="13320"/>
        </w:tabs>
        <w:snapToGrid w:val="0"/>
        <w:spacing w:line="360" w:lineRule="auto"/>
        <w:ind w:left="718" w:leftChars="342" w:right="-52" w:firstLine="2397" w:firstLineChars="999"/>
        <w:rPr>
          <w:rFonts w:ascii="宋体" w:hAnsi="宋体" w:cs="宋体"/>
          <w:color w:val="auto"/>
          <w:sz w:val="24"/>
          <w:szCs w:val="24"/>
          <w:highlight w:val="none"/>
        </w:rPr>
      </w:pPr>
    </w:p>
    <w:p>
      <w:pPr>
        <w:tabs>
          <w:tab w:val="left" w:pos="13320"/>
        </w:tabs>
        <w:snapToGrid w:val="0"/>
        <w:spacing w:line="360" w:lineRule="auto"/>
        <w:ind w:left="718" w:leftChars="342" w:right="-52" w:firstLine="2397" w:firstLineChars="999"/>
        <w:rPr>
          <w:rFonts w:hint="eastAsia" w:ascii="宋体" w:hAnsi="宋体" w:cs="宋体"/>
          <w:color w:val="auto"/>
          <w:sz w:val="24"/>
          <w:szCs w:val="24"/>
          <w:highlight w:val="none"/>
        </w:rPr>
      </w:pPr>
    </w:p>
    <w:p>
      <w:pPr>
        <w:tabs>
          <w:tab w:val="left" w:pos="13320"/>
        </w:tabs>
        <w:snapToGrid w:val="0"/>
        <w:spacing w:line="360" w:lineRule="auto"/>
        <w:ind w:left="718" w:leftChars="342" w:right="-52" w:firstLine="2397" w:firstLineChars="999"/>
        <w:rPr>
          <w:rFonts w:ascii="宋体" w:hAnsi="宋体" w:cs="宋体"/>
          <w:color w:val="auto"/>
          <w:sz w:val="24"/>
          <w:szCs w:val="24"/>
          <w:highlight w:val="none"/>
          <w:u w:val="single"/>
        </w:rPr>
      </w:pPr>
      <w:r>
        <w:rPr>
          <w:rFonts w:hint="eastAsia" w:ascii="宋体" w:hAnsi="宋体" w:cs="宋体"/>
          <w:color w:val="auto"/>
          <w:sz w:val="24"/>
          <w:szCs w:val="24"/>
          <w:highlight w:val="none"/>
        </w:rPr>
        <w:t>报价人（法人公章）：</w:t>
      </w:r>
      <w:r>
        <w:rPr>
          <w:rFonts w:hint="eastAsia" w:ascii="宋体" w:hAnsi="宋体" w:cs="宋体"/>
          <w:color w:val="auto"/>
          <w:sz w:val="24"/>
          <w:szCs w:val="24"/>
          <w:highlight w:val="none"/>
          <w:u w:val="single"/>
        </w:rPr>
        <w:t xml:space="preserve">                        </w:t>
      </w:r>
    </w:p>
    <w:p>
      <w:pPr>
        <w:tabs>
          <w:tab w:val="left" w:pos="13320"/>
        </w:tabs>
        <w:snapToGrid w:val="0"/>
        <w:spacing w:line="360" w:lineRule="auto"/>
        <w:ind w:left="718" w:leftChars="342" w:right="-52" w:firstLine="2397" w:firstLineChars="999"/>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p>
    <w:p>
      <w:pPr>
        <w:widowControl/>
        <w:jc w:val="left"/>
        <w:rPr>
          <w:rFonts w:ascii="宋体" w:hAnsi="宋体" w:cs="宋体"/>
          <w:color w:val="auto"/>
          <w:kern w:val="0"/>
          <w:szCs w:val="21"/>
          <w:highlight w:val="none"/>
        </w:rPr>
      </w:pPr>
      <w:r>
        <w:rPr>
          <w:rFonts w:hint="eastAsia" w:ascii="宋体" w:hAnsi="宋体" w:cs="宋体"/>
          <w:color w:val="auto"/>
          <w:sz w:val="24"/>
          <w:szCs w:val="24"/>
          <w:highlight w:val="none"/>
        </w:rPr>
        <w:t xml:space="preserve">                          日期：_____年______月______日</w:t>
      </w: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rPr>
          <w:rFonts w:ascii="宋体" w:hAnsi="宋体" w:cs="宋体"/>
          <w:b/>
          <w:color w:val="auto"/>
          <w:sz w:val="28"/>
          <w:szCs w:val="28"/>
          <w:highlight w:val="none"/>
        </w:rPr>
      </w:pPr>
    </w:p>
    <w:p>
      <w:pPr>
        <w:pStyle w:val="13"/>
        <w:spacing w:line="360" w:lineRule="auto"/>
        <w:jc w:val="left"/>
        <w:rPr>
          <w:rFonts w:hAnsi="宋体" w:eastAsia="宋体" w:cs="宋体"/>
          <w:color w:val="auto"/>
          <w:sz w:val="24"/>
          <w:szCs w:val="24"/>
          <w:highlight w:val="none"/>
        </w:rPr>
        <w:sectPr>
          <w:pgSz w:w="11907" w:h="16840"/>
          <w:pgMar w:top="1440" w:right="1106" w:bottom="1440" w:left="1797" w:header="851" w:footer="992" w:gutter="0"/>
          <w:cols w:space="720" w:num="1"/>
          <w:docGrid w:type="lines" w:linePitch="312" w:charSpace="0"/>
        </w:sectPr>
      </w:pPr>
    </w:p>
    <w:p>
      <w:pPr>
        <w:pStyle w:val="13"/>
        <w:spacing w:line="360" w:lineRule="auto"/>
        <w:jc w:val="left"/>
        <w:outlineLvl w:val="0"/>
        <w:rPr>
          <w:rFonts w:hint="eastAsia" w:hAnsi="宋体" w:eastAsia="宋体" w:cs="宋体"/>
          <w:b/>
          <w:bCs/>
          <w:color w:val="auto"/>
          <w:sz w:val="24"/>
          <w:szCs w:val="24"/>
          <w:highlight w:val="none"/>
        </w:rPr>
      </w:pPr>
      <w:bookmarkStart w:id="10" w:name="_Toc5780"/>
      <w:bookmarkStart w:id="11" w:name="_Toc964"/>
      <w:r>
        <w:rPr>
          <w:rFonts w:hint="eastAsia" w:hAnsi="宋体" w:eastAsia="宋体" w:cs="宋体"/>
          <w:color w:val="auto"/>
          <w:sz w:val="24"/>
          <w:szCs w:val="24"/>
          <w:highlight w:val="none"/>
        </w:rPr>
        <w:t>附件七</w:t>
      </w:r>
      <w:bookmarkEnd w:id="10"/>
      <w:bookmarkEnd w:id="11"/>
    </w:p>
    <w:p>
      <w:pPr>
        <w:pStyle w:val="13"/>
        <w:adjustRightInd w:val="0"/>
        <w:snapToGrid w:val="0"/>
        <w:spacing w:line="360" w:lineRule="auto"/>
        <w:jc w:val="center"/>
        <w:outlineLvl w:val="0"/>
        <w:rPr>
          <w:rFonts w:hAnsi="宋体" w:eastAsia="宋体" w:cs="宋体"/>
          <w:b/>
          <w:color w:val="auto"/>
          <w:sz w:val="28"/>
          <w:szCs w:val="28"/>
          <w:highlight w:val="none"/>
        </w:rPr>
      </w:pPr>
      <w:bookmarkStart w:id="12" w:name="_Toc18151"/>
      <w:bookmarkStart w:id="13" w:name="_Toc8781"/>
      <w:r>
        <w:rPr>
          <w:rFonts w:hint="eastAsia" w:hAnsi="宋体" w:eastAsia="宋体" w:cs="宋体"/>
          <w:b/>
          <w:color w:val="auto"/>
          <w:sz w:val="28"/>
          <w:szCs w:val="28"/>
          <w:highlight w:val="none"/>
        </w:rPr>
        <w:t>项目负责人及其他人员配备情况表</w:t>
      </w:r>
      <w:bookmarkEnd w:id="12"/>
      <w:bookmarkEnd w:id="13"/>
    </w:p>
    <w:p>
      <w:pPr>
        <w:pStyle w:val="13"/>
        <w:adjustRightInd w:val="0"/>
        <w:snapToGrid w:val="0"/>
        <w:spacing w:line="360" w:lineRule="auto"/>
        <w:ind w:firstLine="240" w:firstLineChars="100"/>
        <w:jc w:val="left"/>
        <w:rPr>
          <w:rFonts w:hint="eastAsia" w:hAnsi="宋体" w:eastAsia="宋体" w:cs="宋体"/>
          <w:b/>
          <w:color w:val="auto"/>
          <w:sz w:val="24"/>
          <w:szCs w:val="24"/>
          <w:highlight w:val="none"/>
        </w:rPr>
      </w:pPr>
      <w:r>
        <w:rPr>
          <w:rFonts w:hint="eastAsia" w:hAnsi="宋体" w:eastAsia="宋体" w:cs="宋体"/>
          <w:color w:val="auto"/>
          <w:sz w:val="24"/>
          <w:szCs w:val="24"/>
          <w:highlight w:val="none"/>
        </w:rPr>
        <w:t>项目名称：</w:t>
      </w:r>
      <w:r>
        <w:rPr>
          <w:rFonts w:hint="eastAsia" w:hAnsi="宋体" w:eastAsia="宋体" w:cs="宋体"/>
          <w:color w:val="auto"/>
          <w:sz w:val="24"/>
          <w:szCs w:val="24"/>
          <w:highlight w:val="none"/>
          <w:u w:val="single"/>
        </w:rPr>
        <w:t>荔湾区2023年树木保护和复壮工程监理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17"/>
        <w:gridCol w:w="1620"/>
        <w:gridCol w:w="1424"/>
        <w:gridCol w:w="139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60" w:type="dxa"/>
            <w:noWrap w:val="0"/>
            <w:vAlign w:val="center"/>
          </w:tcPr>
          <w:p>
            <w:pPr>
              <w:autoSpaceDE w:val="0"/>
              <w:autoSpaceDN w:val="0"/>
              <w:adjustRightInd w:val="0"/>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1717" w:type="dxa"/>
            <w:noWrap w:val="0"/>
            <w:vAlign w:val="center"/>
          </w:tcPr>
          <w:p>
            <w:pPr>
              <w:tabs>
                <w:tab w:val="left" w:pos="1322"/>
              </w:tabs>
              <w:autoSpaceDE w:val="0"/>
              <w:autoSpaceDN w:val="0"/>
              <w:adjustRightInd w:val="0"/>
              <w:jc w:val="center"/>
              <w:rPr>
                <w:rFonts w:ascii="宋体" w:hAnsi="宋体" w:cs="宋体"/>
                <w:color w:val="auto"/>
                <w:sz w:val="24"/>
                <w:szCs w:val="24"/>
                <w:highlight w:val="none"/>
                <w:lang w:val="en-GB"/>
              </w:rPr>
            </w:pPr>
            <w:r>
              <w:rPr>
                <w:rFonts w:hint="eastAsia" w:ascii="宋体" w:hAnsi="宋体" w:cs="宋体"/>
                <w:b/>
                <w:bCs/>
                <w:color w:val="auto"/>
                <w:kern w:val="0"/>
                <w:sz w:val="24"/>
                <w:szCs w:val="24"/>
                <w:highlight w:val="none"/>
              </w:rPr>
              <w:t>职责分工</w:t>
            </w:r>
          </w:p>
        </w:tc>
        <w:tc>
          <w:tcPr>
            <w:tcW w:w="1620" w:type="dxa"/>
            <w:noWrap w:val="0"/>
            <w:vAlign w:val="center"/>
          </w:tcPr>
          <w:p>
            <w:pPr>
              <w:tabs>
                <w:tab w:val="left" w:pos="1322"/>
              </w:tabs>
              <w:jc w:val="center"/>
              <w:rPr>
                <w:rFonts w:ascii="宋体" w:hAnsi="宋体" w:cs="宋体"/>
                <w:color w:val="auto"/>
                <w:sz w:val="24"/>
                <w:szCs w:val="24"/>
                <w:highlight w:val="none"/>
                <w:lang w:val="en-GB"/>
              </w:rPr>
            </w:pPr>
            <w:r>
              <w:rPr>
                <w:rFonts w:hint="eastAsia" w:ascii="宋体" w:hAnsi="宋体" w:cs="宋体"/>
                <w:b/>
                <w:bCs/>
                <w:color w:val="auto"/>
                <w:kern w:val="0"/>
                <w:sz w:val="24"/>
                <w:szCs w:val="24"/>
                <w:highlight w:val="none"/>
              </w:rPr>
              <w:t>姓名</w:t>
            </w:r>
          </w:p>
        </w:tc>
        <w:tc>
          <w:tcPr>
            <w:tcW w:w="1424" w:type="dxa"/>
            <w:noWrap w:val="0"/>
            <w:vAlign w:val="center"/>
          </w:tcPr>
          <w:p>
            <w:pPr>
              <w:tabs>
                <w:tab w:val="left" w:pos="1322"/>
              </w:tabs>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学历</w:t>
            </w:r>
          </w:p>
        </w:tc>
        <w:tc>
          <w:tcPr>
            <w:tcW w:w="1399" w:type="dxa"/>
            <w:noWrap w:val="0"/>
            <w:vAlign w:val="center"/>
          </w:tcPr>
          <w:p>
            <w:pPr>
              <w:tabs>
                <w:tab w:val="left" w:pos="1322"/>
              </w:tabs>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职称/注册执业资格</w:t>
            </w:r>
          </w:p>
        </w:tc>
        <w:tc>
          <w:tcPr>
            <w:tcW w:w="2269" w:type="dxa"/>
            <w:noWrap w:val="0"/>
            <w:vAlign w:val="center"/>
          </w:tcPr>
          <w:p>
            <w:pPr>
              <w:tabs>
                <w:tab w:val="left" w:pos="1322"/>
              </w:tabs>
              <w:jc w:val="center"/>
              <w:rPr>
                <w:rFonts w:ascii="宋体" w:hAnsi="宋体" w:cs="宋体"/>
                <w:color w:val="auto"/>
                <w:sz w:val="24"/>
                <w:szCs w:val="24"/>
                <w:highlight w:val="none"/>
                <w:lang w:val="en-GB"/>
              </w:rPr>
            </w:pPr>
            <w:r>
              <w:rPr>
                <w:rFonts w:hint="eastAsia" w:ascii="宋体" w:hAnsi="宋体" w:cs="宋体"/>
                <w:b/>
                <w:bCs/>
                <w:color w:val="auto"/>
                <w:kern w:val="0"/>
                <w:sz w:val="24"/>
                <w:szCs w:val="24"/>
                <w:highlight w:val="none"/>
              </w:rPr>
              <w:t>证书编号（如有）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60" w:type="dxa"/>
            <w:noWrap w:val="0"/>
            <w:vAlign w:val="center"/>
          </w:tcPr>
          <w:p>
            <w:pPr>
              <w:tabs>
                <w:tab w:val="left" w:pos="1322"/>
              </w:tabs>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1</w:t>
            </w:r>
          </w:p>
        </w:tc>
        <w:tc>
          <w:tcPr>
            <w:tcW w:w="1717" w:type="dxa"/>
            <w:noWrap w:val="0"/>
            <w:vAlign w:val="center"/>
          </w:tcPr>
          <w:p>
            <w:pPr>
              <w:tabs>
                <w:tab w:val="left" w:pos="1322"/>
              </w:tabs>
              <w:jc w:val="center"/>
              <w:rPr>
                <w:rFonts w:hint="eastAsia" w:ascii="宋体" w:hAnsi="宋体" w:cs="宋体"/>
                <w:color w:val="auto"/>
                <w:sz w:val="24"/>
                <w:szCs w:val="24"/>
                <w:highlight w:val="none"/>
                <w:lang w:val="en-GB"/>
              </w:rPr>
            </w:pPr>
            <w:r>
              <w:rPr>
                <w:rFonts w:hint="eastAsia" w:ascii="宋体" w:hAnsi="宋体" w:cs="宋体"/>
                <w:color w:val="auto"/>
                <w:kern w:val="0"/>
                <w:sz w:val="24"/>
                <w:szCs w:val="24"/>
                <w:highlight w:val="none"/>
              </w:rPr>
              <w:t>项目总监</w:t>
            </w:r>
          </w:p>
        </w:tc>
        <w:tc>
          <w:tcPr>
            <w:tcW w:w="1620" w:type="dxa"/>
            <w:noWrap w:val="0"/>
            <w:vAlign w:val="center"/>
          </w:tcPr>
          <w:p>
            <w:pPr>
              <w:tabs>
                <w:tab w:val="left" w:pos="1322"/>
              </w:tabs>
              <w:jc w:val="center"/>
              <w:rPr>
                <w:rFonts w:ascii="宋体" w:hAnsi="宋体" w:cs="宋体"/>
                <w:color w:val="auto"/>
                <w:sz w:val="24"/>
                <w:szCs w:val="24"/>
                <w:highlight w:val="none"/>
                <w:lang w:val="en-GB"/>
              </w:rPr>
            </w:pPr>
          </w:p>
        </w:tc>
        <w:tc>
          <w:tcPr>
            <w:tcW w:w="1424" w:type="dxa"/>
            <w:noWrap w:val="0"/>
            <w:vAlign w:val="center"/>
          </w:tcPr>
          <w:p>
            <w:pPr>
              <w:tabs>
                <w:tab w:val="left" w:pos="1322"/>
              </w:tabs>
              <w:jc w:val="center"/>
              <w:rPr>
                <w:rFonts w:ascii="宋体" w:hAnsi="宋体" w:cs="宋体"/>
                <w:color w:val="auto"/>
                <w:sz w:val="24"/>
                <w:szCs w:val="24"/>
                <w:highlight w:val="none"/>
                <w:lang w:val="en-GB"/>
              </w:rPr>
            </w:pPr>
          </w:p>
        </w:tc>
        <w:tc>
          <w:tcPr>
            <w:tcW w:w="1399" w:type="dxa"/>
            <w:noWrap w:val="0"/>
            <w:vAlign w:val="center"/>
          </w:tcPr>
          <w:p>
            <w:pPr>
              <w:tabs>
                <w:tab w:val="left" w:pos="1322"/>
              </w:tabs>
              <w:jc w:val="center"/>
              <w:rPr>
                <w:rFonts w:ascii="宋体" w:hAnsi="宋体" w:cs="宋体"/>
                <w:color w:val="auto"/>
                <w:sz w:val="24"/>
                <w:szCs w:val="24"/>
                <w:highlight w:val="none"/>
                <w:lang w:val="en-GB"/>
              </w:rPr>
            </w:pPr>
          </w:p>
        </w:tc>
        <w:tc>
          <w:tcPr>
            <w:tcW w:w="2269" w:type="dxa"/>
            <w:noWrap w:val="0"/>
            <w:vAlign w:val="center"/>
          </w:tcPr>
          <w:p>
            <w:pPr>
              <w:tabs>
                <w:tab w:val="left" w:pos="1322"/>
              </w:tabs>
              <w:jc w:val="center"/>
              <w:rPr>
                <w:rFonts w:ascii="宋体" w:hAnsi="宋体" w:cs="宋体"/>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0" w:type="dxa"/>
            <w:noWrap w:val="0"/>
            <w:vAlign w:val="center"/>
          </w:tcPr>
          <w:p>
            <w:pPr>
              <w:autoSpaceDE w:val="0"/>
              <w:autoSpaceDN w:val="0"/>
              <w:adjustRightInd w:val="0"/>
              <w:jc w:val="center"/>
              <w:rPr>
                <w:rFonts w:hint="eastAsia" w:ascii="宋体" w:hAnsi="宋体" w:cs="宋体"/>
                <w:color w:val="auto"/>
                <w:kern w:val="0"/>
                <w:sz w:val="24"/>
                <w:szCs w:val="24"/>
                <w:highlight w:val="none"/>
              </w:rPr>
            </w:pPr>
            <w:r>
              <w:rPr>
                <w:rFonts w:ascii="宋体" w:hAnsi="宋体" w:cs="宋体"/>
                <w:color w:val="auto"/>
                <w:kern w:val="0"/>
                <w:sz w:val="24"/>
                <w:szCs w:val="24"/>
                <w:highlight w:val="none"/>
              </w:rPr>
              <w:t>2</w:t>
            </w:r>
          </w:p>
        </w:tc>
        <w:tc>
          <w:tcPr>
            <w:tcW w:w="1717" w:type="dxa"/>
            <w:vMerge w:val="restart"/>
            <w:noWrap w:val="0"/>
            <w:vAlign w:val="center"/>
          </w:tcPr>
          <w:p>
            <w:pPr>
              <w:tabs>
                <w:tab w:val="left" w:pos="1322"/>
              </w:tabs>
              <w:jc w:val="center"/>
              <w:rPr>
                <w:rFonts w:ascii="宋体" w:hAnsi="宋体" w:cs="宋体"/>
                <w:color w:val="auto"/>
                <w:sz w:val="24"/>
                <w:szCs w:val="24"/>
                <w:highlight w:val="none"/>
                <w:lang w:val="en-GB"/>
              </w:rPr>
            </w:pPr>
            <w:r>
              <w:rPr>
                <w:rFonts w:hint="eastAsia" w:ascii="宋体" w:hAnsi="宋体" w:cs="宋体"/>
                <w:color w:val="auto"/>
                <w:kern w:val="0"/>
                <w:sz w:val="24"/>
                <w:szCs w:val="24"/>
                <w:highlight w:val="none"/>
              </w:rPr>
              <w:t>主要经办人员及其他人员配备情况</w:t>
            </w:r>
          </w:p>
        </w:tc>
        <w:tc>
          <w:tcPr>
            <w:tcW w:w="1620" w:type="dxa"/>
            <w:noWrap w:val="0"/>
            <w:vAlign w:val="center"/>
          </w:tcPr>
          <w:p>
            <w:pPr>
              <w:tabs>
                <w:tab w:val="left" w:pos="1322"/>
              </w:tabs>
              <w:jc w:val="center"/>
              <w:rPr>
                <w:rFonts w:ascii="宋体" w:hAnsi="宋体" w:cs="宋体"/>
                <w:color w:val="auto"/>
                <w:sz w:val="24"/>
                <w:szCs w:val="24"/>
                <w:highlight w:val="none"/>
                <w:lang w:val="en-GB"/>
              </w:rPr>
            </w:pPr>
          </w:p>
        </w:tc>
        <w:tc>
          <w:tcPr>
            <w:tcW w:w="1424" w:type="dxa"/>
            <w:noWrap w:val="0"/>
            <w:vAlign w:val="center"/>
          </w:tcPr>
          <w:p>
            <w:pPr>
              <w:tabs>
                <w:tab w:val="left" w:pos="1322"/>
              </w:tabs>
              <w:jc w:val="center"/>
              <w:rPr>
                <w:rFonts w:ascii="宋体" w:hAnsi="宋体" w:cs="宋体"/>
                <w:color w:val="auto"/>
                <w:sz w:val="24"/>
                <w:szCs w:val="24"/>
                <w:highlight w:val="none"/>
                <w:lang w:val="en-GB"/>
              </w:rPr>
            </w:pPr>
          </w:p>
        </w:tc>
        <w:tc>
          <w:tcPr>
            <w:tcW w:w="1399" w:type="dxa"/>
            <w:noWrap w:val="0"/>
            <w:vAlign w:val="center"/>
          </w:tcPr>
          <w:p>
            <w:pPr>
              <w:tabs>
                <w:tab w:val="left" w:pos="1322"/>
              </w:tabs>
              <w:jc w:val="center"/>
              <w:rPr>
                <w:rFonts w:ascii="宋体" w:hAnsi="宋体" w:cs="宋体"/>
                <w:color w:val="auto"/>
                <w:sz w:val="24"/>
                <w:szCs w:val="24"/>
                <w:highlight w:val="none"/>
                <w:lang w:val="en-GB"/>
              </w:rPr>
            </w:pPr>
          </w:p>
        </w:tc>
        <w:tc>
          <w:tcPr>
            <w:tcW w:w="2269" w:type="dxa"/>
            <w:noWrap w:val="0"/>
            <w:vAlign w:val="center"/>
          </w:tcPr>
          <w:p>
            <w:pPr>
              <w:tabs>
                <w:tab w:val="left" w:pos="1322"/>
              </w:tabs>
              <w:jc w:val="center"/>
              <w:rPr>
                <w:rFonts w:ascii="宋体" w:hAnsi="宋体" w:cs="宋体"/>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0" w:type="dxa"/>
            <w:noWrap w:val="0"/>
            <w:vAlign w:val="center"/>
          </w:tcPr>
          <w:p>
            <w:pPr>
              <w:autoSpaceDE w:val="0"/>
              <w:autoSpaceDN w:val="0"/>
              <w:adjustRightInd w:val="0"/>
              <w:jc w:val="center"/>
              <w:rPr>
                <w:rFonts w:hint="eastAsia" w:ascii="宋体" w:hAnsi="宋体" w:cs="宋体"/>
                <w:color w:val="auto"/>
                <w:kern w:val="0"/>
                <w:sz w:val="24"/>
                <w:szCs w:val="24"/>
                <w:highlight w:val="none"/>
              </w:rPr>
            </w:pPr>
            <w:r>
              <w:rPr>
                <w:rFonts w:ascii="宋体" w:hAnsi="宋体" w:cs="宋体"/>
                <w:color w:val="auto"/>
                <w:kern w:val="0"/>
                <w:sz w:val="24"/>
                <w:szCs w:val="24"/>
                <w:highlight w:val="none"/>
              </w:rPr>
              <w:t>3</w:t>
            </w:r>
          </w:p>
        </w:tc>
        <w:tc>
          <w:tcPr>
            <w:tcW w:w="1717" w:type="dxa"/>
            <w:vMerge w:val="continue"/>
            <w:noWrap w:val="0"/>
            <w:vAlign w:val="center"/>
          </w:tcPr>
          <w:p>
            <w:pPr>
              <w:tabs>
                <w:tab w:val="left" w:pos="1322"/>
              </w:tabs>
              <w:jc w:val="center"/>
              <w:rPr>
                <w:rFonts w:ascii="宋体" w:hAnsi="宋体" w:cs="宋体"/>
                <w:color w:val="auto"/>
                <w:kern w:val="0"/>
                <w:sz w:val="24"/>
                <w:szCs w:val="24"/>
                <w:highlight w:val="none"/>
              </w:rPr>
            </w:pPr>
          </w:p>
        </w:tc>
        <w:tc>
          <w:tcPr>
            <w:tcW w:w="1620" w:type="dxa"/>
            <w:noWrap w:val="0"/>
            <w:vAlign w:val="center"/>
          </w:tcPr>
          <w:p>
            <w:pPr>
              <w:tabs>
                <w:tab w:val="left" w:pos="1322"/>
              </w:tabs>
              <w:jc w:val="center"/>
              <w:rPr>
                <w:rFonts w:ascii="宋体" w:hAnsi="宋体" w:cs="宋体"/>
                <w:color w:val="auto"/>
                <w:sz w:val="24"/>
                <w:szCs w:val="24"/>
                <w:highlight w:val="none"/>
                <w:lang w:val="en-GB"/>
              </w:rPr>
            </w:pPr>
          </w:p>
        </w:tc>
        <w:tc>
          <w:tcPr>
            <w:tcW w:w="1424" w:type="dxa"/>
            <w:noWrap w:val="0"/>
            <w:vAlign w:val="center"/>
          </w:tcPr>
          <w:p>
            <w:pPr>
              <w:tabs>
                <w:tab w:val="left" w:pos="1322"/>
              </w:tabs>
              <w:jc w:val="center"/>
              <w:rPr>
                <w:rFonts w:ascii="宋体" w:hAnsi="宋体" w:cs="宋体"/>
                <w:color w:val="auto"/>
                <w:sz w:val="24"/>
                <w:szCs w:val="24"/>
                <w:highlight w:val="none"/>
                <w:lang w:val="en-GB"/>
              </w:rPr>
            </w:pPr>
          </w:p>
        </w:tc>
        <w:tc>
          <w:tcPr>
            <w:tcW w:w="1399" w:type="dxa"/>
            <w:noWrap w:val="0"/>
            <w:vAlign w:val="center"/>
          </w:tcPr>
          <w:p>
            <w:pPr>
              <w:tabs>
                <w:tab w:val="left" w:pos="1322"/>
              </w:tabs>
              <w:jc w:val="center"/>
              <w:rPr>
                <w:rFonts w:ascii="宋体" w:hAnsi="宋体" w:cs="宋体"/>
                <w:color w:val="auto"/>
                <w:sz w:val="24"/>
                <w:szCs w:val="24"/>
                <w:highlight w:val="none"/>
                <w:lang w:val="en-GB"/>
              </w:rPr>
            </w:pPr>
          </w:p>
        </w:tc>
        <w:tc>
          <w:tcPr>
            <w:tcW w:w="2269" w:type="dxa"/>
            <w:noWrap w:val="0"/>
            <w:vAlign w:val="center"/>
          </w:tcPr>
          <w:p>
            <w:pPr>
              <w:tabs>
                <w:tab w:val="left" w:pos="1322"/>
              </w:tabs>
              <w:jc w:val="center"/>
              <w:rPr>
                <w:rFonts w:ascii="宋体" w:hAnsi="宋体" w:cs="宋体"/>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0" w:type="dxa"/>
            <w:noWrap w:val="0"/>
            <w:vAlign w:val="center"/>
          </w:tcPr>
          <w:p>
            <w:pPr>
              <w:autoSpaceDE w:val="0"/>
              <w:autoSpaceDN w:val="0"/>
              <w:adjustRightInd w:val="0"/>
              <w:jc w:val="center"/>
              <w:rPr>
                <w:rFonts w:hint="eastAsia" w:ascii="宋体" w:hAnsi="宋体" w:cs="宋体"/>
                <w:color w:val="auto"/>
                <w:kern w:val="0"/>
                <w:sz w:val="24"/>
                <w:szCs w:val="24"/>
                <w:highlight w:val="none"/>
              </w:rPr>
            </w:pPr>
            <w:r>
              <w:rPr>
                <w:rFonts w:ascii="宋体" w:hAnsi="宋体" w:cs="宋体"/>
                <w:color w:val="auto"/>
                <w:kern w:val="0"/>
                <w:sz w:val="24"/>
                <w:szCs w:val="24"/>
                <w:highlight w:val="none"/>
              </w:rPr>
              <w:t>4</w:t>
            </w:r>
          </w:p>
        </w:tc>
        <w:tc>
          <w:tcPr>
            <w:tcW w:w="1717" w:type="dxa"/>
            <w:vMerge w:val="continue"/>
            <w:noWrap w:val="0"/>
            <w:vAlign w:val="center"/>
          </w:tcPr>
          <w:p>
            <w:pPr>
              <w:tabs>
                <w:tab w:val="left" w:pos="1322"/>
              </w:tabs>
              <w:jc w:val="center"/>
              <w:rPr>
                <w:rFonts w:ascii="宋体" w:hAnsi="宋体" w:cs="宋体"/>
                <w:color w:val="auto"/>
                <w:kern w:val="0"/>
                <w:sz w:val="24"/>
                <w:szCs w:val="24"/>
                <w:highlight w:val="none"/>
              </w:rPr>
            </w:pPr>
          </w:p>
        </w:tc>
        <w:tc>
          <w:tcPr>
            <w:tcW w:w="1620" w:type="dxa"/>
            <w:noWrap w:val="0"/>
            <w:vAlign w:val="center"/>
          </w:tcPr>
          <w:p>
            <w:pPr>
              <w:tabs>
                <w:tab w:val="left" w:pos="1322"/>
              </w:tabs>
              <w:jc w:val="center"/>
              <w:rPr>
                <w:rFonts w:ascii="宋体" w:hAnsi="宋体" w:cs="宋体"/>
                <w:color w:val="auto"/>
                <w:sz w:val="24"/>
                <w:szCs w:val="24"/>
                <w:highlight w:val="none"/>
                <w:lang w:val="en-GB"/>
              </w:rPr>
            </w:pPr>
          </w:p>
        </w:tc>
        <w:tc>
          <w:tcPr>
            <w:tcW w:w="1424" w:type="dxa"/>
            <w:noWrap w:val="0"/>
            <w:vAlign w:val="center"/>
          </w:tcPr>
          <w:p>
            <w:pPr>
              <w:tabs>
                <w:tab w:val="left" w:pos="1322"/>
              </w:tabs>
              <w:jc w:val="center"/>
              <w:rPr>
                <w:rFonts w:ascii="宋体" w:hAnsi="宋体" w:cs="宋体"/>
                <w:color w:val="auto"/>
                <w:sz w:val="24"/>
                <w:szCs w:val="24"/>
                <w:highlight w:val="none"/>
                <w:lang w:val="en-GB"/>
              </w:rPr>
            </w:pPr>
          </w:p>
        </w:tc>
        <w:tc>
          <w:tcPr>
            <w:tcW w:w="1399" w:type="dxa"/>
            <w:noWrap w:val="0"/>
            <w:vAlign w:val="center"/>
          </w:tcPr>
          <w:p>
            <w:pPr>
              <w:tabs>
                <w:tab w:val="left" w:pos="1322"/>
              </w:tabs>
              <w:jc w:val="center"/>
              <w:rPr>
                <w:rFonts w:ascii="宋体" w:hAnsi="宋体" w:cs="宋体"/>
                <w:color w:val="auto"/>
                <w:sz w:val="24"/>
                <w:szCs w:val="24"/>
                <w:highlight w:val="none"/>
                <w:lang w:val="en-GB"/>
              </w:rPr>
            </w:pPr>
          </w:p>
        </w:tc>
        <w:tc>
          <w:tcPr>
            <w:tcW w:w="2269" w:type="dxa"/>
            <w:noWrap w:val="0"/>
            <w:vAlign w:val="center"/>
          </w:tcPr>
          <w:p>
            <w:pPr>
              <w:tabs>
                <w:tab w:val="left" w:pos="1322"/>
              </w:tabs>
              <w:jc w:val="center"/>
              <w:rPr>
                <w:rFonts w:ascii="宋体" w:hAnsi="宋体" w:cs="宋体"/>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760" w:type="dxa"/>
            <w:noWrap w:val="0"/>
            <w:vAlign w:val="center"/>
          </w:tcPr>
          <w:p>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1717" w:type="dxa"/>
            <w:vMerge w:val="continue"/>
            <w:noWrap w:val="0"/>
            <w:vAlign w:val="center"/>
          </w:tcPr>
          <w:p>
            <w:pPr>
              <w:tabs>
                <w:tab w:val="left" w:pos="1322"/>
              </w:tabs>
              <w:jc w:val="center"/>
              <w:rPr>
                <w:rFonts w:ascii="宋体" w:hAnsi="宋体" w:cs="宋体"/>
                <w:color w:val="auto"/>
                <w:kern w:val="0"/>
                <w:sz w:val="24"/>
                <w:szCs w:val="24"/>
                <w:highlight w:val="none"/>
              </w:rPr>
            </w:pPr>
          </w:p>
        </w:tc>
        <w:tc>
          <w:tcPr>
            <w:tcW w:w="1620" w:type="dxa"/>
            <w:noWrap w:val="0"/>
            <w:vAlign w:val="center"/>
          </w:tcPr>
          <w:p>
            <w:pPr>
              <w:tabs>
                <w:tab w:val="left" w:pos="1322"/>
              </w:tabs>
              <w:jc w:val="center"/>
              <w:rPr>
                <w:rFonts w:ascii="宋体" w:hAnsi="宋体" w:cs="宋体"/>
                <w:color w:val="auto"/>
                <w:sz w:val="24"/>
                <w:szCs w:val="24"/>
                <w:highlight w:val="none"/>
                <w:lang w:val="en-GB"/>
              </w:rPr>
            </w:pPr>
          </w:p>
        </w:tc>
        <w:tc>
          <w:tcPr>
            <w:tcW w:w="1424" w:type="dxa"/>
            <w:noWrap w:val="0"/>
            <w:vAlign w:val="center"/>
          </w:tcPr>
          <w:p>
            <w:pPr>
              <w:tabs>
                <w:tab w:val="left" w:pos="1322"/>
              </w:tabs>
              <w:jc w:val="center"/>
              <w:rPr>
                <w:rFonts w:ascii="宋体" w:hAnsi="宋体" w:cs="宋体"/>
                <w:color w:val="auto"/>
                <w:sz w:val="24"/>
                <w:szCs w:val="24"/>
                <w:highlight w:val="none"/>
                <w:lang w:val="en-GB"/>
              </w:rPr>
            </w:pPr>
          </w:p>
        </w:tc>
        <w:tc>
          <w:tcPr>
            <w:tcW w:w="1399" w:type="dxa"/>
            <w:noWrap w:val="0"/>
            <w:vAlign w:val="center"/>
          </w:tcPr>
          <w:p>
            <w:pPr>
              <w:tabs>
                <w:tab w:val="left" w:pos="1322"/>
              </w:tabs>
              <w:jc w:val="center"/>
              <w:rPr>
                <w:rFonts w:ascii="宋体" w:hAnsi="宋体" w:cs="宋体"/>
                <w:color w:val="auto"/>
                <w:sz w:val="24"/>
                <w:szCs w:val="24"/>
                <w:highlight w:val="none"/>
                <w:lang w:val="en-GB"/>
              </w:rPr>
            </w:pPr>
          </w:p>
        </w:tc>
        <w:tc>
          <w:tcPr>
            <w:tcW w:w="2269" w:type="dxa"/>
            <w:noWrap w:val="0"/>
            <w:vAlign w:val="center"/>
          </w:tcPr>
          <w:p>
            <w:pPr>
              <w:tabs>
                <w:tab w:val="left" w:pos="1322"/>
              </w:tabs>
              <w:jc w:val="center"/>
              <w:rPr>
                <w:rFonts w:ascii="宋体" w:hAnsi="宋体" w:cs="宋体"/>
                <w:color w:val="auto"/>
                <w:sz w:val="24"/>
                <w:szCs w:val="24"/>
                <w:highlight w:val="none"/>
                <w:lang w:val="en-GB"/>
              </w:rPr>
            </w:pPr>
          </w:p>
        </w:tc>
      </w:tr>
    </w:tbl>
    <w:p>
      <w:pPr>
        <w:adjustRightInd w:val="0"/>
        <w:snapToGrid w:val="0"/>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注：</w:t>
      </w:r>
      <w:r>
        <w:rPr>
          <w:rFonts w:hint="eastAsia" w:ascii="宋体" w:hAnsi="宋体" w:cs="宋体"/>
          <w:color w:val="auto"/>
          <w:szCs w:val="21"/>
          <w:highlight w:val="none"/>
        </w:rPr>
        <w:t>本表后应按综合评分表要求附相关证明文件复印件</w:t>
      </w:r>
      <w:r>
        <w:rPr>
          <w:rFonts w:hint="eastAsia" w:ascii="宋体" w:hAnsi="宋体" w:cs="宋体"/>
          <w:bCs/>
          <w:color w:val="auto"/>
          <w:kern w:val="0"/>
          <w:sz w:val="24"/>
          <w:highlight w:val="none"/>
        </w:rPr>
        <w:t>。</w:t>
      </w:r>
    </w:p>
    <w:p>
      <w:pPr>
        <w:tabs>
          <w:tab w:val="left" w:pos="1260"/>
        </w:tabs>
        <w:adjustRightInd w:val="0"/>
        <w:snapToGrid w:val="0"/>
        <w:spacing w:line="360" w:lineRule="auto"/>
        <w:rPr>
          <w:rFonts w:ascii="宋体" w:hAnsi="宋体" w:cs="宋体"/>
          <w:b/>
          <w:color w:val="auto"/>
          <w:sz w:val="24"/>
          <w:szCs w:val="24"/>
          <w:highlight w:val="none"/>
        </w:rPr>
      </w:pPr>
    </w:p>
    <w:p>
      <w:pPr>
        <w:tabs>
          <w:tab w:val="left" w:pos="13320"/>
        </w:tabs>
        <w:snapToGrid w:val="0"/>
        <w:spacing w:line="360" w:lineRule="auto"/>
        <w:ind w:left="718" w:leftChars="342" w:right="-52" w:firstLine="2635" w:firstLineChars="1098"/>
        <w:rPr>
          <w:rFonts w:ascii="宋体" w:hAnsi="宋体" w:cs="宋体"/>
          <w:color w:val="auto"/>
          <w:sz w:val="24"/>
          <w:szCs w:val="24"/>
          <w:highlight w:val="none"/>
        </w:rPr>
      </w:pPr>
    </w:p>
    <w:p>
      <w:pPr>
        <w:tabs>
          <w:tab w:val="left" w:pos="13320"/>
        </w:tabs>
        <w:snapToGrid w:val="0"/>
        <w:spacing w:line="360" w:lineRule="auto"/>
        <w:ind w:left="718" w:leftChars="342" w:right="-52" w:firstLine="2635" w:firstLineChars="1098"/>
        <w:rPr>
          <w:rFonts w:hint="eastAsia" w:ascii="宋体" w:hAnsi="宋体" w:cs="宋体"/>
          <w:color w:val="auto"/>
          <w:sz w:val="24"/>
          <w:szCs w:val="24"/>
          <w:highlight w:val="none"/>
        </w:rPr>
      </w:pPr>
    </w:p>
    <w:p>
      <w:pPr>
        <w:tabs>
          <w:tab w:val="left" w:pos="13320"/>
        </w:tabs>
        <w:snapToGrid w:val="0"/>
        <w:spacing w:line="360" w:lineRule="auto"/>
        <w:ind w:left="718" w:leftChars="342" w:right="-52" w:firstLine="2635" w:firstLineChars="1098"/>
        <w:rPr>
          <w:rFonts w:hint="eastAsia" w:ascii="宋体" w:hAnsi="宋体" w:cs="宋体"/>
          <w:color w:val="auto"/>
          <w:sz w:val="24"/>
          <w:szCs w:val="24"/>
          <w:highlight w:val="none"/>
        </w:rPr>
      </w:pPr>
    </w:p>
    <w:p>
      <w:pPr>
        <w:tabs>
          <w:tab w:val="left" w:pos="13320"/>
        </w:tabs>
        <w:snapToGrid w:val="0"/>
        <w:spacing w:line="360" w:lineRule="auto"/>
        <w:ind w:left="718" w:leftChars="342" w:right="-52" w:firstLine="2635" w:firstLineChars="1098"/>
        <w:rPr>
          <w:rFonts w:ascii="宋体" w:hAnsi="宋体" w:cs="宋体"/>
          <w:color w:val="auto"/>
          <w:sz w:val="24"/>
          <w:szCs w:val="24"/>
          <w:highlight w:val="none"/>
          <w:u w:val="single"/>
        </w:rPr>
      </w:pPr>
      <w:r>
        <w:rPr>
          <w:rFonts w:hint="eastAsia" w:ascii="宋体" w:hAnsi="宋体" w:cs="宋体"/>
          <w:color w:val="auto"/>
          <w:sz w:val="24"/>
          <w:szCs w:val="24"/>
          <w:highlight w:val="none"/>
        </w:rPr>
        <w:t>报价人（法人公章）：</w:t>
      </w:r>
      <w:r>
        <w:rPr>
          <w:rFonts w:hint="eastAsia" w:ascii="宋体" w:hAnsi="宋体" w:cs="宋体"/>
          <w:color w:val="auto"/>
          <w:sz w:val="24"/>
          <w:szCs w:val="24"/>
          <w:highlight w:val="none"/>
          <w:u w:val="single"/>
        </w:rPr>
        <w:t xml:space="preserve">                        </w:t>
      </w:r>
    </w:p>
    <w:p>
      <w:pPr>
        <w:tabs>
          <w:tab w:val="left" w:pos="13320"/>
        </w:tabs>
        <w:snapToGrid w:val="0"/>
        <w:spacing w:line="360" w:lineRule="auto"/>
        <w:ind w:left="718" w:leftChars="342" w:right="-52" w:firstLine="2635" w:firstLineChars="1098"/>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p>
    <w:p>
      <w:pPr>
        <w:pStyle w:val="13"/>
        <w:spacing w:line="360" w:lineRule="auto"/>
        <w:ind w:firstLine="3360" w:firstLineChars="1400"/>
        <w:rPr>
          <w:rFonts w:hAnsi="宋体" w:eastAsia="宋体" w:cs="宋体"/>
          <w:color w:val="auto"/>
          <w:sz w:val="18"/>
          <w:szCs w:val="18"/>
          <w:highlight w:val="none"/>
          <w:shd w:val="clear" w:color="auto" w:fill="FFFFFF"/>
        </w:rPr>
      </w:pPr>
      <w:r>
        <w:rPr>
          <w:rFonts w:hint="eastAsia" w:hAnsi="宋体" w:eastAsia="宋体" w:cs="宋体"/>
          <w:color w:val="auto"/>
          <w:sz w:val="24"/>
          <w:szCs w:val="24"/>
          <w:highlight w:val="none"/>
        </w:rPr>
        <w:t>日期：_____年______月______日</w:t>
      </w:r>
    </w:p>
    <w:p>
      <w:pPr>
        <w:rPr>
          <w:rFonts w:hint="eastAsia" w:hAnsi="宋体" w:cs="宋体"/>
          <w:color w:val="auto"/>
          <w:sz w:val="18"/>
          <w:szCs w:val="18"/>
          <w:highlight w:val="none"/>
          <w:shd w:val="clear" w:color="auto" w:fill="FFFFFF"/>
        </w:rPr>
      </w:pPr>
      <w:r>
        <w:rPr>
          <w:rFonts w:ascii="宋体" w:hAnsi="宋体" w:cs="宋体"/>
          <w:color w:val="auto"/>
          <w:sz w:val="24"/>
          <w:szCs w:val="24"/>
          <w:highlight w:val="none"/>
        </w:rPr>
        <w:br w:type="page"/>
      </w:r>
      <w:bookmarkStart w:id="14" w:name="_Toc15049"/>
      <w:bookmarkStart w:id="15" w:name="_Toc14367"/>
      <w:r>
        <w:rPr>
          <w:rFonts w:hint="eastAsia" w:hAnsi="宋体" w:cs="宋体"/>
          <w:color w:val="auto"/>
          <w:sz w:val="24"/>
          <w:szCs w:val="24"/>
          <w:highlight w:val="none"/>
        </w:rPr>
        <w:t>附件八</w:t>
      </w:r>
      <w:bookmarkEnd w:id="14"/>
      <w:bookmarkEnd w:id="15"/>
    </w:p>
    <w:p>
      <w:pPr>
        <w:adjustRightInd w:val="0"/>
        <w:snapToGrid w:val="0"/>
        <w:spacing w:line="360" w:lineRule="auto"/>
        <w:jc w:val="center"/>
        <w:rPr>
          <w:rFonts w:ascii="宋体" w:hAnsi="宋体" w:cs="宋体"/>
          <w:b/>
          <w:bCs/>
          <w:color w:val="auto"/>
          <w:sz w:val="48"/>
          <w:szCs w:val="48"/>
          <w:highlight w:val="none"/>
        </w:rPr>
      </w:pPr>
      <w:r>
        <w:rPr>
          <w:rFonts w:hint="eastAsia" w:ascii="宋体" w:hAnsi="宋体" w:cs="宋体"/>
          <w:b/>
          <w:bCs/>
          <w:color w:val="auto"/>
          <w:sz w:val="32"/>
          <w:szCs w:val="32"/>
          <w:highlight w:val="none"/>
        </w:rPr>
        <w:t>承诺书</w:t>
      </w:r>
    </w:p>
    <w:p>
      <w:pPr>
        <w:adjustRightInd w:val="0"/>
        <w:snapToGrid w:val="0"/>
        <w:spacing w:line="360" w:lineRule="auto"/>
        <w:ind w:firstLine="480" w:firstLineChars="200"/>
        <w:rPr>
          <w:rFonts w:hint="eastAsia" w:ascii="宋体" w:hAnsi="宋体" w:cs="宋体"/>
          <w:color w:val="auto"/>
          <w:sz w:val="24"/>
          <w:szCs w:val="24"/>
          <w:highlight w:val="none"/>
        </w:rPr>
      </w:pPr>
    </w:p>
    <w:p>
      <w:pPr>
        <w:adjustRightInd w:val="0"/>
        <w:snapToGrid w:val="0"/>
        <w:spacing w:line="360" w:lineRule="auto"/>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本公司承诺本次关于</w:t>
      </w:r>
      <w:r>
        <w:rPr>
          <w:rFonts w:hint="eastAsia" w:ascii="宋体" w:hAnsi="宋体" w:cs="宋体"/>
          <w:color w:val="auto"/>
          <w:sz w:val="24"/>
          <w:szCs w:val="24"/>
          <w:highlight w:val="none"/>
          <w:u w:val="single"/>
        </w:rPr>
        <w:t>荔湾区2023年树木保护和复壮工程监理</w:t>
      </w:r>
      <w:r>
        <w:rPr>
          <w:rFonts w:hint="eastAsia" w:ascii="宋体" w:hAnsi="宋体" w:cs="宋体"/>
          <w:color w:val="auto"/>
          <w:sz w:val="24"/>
          <w:szCs w:val="24"/>
          <w:highlight w:val="none"/>
        </w:rPr>
        <w:t>报价文件中所提供的全部材料均为属实，提交本承诺书的前3年内在经营活动中没有重大违法记录，如有虚假，本公司将承担一切后果及法律责任，特此承诺。</w:t>
      </w:r>
    </w:p>
    <w:p>
      <w:pPr>
        <w:adjustRightInd w:val="0"/>
        <w:snapToGrid w:val="0"/>
        <w:spacing w:line="360" w:lineRule="auto"/>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 </w:t>
      </w:r>
    </w:p>
    <w:p>
      <w:pPr>
        <w:adjustRightInd w:val="0"/>
        <w:snapToGrid w:val="0"/>
        <w:spacing w:line="360" w:lineRule="auto"/>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 </w:t>
      </w:r>
    </w:p>
    <w:p>
      <w:pPr>
        <w:adjustRightInd w:val="0"/>
        <w:snapToGrid w:val="0"/>
        <w:spacing w:line="360" w:lineRule="auto"/>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 </w:t>
      </w:r>
    </w:p>
    <w:p>
      <w:pPr>
        <w:adjustRightInd w:val="0"/>
        <w:snapToGrid w:val="0"/>
        <w:spacing w:line="360" w:lineRule="auto"/>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 </w:t>
      </w:r>
    </w:p>
    <w:p>
      <w:pPr>
        <w:tabs>
          <w:tab w:val="left" w:pos="13320"/>
        </w:tabs>
        <w:snapToGrid w:val="0"/>
        <w:spacing w:line="360" w:lineRule="auto"/>
        <w:ind w:left="718" w:leftChars="342" w:right="-52" w:firstLine="2635" w:firstLineChars="1098"/>
        <w:rPr>
          <w:rFonts w:ascii="宋体" w:hAnsi="宋体" w:cs="宋体"/>
          <w:color w:val="auto"/>
          <w:sz w:val="24"/>
          <w:szCs w:val="24"/>
          <w:highlight w:val="none"/>
          <w:u w:val="single"/>
        </w:rPr>
      </w:pPr>
      <w:r>
        <w:rPr>
          <w:rFonts w:hint="eastAsia" w:ascii="宋体" w:hAnsi="宋体" w:cs="宋体"/>
          <w:color w:val="auto"/>
          <w:sz w:val="24"/>
          <w:szCs w:val="24"/>
          <w:highlight w:val="none"/>
        </w:rPr>
        <w:t>报价人（法人公章）：</w:t>
      </w:r>
      <w:r>
        <w:rPr>
          <w:rFonts w:hint="eastAsia" w:ascii="宋体" w:hAnsi="宋体" w:cs="宋体"/>
          <w:color w:val="auto"/>
          <w:sz w:val="24"/>
          <w:szCs w:val="24"/>
          <w:highlight w:val="none"/>
          <w:u w:val="single"/>
        </w:rPr>
        <w:t xml:space="preserve">                        </w:t>
      </w:r>
    </w:p>
    <w:p>
      <w:pPr>
        <w:tabs>
          <w:tab w:val="left" w:pos="13320"/>
        </w:tabs>
        <w:snapToGrid w:val="0"/>
        <w:spacing w:line="360" w:lineRule="auto"/>
        <w:ind w:left="718" w:leftChars="342" w:right="-52" w:firstLine="2635" w:firstLineChars="1098"/>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法定代表人或授权代表（签字或盖章）：</w:t>
      </w:r>
      <w:r>
        <w:rPr>
          <w:rFonts w:hint="eastAsia" w:ascii="宋体" w:hAnsi="宋体" w:cs="宋体"/>
          <w:color w:val="auto"/>
          <w:sz w:val="24"/>
          <w:szCs w:val="24"/>
          <w:highlight w:val="none"/>
          <w:u w:val="single"/>
        </w:rPr>
        <w:t xml:space="preserve">        </w:t>
      </w:r>
    </w:p>
    <w:p>
      <w:pPr>
        <w:pStyle w:val="13"/>
        <w:spacing w:line="360" w:lineRule="auto"/>
        <w:ind w:firstLine="3360" w:firstLineChars="1400"/>
        <w:rPr>
          <w:rFonts w:hAnsi="宋体" w:eastAsia="宋体" w:cs="宋体"/>
          <w:color w:val="auto"/>
          <w:sz w:val="18"/>
          <w:szCs w:val="18"/>
          <w:highlight w:val="none"/>
          <w:shd w:val="clear" w:color="auto" w:fill="FFFFFF"/>
        </w:rPr>
      </w:pPr>
      <w:r>
        <w:rPr>
          <w:rFonts w:hint="eastAsia" w:hAnsi="宋体" w:eastAsia="宋体" w:cs="宋体"/>
          <w:color w:val="auto"/>
          <w:sz w:val="24"/>
          <w:szCs w:val="24"/>
          <w:highlight w:val="none"/>
        </w:rPr>
        <w:t>日期：_____年______月______日</w:t>
      </w:r>
    </w:p>
    <w:p>
      <w:pPr>
        <w:adjustRightInd w:val="0"/>
        <w:snapToGrid w:val="0"/>
        <w:spacing w:line="360" w:lineRule="auto"/>
        <w:ind w:right="480" w:firstLine="3150" w:firstLineChars="1500"/>
        <w:rPr>
          <w:rFonts w:ascii="宋体" w:hAnsi="宋体" w:cs="宋体"/>
          <w:color w:val="auto"/>
          <w:highlight w:val="none"/>
        </w:rPr>
      </w:pPr>
    </w:p>
    <w:p>
      <w:pPr>
        <w:pStyle w:val="24"/>
        <w:spacing w:before="0" w:beforeAutospacing="0" w:after="0" w:afterAutospacing="0" w:line="360" w:lineRule="auto"/>
        <w:rPr>
          <w:rFonts w:hint="eastAsia"/>
          <w:color w:val="auto"/>
          <w:sz w:val="18"/>
          <w:szCs w:val="18"/>
          <w:highlight w:val="none"/>
          <w:shd w:val="clear" w:color="auto" w:fill="FFFFFF"/>
        </w:rPr>
        <w:sectPr>
          <w:headerReference r:id="rId12" w:type="default"/>
          <w:pgSz w:w="11906" w:h="16838"/>
          <w:pgMar w:top="1134" w:right="1134" w:bottom="1134" w:left="1134" w:header="851" w:footer="992" w:gutter="0"/>
          <w:cols w:space="720" w:num="1"/>
          <w:docGrid w:type="lines" w:linePitch="312" w:charSpace="0"/>
        </w:sectPr>
      </w:pPr>
      <w:r>
        <w:rPr>
          <w:rFonts w:hint="eastAsia"/>
          <w:color w:val="auto"/>
          <w:sz w:val="18"/>
          <w:szCs w:val="18"/>
          <w:highlight w:val="none"/>
          <w:shd w:val="clear" w:color="auto" w:fill="FFFFFF"/>
        </w:rPr>
        <w:t xml:space="preserve">   </w:t>
      </w:r>
    </w:p>
    <w:p>
      <w:pPr>
        <w:tabs>
          <w:tab w:val="left" w:pos="5220"/>
        </w:tabs>
        <w:adjustRightInd w:val="0"/>
        <w:snapToGrid w:val="0"/>
        <w:spacing w:before="156" w:beforeLines="50" w:after="156" w:afterLines="50" w:line="360" w:lineRule="auto"/>
        <w:jc w:val="center"/>
        <w:outlineLvl w:val="0"/>
        <w:rPr>
          <w:rFonts w:hint="eastAsia" w:ascii="宋体" w:hAnsi="宋体" w:cs="宋体"/>
          <w:b/>
          <w:bCs/>
          <w:color w:val="auto"/>
          <w:sz w:val="28"/>
          <w:szCs w:val="28"/>
          <w:highlight w:val="none"/>
          <w:shd w:val="clear" w:color="auto" w:fill="FFFFFF"/>
        </w:rPr>
      </w:pPr>
      <w:bookmarkStart w:id="16" w:name="_Toc13619"/>
      <w:r>
        <w:rPr>
          <w:rFonts w:hint="eastAsia" w:ascii="宋体" w:hAnsi="宋体" w:cs="宋体"/>
          <w:b/>
          <w:bCs/>
          <w:color w:val="auto"/>
          <w:sz w:val="28"/>
          <w:szCs w:val="28"/>
          <w:highlight w:val="none"/>
          <w:shd w:val="clear" w:color="auto" w:fill="FFFFFF"/>
        </w:rPr>
        <w:t>第四章 合同</w:t>
      </w:r>
      <w:bookmarkEnd w:id="16"/>
    </w:p>
    <w:p>
      <w:pPr>
        <w:pStyle w:val="54"/>
        <w:spacing w:line="640" w:lineRule="exact"/>
        <w:rPr>
          <w:rFonts w:ascii="宋体" w:hAnsi="宋体"/>
          <w:color w:val="auto"/>
          <w:sz w:val="32"/>
          <w:szCs w:val="32"/>
          <w:highlight w:val="none"/>
        </w:rPr>
      </w:pPr>
      <w:r>
        <w:rPr>
          <w:rFonts w:ascii="宋体" w:hAnsi="宋体" w:cs="仿宋_GB2312"/>
          <w:color w:val="auto"/>
          <w:sz w:val="32"/>
          <w:szCs w:val="32"/>
          <w:highlight w:val="none"/>
        </w:rPr>
        <w:t>SF-2019-0206</w:t>
      </w:r>
    </w:p>
    <w:p>
      <w:pPr>
        <w:pStyle w:val="54"/>
        <w:spacing w:line="640" w:lineRule="exact"/>
        <w:ind w:firstLine="5936" w:firstLineChars="1855"/>
        <w:rPr>
          <w:rFonts w:ascii="宋体" w:hAnsi="宋体" w:cs="华文中宋"/>
          <w:color w:val="auto"/>
          <w:sz w:val="32"/>
          <w:szCs w:val="32"/>
          <w:highlight w:val="none"/>
          <w:u w:val="single"/>
        </w:rPr>
      </w:pPr>
      <w:r>
        <w:rPr>
          <w:rFonts w:hint="eastAsia" w:ascii="宋体" w:hAnsi="宋体" w:cs="华文中宋"/>
          <w:color w:val="auto"/>
          <w:sz w:val="32"/>
          <w:szCs w:val="32"/>
          <w:highlight w:val="none"/>
        </w:rPr>
        <w:t>项目编码：</w:t>
      </w:r>
      <w:r>
        <w:rPr>
          <w:rFonts w:ascii="宋体" w:hAnsi="宋体" w:cs="华文中宋"/>
          <w:color w:val="auto"/>
          <w:sz w:val="32"/>
          <w:szCs w:val="32"/>
          <w:highlight w:val="none"/>
          <w:u w:val="single"/>
        </w:rPr>
        <w:t xml:space="preserve">    </w:t>
      </w:r>
      <w:r>
        <w:rPr>
          <w:rFonts w:hint="eastAsia" w:ascii="宋体" w:hAnsi="宋体" w:cs="华文中宋"/>
          <w:color w:val="auto"/>
          <w:sz w:val="32"/>
          <w:szCs w:val="32"/>
          <w:highlight w:val="none"/>
          <w:u w:val="single"/>
        </w:rPr>
        <w:t xml:space="preserve"> </w:t>
      </w:r>
      <w:r>
        <w:rPr>
          <w:rFonts w:ascii="宋体" w:hAnsi="宋体" w:cs="华文中宋"/>
          <w:color w:val="auto"/>
          <w:sz w:val="32"/>
          <w:szCs w:val="32"/>
          <w:highlight w:val="none"/>
          <w:u w:val="single"/>
        </w:rPr>
        <w:t xml:space="preserve">        </w:t>
      </w:r>
    </w:p>
    <w:p>
      <w:pPr>
        <w:pStyle w:val="54"/>
        <w:spacing w:line="640" w:lineRule="exact"/>
        <w:ind w:firstLine="5936" w:firstLineChars="1855"/>
        <w:rPr>
          <w:rFonts w:ascii="宋体" w:hAnsi="宋体"/>
          <w:color w:val="auto"/>
          <w:sz w:val="32"/>
          <w:szCs w:val="32"/>
          <w:highlight w:val="none"/>
        </w:rPr>
      </w:pPr>
      <w:r>
        <w:rPr>
          <w:rFonts w:hint="eastAsia" w:ascii="宋体" w:hAnsi="宋体" w:cs="华文中宋"/>
          <w:color w:val="auto"/>
          <w:sz w:val="32"/>
          <w:szCs w:val="32"/>
          <w:highlight w:val="none"/>
        </w:rPr>
        <w:t>工程编码：</w:t>
      </w:r>
      <w:r>
        <w:rPr>
          <w:rFonts w:ascii="宋体" w:hAnsi="宋体" w:cs="华文中宋"/>
          <w:color w:val="auto"/>
          <w:sz w:val="32"/>
          <w:szCs w:val="32"/>
          <w:highlight w:val="none"/>
          <w:u w:val="single"/>
        </w:rPr>
        <w:t xml:space="preserve">            </w:t>
      </w:r>
    </w:p>
    <w:p>
      <w:pPr>
        <w:pStyle w:val="54"/>
        <w:spacing w:line="640" w:lineRule="exact"/>
        <w:ind w:firstLine="5936" w:firstLineChars="1855"/>
        <w:rPr>
          <w:rFonts w:ascii="宋体" w:hAnsi="宋体"/>
          <w:color w:val="auto"/>
          <w:sz w:val="32"/>
          <w:szCs w:val="32"/>
          <w:highlight w:val="none"/>
        </w:rPr>
      </w:pPr>
      <w:r>
        <w:rPr>
          <w:rFonts w:hint="eastAsia" w:ascii="宋体" w:hAnsi="宋体" w:cs="华文中宋"/>
          <w:color w:val="auto"/>
          <w:sz w:val="32"/>
          <w:szCs w:val="32"/>
          <w:highlight w:val="none"/>
        </w:rPr>
        <w:t>合同编号：</w:t>
      </w:r>
      <w:r>
        <w:rPr>
          <w:rFonts w:ascii="宋体" w:hAnsi="宋体" w:cs="华文中宋"/>
          <w:color w:val="auto"/>
          <w:sz w:val="32"/>
          <w:szCs w:val="32"/>
          <w:highlight w:val="none"/>
          <w:u w:val="single"/>
        </w:rPr>
        <w:t xml:space="preserve">            </w:t>
      </w:r>
    </w:p>
    <w:p>
      <w:pPr>
        <w:spacing w:line="360" w:lineRule="auto"/>
        <w:rPr>
          <w:rFonts w:ascii="华文中宋" w:hAnsi="华文中宋" w:eastAsia="华文中宋"/>
          <w:b/>
          <w:bCs/>
          <w:color w:val="auto"/>
          <w:sz w:val="48"/>
          <w:szCs w:val="48"/>
          <w:highlight w:val="none"/>
        </w:rPr>
      </w:pPr>
    </w:p>
    <w:p>
      <w:pPr>
        <w:spacing w:line="360" w:lineRule="auto"/>
        <w:rPr>
          <w:rFonts w:hint="eastAsia" w:ascii="华文中宋" w:hAnsi="华文中宋" w:eastAsia="华文中宋"/>
          <w:b/>
          <w:bCs/>
          <w:color w:val="auto"/>
          <w:sz w:val="48"/>
          <w:szCs w:val="48"/>
          <w:highlight w:val="none"/>
        </w:rPr>
      </w:pPr>
    </w:p>
    <w:p>
      <w:pPr>
        <w:spacing w:line="360" w:lineRule="auto"/>
        <w:jc w:val="center"/>
        <w:rPr>
          <w:rFonts w:ascii="宋体" w:hAnsi="宋体"/>
          <w:b/>
          <w:bCs/>
          <w:color w:val="auto"/>
          <w:sz w:val="52"/>
          <w:szCs w:val="52"/>
          <w:highlight w:val="none"/>
        </w:rPr>
      </w:pPr>
      <w:r>
        <w:rPr>
          <w:rFonts w:hint="eastAsia" w:ascii="宋体" w:hAnsi="宋体" w:cs="华文中宋"/>
          <w:b/>
          <w:bCs/>
          <w:color w:val="auto"/>
          <w:sz w:val="52"/>
          <w:szCs w:val="52"/>
          <w:highlight w:val="none"/>
        </w:rPr>
        <w:t>广州市建设工程监理合同</w:t>
      </w:r>
    </w:p>
    <w:p>
      <w:pPr>
        <w:spacing w:line="360" w:lineRule="auto"/>
        <w:jc w:val="center"/>
        <w:rPr>
          <w:rFonts w:ascii="仿宋_GB2312" w:hAnsi="宋体" w:eastAsia="仿宋_GB2312"/>
          <w:b/>
          <w:bCs/>
          <w:color w:val="auto"/>
          <w:sz w:val="11"/>
          <w:szCs w:val="11"/>
          <w:highlight w:val="none"/>
        </w:rPr>
      </w:pPr>
    </w:p>
    <w:p>
      <w:pPr>
        <w:spacing w:line="360" w:lineRule="auto"/>
        <w:jc w:val="center"/>
        <w:rPr>
          <w:rFonts w:ascii="仿宋_GB2312" w:hAnsi="宋体" w:eastAsia="仿宋_GB2312"/>
          <w:b/>
          <w:bCs/>
          <w:color w:val="auto"/>
          <w:sz w:val="24"/>
          <w:szCs w:val="24"/>
          <w:highlight w:val="none"/>
        </w:rPr>
      </w:pPr>
    </w:p>
    <w:p>
      <w:pPr>
        <w:spacing w:line="360" w:lineRule="auto"/>
        <w:jc w:val="center"/>
        <w:rPr>
          <w:rFonts w:ascii="仿宋_GB2312" w:hAnsi="宋体" w:eastAsia="仿宋_GB2312"/>
          <w:b/>
          <w:bCs/>
          <w:color w:val="auto"/>
          <w:sz w:val="24"/>
          <w:szCs w:val="24"/>
          <w:highlight w:val="none"/>
        </w:rPr>
      </w:pPr>
    </w:p>
    <w:p>
      <w:pPr>
        <w:spacing w:line="640" w:lineRule="exact"/>
        <w:ind w:firstLine="480" w:firstLineChars="150"/>
        <w:rPr>
          <w:rFonts w:hint="eastAsia" w:ascii="宋体" w:hAnsi="宋体" w:cs="仿宋"/>
          <w:color w:val="auto"/>
          <w:sz w:val="32"/>
          <w:szCs w:val="32"/>
          <w:highlight w:val="none"/>
          <w:u w:val="single"/>
        </w:rPr>
      </w:pPr>
      <w:r>
        <w:rPr>
          <w:rFonts w:hint="eastAsia" w:ascii="宋体" w:hAnsi="宋体" w:cs="仿宋"/>
          <w:color w:val="auto"/>
          <w:sz w:val="32"/>
          <w:szCs w:val="32"/>
          <w:highlight w:val="none"/>
        </w:rPr>
        <w:t>工程名称：</w:t>
      </w:r>
      <w:r>
        <w:rPr>
          <w:rFonts w:hint="eastAsia" w:ascii="宋体" w:hAnsi="宋体"/>
          <w:color w:val="auto"/>
          <w:sz w:val="30"/>
          <w:highlight w:val="none"/>
          <w:u w:val="single"/>
        </w:rPr>
        <w:t>荔湾区2023年树木保护和复壮工程监理</w:t>
      </w:r>
    </w:p>
    <w:p>
      <w:pPr>
        <w:spacing w:line="640" w:lineRule="exact"/>
        <w:ind w:firstLine="480" w:firstLineChars="150"/>
        <w:rPr>
          <w:rFonts w:ascii="宋体" w:hAnsi="宋体" w:cs="仿宋"/>
          <w:color w:val="auto"/>
          <w:sz w:val="32"/>
          <w:szCs w:val="32"/>
          <w:highlight w:val="none"/>
        </w:rPr>
      </w:pPr>
      <w:r>
        <w:rPr>
          <w:rFonts w:hint="eastAsia" w:ascii="宋体" w:hAnsi="宋体" w:cs="仿宋"/>
          <w:color w:val="auto"/>
          <w:sz w:val="32"/>
          <w:szCs w:val="32"/>
          <w:highlight w:val="none"/>
        </w:rPr>
        <w:t>工程地点：</w:t>
      </w:r>
      <w:r>
        <w:rPr>
          <w:rFonts w:hint="eastAsia" w:ascii="宋体" w:hAnsi="宋体"/>
          <w:color w:val="auto"/>
          <w:sz w:val="30"/>
          <w:highlight w:val="none"/>
          <w:u w:val="single" w:color="FF0000"/>
        </w:rPr>
        <w:t>广州市荔湾区</w:t>
      </w:r>
      <w:r>
        <w:rPr>
          <w:rFonts w:ascii="宋体" w:hAnsi="宋体" w:cs="仿宋"/>
          <w:color w:val="auto"/>
          <w:sz w:val="32"/>
          <w:szCs w:val="32"/>
          <w:highlight w:val="none"/>
        </w:rPr>
        <w:t xml:space="preserve">                                                 </w:t>
      </w:r>
    </w:p>
    <w:p>
      <w:pPr>
        <w:spacing w:line="640" w:lineRule="exact"/>
        <w:ind w:firstLine="480" w:firstLineChars="150"/>
        <w:rPr>
          <w:rFonts w:hint="eastAsia" w:ascii="宋体" w:hAnsi="宋体"/>
          <w:color w:val="auto"/>
          <w:sz w:val="30"/>
          <w:highlight w:val="none"/>
          <w:u w:val="single" w:color="FF0000"/>
        </w:rPr>
      </w:pPr>
      <w:r>
        <w:rPr>
          <w:rFonts w:hint="eastAsia" w:ascii="宋体" w:hAnsi="宋体" w:cs="仿宋"/>
          <w:color w:val="auto"/>
          <w:sz w:val="32"/>
          <w:szCs w:val="32"/>
          <w:highlight w:val="none"/>
        </w:rPr>
        <w:t>委</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托 人：</w:t>
      </w:r>
      <w:r>
        <w:rPr>
          <w:rFonts w:hint="eastAsia" w:ascii="宋体" w:hAnsi="宋体"/>
          <w:color w:val="auto"/>
          <w:sz w:val="30"/>
          <w:highlight w:val="none"/>
          <w:u w:val="single" w:color="FF0000"/>
        </w:rPr>
        <w:t>广州市荔湾区市政园林绿化管理中心</w:t>
      </w:r>
    </w:p>
    <w:p>
      <w:pPr>
        <w:spacing w:line="640" w:lineRule="exact"/>
        <w:ind w:firstLine="480" w:firstLineChars="150"/>
        <w:rPr>
          <w:rFonts w:hint="eastAsia" w:ascii="宋体" w:hAnsi="宋体"/>
          <w:color w:val="auto"/>
          <w:sz w:val="32"/>
          <w:szCs w:val="32"/>
          <w:highlight w:val="none"/>
        </w:rPr>
      </w:pPr>
      <w:r>
        <w:rPr>
          <w:rFonts w:hint="eastAsia" w:ascii="宋体" w:hAnsi="宋体" w:cs="仿宋"/>
          <w:color w:val="auto"/>
          <w:sz w:val="32"/>
          <w:szCs w:val="32"/>
          <w:highlight w:val="none"/>
        </w:rPr>
        <w:t>监</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理 人：</w:t>
      </w:r>
      <w:r>
        <w:rPr>
          <w:rFonts w:ascii="宋体" w:hAnsi="宋体" w:cs="仿宋"/>
          <w:color w:val="auto"/>
          <w:sz w:val="32"/>
          <w:szCs w:val="32"/>
          <w:highlight w:val="none"/>
          <w:u w:val="single"/>
        </w:rPr>
        <w:t xml:space="preserve">                                  </w:t>
      </w:r>
    </w:p>
    <w:p>
      <w:pPr>
        <w:spacing w:line="360" w:lineRule="auto"/>
        <w:jc w:val="center"/>
        <w:rPr>
          <w:rFonts w:ascii="仿宋_GB2312" w:hAnsi="宋体" w:eastAsia="仿宋_GB2312"/>
          <w:b/>
          <w:bCs/>
          <w:color w:val="auto"/>
          <w:sz w:val="24"/>
          <w:szCs w:val="24"/>
          <w:highlight w:val="none"/>
        </w:rPr>
      </w:pPr>
    </w:p>
    <w:p>
      <w:pPr>
        <w:spacing w:line="360" w:lineRule="auto"/>
        <w:jc w:val="center"/>
        <w:rPr>
          <w:rFonts w:ascii="仿宋_GB2312" w:hAnsi="宋体" w:eastAsia="仿宋_GB2312"/>
          <w:b/>
          <w:bCs/>
          <w:color w:val="auto"/>
          <w:sz w:val="24"/>
          <w:szCs w:val="24"/>
          <w:highlight w:val="none"/>
        </w:rPr>
      </w:pPr>
    </w:p>
    <w:p>
      <w:pPr>
        <w:spacing w:line="360" w:lineRule="auto"/>
        <w:jc w:val="center"/>
        <w:rPr>
          <w:rFonts w:hint="eastAsia" w:ascii="仿宋_GB2312" w:hAnsi="宋体" w:eastAsia="仿宋_GB2312"/>
          <w:b/>
          <w:bCs/>
          <w:color w:val="auto"/>
          <w:sz w:val="24"/>
          <w:szCs w:val="24"/>
          <w:highlight w:val="none"/>
        </w:rPr>
      </w:pPr>
    </w:p>
    <w:p>
      <w:pPr>
        <w:spacing w:line="360" w:lineRule="auto"/>
        <w:jc w:val="center"/>
        <w:rPr>
          <w:rFonts w:hint="eastAsia" w:ascii="仿宋_GB2312" w:hAnsi="宋体" w:eastAsia="仿宋_GB2312"/>
          <w:b/>
          <w:bCs/>
          <w:color w:val="auto"/>
          <w:sz w:val="24"/>
          <w:szCs w:val="24"/>
          <w:highlight w:val="none"/>
        </w:rPr>
      </w:pPr>
    </w:p>
    <w:p>
      <w:pPr>
        <w:spacing w:line="360" w:lineRule="auto"/>
        <w:jc w:val="center"/>
        <w:rPr>
          <w:rFonts w:hint="eastAsia" w:ascii="仿宋_GB2312" w:hAnsi="宋体" w:eastAsia="仿宋_GB2312"/>
          <w:b/>
          <w:bCs/>
          <w:color w:val="auto"/>
          <w:sz w:val="24"/>
          <w:szCs w:val="24"/>
          <w:highlight w:val="none"/>
        </w:rPr>
      </w:pPr>
    </w:p>
    <w:p>
      <w:pPr>
        <w:snapToGrid w:val="0"/>
        <w:spacing w:line="200" w:lineRule="atLeast"/>
        <w:jc w:val="center"/>
        <w:rPr>
          <w:rFonts w:ascii="宋体"/>
          <w:b/>
          <w:bCs/>
          <w:color w:val="auto"/>
          <w:spacing w:val="50"/>
          <w:sz w:val="32"/>
          <w:szCs w:val="32"/>
          <w:highlight w:val="none"/>
        </w:rPr>
      </w:pPr>
      <w:r>
        <w:rPr>
          <w:rFonts w:hint="eastAsia" w:ascii="宋体" w:hAnsi="宋体" w:cs="宋体"/>
          <w:b/>
          <w:bCs/>
          <w:color w:val="auto"/>
          <w:spacing w:val="50"/>
          <w:sz w:val="32"/>
          <w:szCs w:val="32"/>
          <w:highlight w:val="none"/>
        </w:rPr>
        <w:t>广州市住房和城乡建设局</w:t>
      </w:r>
    </w:p>
    <w:p>
      <w:pPr>
        <w:snapToGrid w:val="0"/>
        <w:spacing w:line="200" w:lineRule="atLeast"/>
        <w:jc w:val="center"/>
        <w:rPr>
          <w:rFonts w:ascii="宋体"/>
          <w:b/>
          <w:bCs/>
          <w:color w:val="auto"/>
          <w:spacing w:val="20"/>
          <w:sz w:val="32"/>
          <w:szCs w:val="32"/>
          <w:highlight w:val="none"/>
        </w:rPr>
      </w:pPr>
      <w:r>
        <w:rPr>
          <w:rFonts w:ascii="宋体" w:hAnsi="宋体" w:cs="宋体"/>
          <w:b/>
          <w:bCs/>
          <w:color w:val="auto"/>
          <w:spacing w:val="20"/>
          <w:sz w:val="32"/>
          <w:szCs w:val="32"/>
          <w:highlight w:val="none"/>
        </w:rPr>
        <w:t xml:space="preserve">                            </w:t>
      </w:r>
      <w:r>
        <w:rPr>
          <w:rFonts w:hint="eastAsia" w:ascii="宋体" w:hAnsi="宋体" w:cs="宋体"/>
          <w:b/>
          <w:bCs/>
          <w:color w:val="auto"/>
          <w:spacing w:val="20"/>
          <w:sz w:val="32"/>
          <w:szCs w:val="32"/>
          <w:highlight w:val="none"/>
        </w:rPr>
        <w:t>制定</w:t>
      </w:r>
    </w:p>
    <w:p>
      <w:pPr>
        <w:snapToGrid w:val="0"/>
        <w:spacing w:line="200" w:lineRule="atLeast"/>
        <w:rPr>
          <w:rFonts w:ascii="宋体"/>
          <w:b/>
          <w:bCs/>
          <w:color w:val="auto"/>
          <w:spacing w:val="73"/>
          <w:sz w:val="32"/>
          <w:szCs w:val="32"/>
          <w:highlight w:val="none"/>
        </w:rPr>
      </w:pPr>
      <w:r>
        <w:rPr>
          <w:rFonts w:hint="eastAsia" w:ascii="宋体" w:hAnsi="宋体" w:cs="宋体"/>
          <w:b/>
          <w:bCs/>
          <w:color w:val="auto"/>
          <w:spacing w:val="73"/>
          <w:sz w:val="32"/>
          <w:szCs w:val="32"/>
          <w:highlight w:val="none"/>
        </w:rPr>
        <w:t xml:space="preserve">        广州市市场监督管理局</w:t>
      </w:r>
    </w:p>
    <w:p>
      <w:pPr>
        <w:spacing w:line="360" w:lineRule="auto"/>
        <w:jc w:val="center"/>
        <w:rPr>
          <w:rFonts w:ascii="仿宋_GB2312" w:hAnsi="宋体" w:eastAsia="仿宋_GB2312"/>
          <w:b/>
          <w:bCs/>
          <w:color w:val="auto"/>
          <w:sz w:val="24"/>
          <w:szCs w:val="24"/>
          <w:highlight w:val="none"/>
        </w:rPr>
      </w:pPr>
    </w:p>
    <w:p>
      <w:pPr>
        <w:spacing w:line="360" w:lineRule="auto"/>
        <w:rPr>
          <w:rFonts w:hint="eastAsia" w:ascii="宋体" w:hAnsi="宋体" w:cs="宋体"/>
          <w:b/>
          <w:bCs/>
          <w:color w:val="auto"/>
          <w:sz w:val="36"/>
          <w:szCs w:val="36"/>
          <w:highlight w:val="none"/>
        </w:rPr>
        <w:sectPr>
          <w:footerReference r:id="rId15" w:type="first"/>
          <w:headerReference r:id="rId13" w:type="default"/>
          <w:footerReference r:id="rId14" w:type="default"/>
          <w:pgSz w:w="11906" w:h="16838"/>
          <w:pgMar w:top="1440" w:right="1134" w:bottom="1440" w:left="1134" w:header="851" w:footer="992" w:gutter="0"/>
          <w:cols w:space="720" w:num="1"/>
          <w:titlePg/>
          <w:docGrid w:type="lines" w:linePitch="312" w:charSpace="0"/>
        </w:sect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目</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 xml:space="preserve">   录</w:t>
      </w:r>
    </w:p>
    <w:p>
      <w:pPr>
        <w:pStyle w:val="18"/>
        <w:tabs>
          <w:tab w:val="right" w:leader="dot" w:pos="9638"/>
        </w:tabs>
        <w:rPr>
          <w:color w:val="auto"/>
          <w:highlight w:val="none"/>
        </w:rPr>
      </w:pPr>
      <w:r>
        <w:rPr>
          <w:rFonts w:ascii="宋体" w:hAnsi="宋体" w:cs="华文中宋"/>
          <w:color w:val="auto"/>
          <w:spacing w:val="80"/>
          <w:szCs w:val="21"/>
          <w:highlight w:val="none"/>
        </w:rPr>
        <w:fldChar w:fldCharType="begin"/>
      </w:r>
      <w:r>
        <w:rPr>
          <w:rFonts w:ascii="宋体" w:hAnsi="宋体" w:cs="华文中宋"/>
          <w:color w:val="auto"/>
          <w:spacing w:val="80"/>
          <w:szCs w:val="21"/>
          <w:highlight w:val="none"/>
        </w:rPr>
        <w:instrText xml:space="preserve"> TOC \o "1-3" \h \z \u </w:instrText>
      </w:r>
      <w:r>
        <w:rPr>
          <w:rFonts w:ascii="宋体" w:hAnsi="宋体" w:cs="华文中宋"/>
          <w:color w:val="auto"/>
          <w:spacing w:val="80"/>
          <w:szCs w:val="21"/>
          <w:highlight w:val="none"/>
        </w:rPr>
        <w:fldChar w:fldCharType="separate"/>
      </w:r>
      <w:r>
        <w:rPr>
          <w:rFonts w:ascii="宋体" w:hAnsi="宋体" w:cs="华文中宋"/>
          <w:color w:val="auto"/>
          <w:spacing w:val="80"/>
          <w:szCs w:val="21"/>
          <w:highlight w:val="none"/>
        </w:rPr>
        <w:fldChar w:fldCharType="begin"/>
      </w:r>
      <w:r>
        <w:rPr>
          <w:rFonts w:ascii="宋体" w:hAnsi="宋体" w:cs="华文中宋"/>
          <w:color w:val="auto"/>
          <w:spacing w:val="80"/>
          <w:szCs w:val="21"/>
          <w:highlight w:val="none"/>
        </w:rPr>
        <w:instrText xml:space="preserve"> HYPERLINK \l _Toc19826 </w:instrText>
      </w:r>
      <w:r>
        <w:rPr>
          <w:rFonts w:ascii="宋体" w:hAnsi="宋体" w:cs="华文中宋"/>
          <w:color w:val="auto"/>
          <w:spacing w:val="80"/>
          <w:szCs w:val="21"/>
          <w:highlight w:val="none"/>
        </w:rPr>
        <w:fldChar w:fldCharType="separate"/>
      </w:r>
      <w:r>
        <w:rPr>
          <w:rFonts w:hint="eastAsia" w:hAnsi="宋体"/>
          <w:color w:val="auto"/>
          <w:highlight w:val="none"/>
        </w:rPr>
        <w:t>第一部分</w:t>
      </w:r>
      <w:r>
        <w:rPr>
          <w:rFonts w:hAnsi="宋体"/>
          <w:color w:val="auto"/>
          <w:highlight w:val="none"/>
        </w:rPr>
        <w:t xml:space="preserve">  </w:t>
      </w:r>
      <w:r>
        <w:rPr>
          <w:rFonts w:hint="eastAsia" w:hAnsi="宋体"/>
          <w:color w:val="auto"/>
          <w:highlight w:val="none"/>
        </w:rPr>
        <w:t>协议书</w:t>
      </w:r>
      <w:r>
        <w:rPr>
          <w:color w:val="auto"/>
          <w:highlight w:val="none"/>
        </w:rPr>
        <w:tab/>
      </w:r>
      <w:r>
        <w:rPr>
          <w:color w:val="auto"/>
          <w:highlight w:val="none"/>
        </w:rPr>
        <w:fldChar w:fldCharType="begin"/>
      </w:r>
      <w:r>
        <w:rPr>
          <w:color w:val="auto"/>
          <w:highlight w:val="none"/>
        </w:rPr>
        <w:instrText xml:space="preserve"> PAGEREF _Toc19826 </w:instrText>
      </w:r>
      <w:r>
        <w:rPr>
          <w:color w:val="auto"/>
          <w:highlight w:val="none"/>
        </w:rPr>
        <w:fldChar w:fldCharType="separate"/>
      </w:r>
      <w:r>
        <w:rPr>
          <w:color w:val="auto"/>
          <w:highlight w:val="none"/>
        </w:rPr>
        <w:t>1</w:t>
      </w:r>
      <w:r>
        <w:rPr>
          <w:color w:val="auto"/>
          <w:highlight w:val="none"/>
        </w:rPr>
        <w:fldChar w:fldCharType="end"/>
      </w:r>
      <w:r>
        <w:rPr>
          <w:rFonts w:ascii="宋体" w:hAnsi="宋体" w:cs="华文中宋"/>
          <w:color w:val="auto"/>
          <w:spacing w:val="80"/>
          <w:szCs w:val="21"/>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_Toc6600 </w:instrText>
      </w:r>
      <w:r>
        <w:rPr>
          <w:rFonts w:ascii="宋体" w:hAnsi="宋体" w:cs="华文中宋"/>
          <w:caps/>
          <w:color w:val="auto"/>
          <w:spacing w:val="80"/>
          <w:highlight w:val="none"/>
        </w:rPr>
        <w:fldChar w:fldCharType="separate"/>
      </w:r>
      <w:r>
        <w:rPr>
          <w:rFonts w:hint="eastAsia" w:ascii="仿宋" w:hAnsi="仿宋" w:eastAsia="仿宋" w:cs="仿宋"/>
          <w:bCs/>
          <w:color w:val="auto"/>
          <w:szCs w:val="28"/>
          <w:highlight w:val="none"/>
        </w:rPr>
        <w:t>一、工程概况</w:t>
      </w:r>
      <w:r>
        <w:rPr>
          <w:color w:val="auto"/>
          <w:highlight w:val="none"/>
        </w:rPr>
        <w:tab/>
      </w:r>
      <w:r>
        <w:rPr>
          <w:color w:val="auto"/>
          <w:highlight w:val="none"/>
        </w:rPr>
        <w:fldChar w:fldCharType="begin"/>
      </w:r>
      <w:r>
        <w:rPr>
          <w:color w:val="auto"/>
          <w:highlight w:val="none"/>
        </w:rPr>
        <w:instrText xml:space="preserve"> PAGEREF _Toc6600 </w:instrText>
      </w:r>
      <w:r>
        <w:rPr>
          <w:color w:val="auto"/>
          <w:highlight w:val="none"/>
        </w:rPr>
        <w:fldChar w:fldCharType="separate"/>
      </w:r>
      <w:r>
        <w:rPr>
          <w:color w:val="auto"/>
          <w:highlight w:val="none"/>
        </w:rPr>
        <w:t>1</w:t>
      </w:r>
      <w:r>
        <w:rPr>
          <w:color w:val="auto"/>
          <w:highlight w:val="none"/>
        </w:rPr>
        <w:fldChar w:fldCharType="end"/>
      </w:r>
      <w:r>
        <w:rPr>
          <w:rFonts w:ascii="宋体" w:hAnsi="宋体" w:cs="华文中宋"/>
          <w:caps/>
          <w:color w:val="auto"/>
          <w:spacing w:val="80"/>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_Toc32533 </w:instrText>
      </w:r>
      <w:r>
        <w:rPr>
          <w:rFonts w:ascii="宋体" w:hAnsi="宋体" w:cs="华文中宋"/>
          <w:caps/>
          <w:color w:val="auto"/>
          <w:spacing w:val="80"/>
          <w:highlight w:val="none"/>
        </w:rPr>
        <w:fldChar w:fldCharType="separate"/>
      </w:r>
      <w:r>
        <w:rPr>
          <w:rFonts w:hint="eastAsia" w:ascii="仿宋" w:hAnsi="仿宋" w:eastAsia="仿宋" w:cs="仿宋"/>
          <w:bCs/>
          <w:color w:val="auto"/>
          <w:szCs w:val="28"/>
          <w:highlight w:val="none"/>
        </w:rPr>
        <w:t>二、词语限定</w:t>
      </w:r>
      <w:r>
        <w:rPr>
          <w:color w:val="auto"/>
          <w:highlight w:val="none"/>
        </w:rPr>
        <w:tab/>
      </w:r>
      <w:r>
        <w:rPr>
          <w:color w:val="auto"/>
          <w:highlight w:val="none"/>
        </w:rPr>
        <w:fldChar w:fldCharType="begin"/>
      </w:r>
      <w:r>
        <w:rPr>
          <w:color w:val="auto"/>
          <w:highlight w:val="none"/>
        </w:rPr>
        <w:instrText xml:space="preserve"> PAGEREF _Toc32533 </w:instrText>
      </w:r>
      <w:r>
        <w:rPr>
          <w:color w:val="auto"/>
          <w:highlight w:val="none"/>
        </w:rPr>
        <w:fldChar w:fldCharType="separate"/>
      </w:r>
      <w:r>
        <w:rPr>
          <w:color w:val="auto"/>
          <w:highlight w:val="none"/>
        </w:rPr>
        <w:t>1</w:t>
      </w:r>
      <w:r>
        <w:rPr>
          <w:color w:val="auto"/>
          <w:highlight w:val="none"/>
        </w:rPr>
        <w:fldChar w:fldCharType="end"/>
      </w:r>
      <w:r>
        <w:rPr>
          <w:rFonts w:ascii="宋体" w:hAnsi="宋体" w:cs="华文中宋"/>
          <w:caps/>
          <w:color w:val="auto"/>
          <w:spacing w:val="80"/>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_Toc2934 </w:instrText>
      </w:r>
      <w:r>
        <w:rPr>
          <w:rFonts w:ascii="宋体" w:hAnsi="宋体" w:cs="华文中宋"/>
          <w:caps/>
          <w:color w:val="auto"/>
          <w:spacing w:val="80"/>
          <w:highlight w:val="none"/>
        </w:rPr>
        <w:fldChar w:fldCharType="separate"/>
      </w:r>
      <w:r>
        <w:rPr>
          <w:rFonts w:hint="eastAsia" w:ascii="仿宋" w:hAnsi="仿宋" w:eastAsia="仿宋" w:cs="仿宋"/>
          <w:bCs/>
          <w:color w:val="auto"/>
          <w:szCs w:val="28"/>
          <w:highlight w:val="none"/>
        </w:rPr>
        <w:t>三、组成本合同的文件</w:t>
      </w:r>
      <w:r>
        <w:rPr>
          <w:color w:val="auto"/>
          <w:highlight w:val="none"/>
        </w:rPr>
        <w:tab/>
      </w:r>
      <w:r>
        <w:rPr>
          <w:color w:val="auto"/>
          <w:highlight w:val="none"/>
        </w:rPr>
        <w:fldChar w:fldCharType="begin"/>
      </w:r>
      <w:r>
        <w:rPr>
          <w:color w:val="auto"/>
          <w:highlight w:val="none"/>
        </w:rPr>
        <w:instrText xml:space="preserve"> PAGEREF _Toc2934 </w:instrText>
      </w:r>
      <w:r>
        <w:rPr>
          <w:color w:val="auto"/>
          <w:highlight w:val="none"/>
        </w:rPr>
        <w:fldChar w:fldCharType="separate"/>
      </w:r>
      <w:r>
        <w:rPr>
          <w:color w:val="auto"/>
          <w:highlight w:val="none"/>
        </w:rPr>
        <w:t>1</w:t>
      </w:r>
      <w:r>
        <w:rPr>
          <w:color w:val="auto"/>
          <w:highlight w:val="none"/>
        </w:rPr>
        <w:fldChar w:fldCharType="end"/>
      </w:r>
      <w:r>
        <w:rPr>
          <w:rFonts w:ascii="宋体" w:hAnsi="宋体" w:cs="华文中宋"/>
          <w:caps/>
          <w:color w:val="auto"/>
          <w:spacing w:val="80"/>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_Toc8169 </w:instrText>
      </w:r>
      <w:r>
        <w:rPr>
          <w:rFonts w:ascii="宋体" w:hAnsi="宋体" w:cs="华文中宋"/>
          <w:caps/>
          <w:color w:val="auto"/>
          <w:spacing w:val="80"/>
          <w:highlight w:val="none"/>
        </w:rPr>
        <w:fldChar w:fldCharType="separate"/>
      </w:r>
      <w:r>
        <w:rPr>
          <w:rFonts w:hint="eastAsia" w:ascii="仿宋" w:hAnsi="仿宋" w:eastAsia="仿宋" w:cs="仿宋"/>
          <w:bCs/>
          <w:color w:val="auto"/>
          <w:szCs w:val="28"/>
          <w:highlight w:val="none"/>
        </w:rPr>
        <w:t>四、总监理工程师</w:t>
      </w:r>
      <w:r>
        <w:rPr>
          <w:color w:val="auto"/>
          <w:highlight w:val="none"/>
        </w:rPr>
        <w:tab/>
      </w:r>
      <w:r>
        <w:rPr>
          <w:color w:val="auto"/>
          <w:highlight w:val="none"/>
        </w:rPr>
        <w:fldChar w:fldCharType="begin"/>
      </w:r>
      <w:r>
        <w:rPr>
          <w:color w:val="auto"/>
          <w:highlight w:val="none"/>
        </w:rPr>
        <w:instrText xml:space="preserve"> PAGEREF _Toc8169 </w:instrText>
      </w:r>
      <w:r>
        <w:rPr>
          <w:color w:val="auto"/>
          <w:highlight w:val="none"/>
        </w:rPr>
        <w:fldChar w:fldCharType="separate"/>
      </w:r>
      <w:r>
        <w:rPr>
          <w:color w:val="auto"/>
          <w:highlight w:val="none"/>
        </w:rPr>
        <w:t>1</w:t>
      </w:r>
      <w:r>
        <w:rPr>
          <w:color w:val="auto"/>
          <w:highlight w:val="none"/>
        </w:rPr>
        <w:fldChar w:fldCharType="end"/>
      </w:r>
      <w:r>
        <w:rPr>
          <w:rFonts w:ascii="宋体" w:hAnsi="宋体" w:cs="华文中宋"/>
          <w:caps/>
          <w:color w:val="auto"/>
          <w:spacing w:val="80"/>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_Toc10879 </w:instrText>
      </w:r>
      <w:r>
        <w:rPr>
          <w:rFonts w:ascii="宋体" w:hAnsi="宋体" w:cs="华文中宋"/>
          <w:caps/>
          <w:color w:val="auto"/>
          <w:spacing w:val="80"/>
          <w:highlight w:val="none"/>
        </w:rPr>
        <w:fldChar w:fldCharType="separate"/>
      </w:r>
      <w:r>
        <w:rPr>
          <w:rFonts w:hint="eastAsia" w:ascii="仿宋" w:hAnsi="仿宋" w:eastAsia="仿宋" w:cs="Arial Unicode MS"/>
          <w:bCs/>
          <w:color w:val="auto"/>
          <w:kern w:val="0"/>
          <w:szCs w:val="28"/>
          <w:highlight w:val="none"/>
        </w:rPr>
        <w:t>★</w:t>
      </w:r>
      <w:r>
        <w:rPr>
          <w:rFonts w:hint="eastAsia" w:ascii="仿宋" w:hAnsi="仿宋" w:eastAsia="仿宋" w:cs="仿宋"/>
          <w:bCs/>
          <w:color w:val="auto"/>
          <w:szCs w:val="28"/>
          <w:highlight w:val="none"/>
        </w:rPr>
        <w:t>六、期限</w:t>
      </w:r>
      <w:r>
        <w:rPr>
          <w:color w:val="auto"/>
          <w:highlight w:val="none"/>
        </w:rPr>
        <w:tab/>
      </w:r>
      <w:r>
        <w:rPr>
          <w:color w:val="auto"/>
          <w:highlight w:val="none"/>
        </w:rPr>
        <w:fldChar w:fldCharType="begin"/>
      </w:r>
      <w:r>
        <w:rPr>
          <w:color w:val="auto"/>
          <w:highlight w:val="none"/>
        </w:rPr>
        <w:instrText xml:space="preserve"> PAGEREF _Toc10879 </w:instrText>
      </w:r>
      <w:r>
        <w:rPr>
          <w:color w:val="auto"/>
          <w:highlight w:val="none"/>
        </w:rPr>
        <w:fldChar w:fldCharType="separate"/>
      </w:r>
      <w:r>
        <w:rPr>
          <w:color w:val="auto"/>
          <w:highlight w:val="none"/>
        </w:rPr>
        <w:t>2</w:t>
      </w:r>
      <w:r>
        <w:rPr>
          <w:color w:val="auto"/>
          <w:highlight w:val="none"/>
        </w:rPr>
        <w:fldChar w:fldCharType="end"/>
      </w:r>
      <w:r>
        <w:rPr>
          <w:rFonts w:ascii="宋体" w:hAnsi="宋体" w:cs="华文中宋"/>
          <w:caps/>
          <w:color w:val="auto"/>
          <w:spacing w:val="80"/>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_Toc5343 </w:instrText>
      </w:r>
      <w:r>
        <w:rPr>
          <w:rFonts w:ascii="宋体" w:hAnsi="宋体" w:cs="华文中宋"/>
          <w:caps/>
          <w:color w:val="auto"/>
          <w:spacing w:val="80"/>
          <w:highlight w:val="none"/>
        </w:rPr>
        <w:fldChar w:fldCharType="separate"/>
      </w:r>
      <w:r>
        <w:rPr>
          <w:rFonts w:hint="eastAsia" w:ascii="仿宋" w:hAnsi="仿宋" w:eastAsia="仿宋" w:cs="仿宋"/>
          <w:bCs/>
          <w:color w:val="auto"/>
          <w:szCs w:val="28"/>
          <w:highlight w:val="none"/>
        </w:rPr>
        <w:t>七、双方承诺</w:t>
      </w:r>
      <w:r>
        <w:rPr>
          <w:color w:val="auto"/>
          <w:highlight w:val="none"/>
        </w:rPr>
        <w:tab/>
      </w:r>
      <w:r>
        <w:rPr>
          <w:color w:val="auto"/>
          <w:highlight w:val="none"/>
        </w:rPr>
        <w:fldChar w:fldCharType="begin"/>
      </w:r>
      <w:r>
        <w:rPr>
          <w:color w:val="auto"/>
          <w:highlight w:val="none"/>
        </w:rPr>
        <w:instrText xml:space="preserve"> PAGEREF _Toc5343 </w:instrText>
      </w:r>
      <w:r>
        <w:rPr>
          <w:color w:val="auto"/>
          <w:highlight w:val="none"/>
        </w:rPr>
        <w:fldChar w:fldCharType="separate"/>
      </w:r>
      <w:r>
        <w:rPr>
          <w:color w:val="auto"/>
          <w:highlight w:val="none"/>
        </w:rPr>
        <w:t>2</w:t>
      </w:r>
      <w:r>
        <w:rPr>
          <w:color w:val="auto"/>
          <w:highlight w:val="none"/>
        </w:rPr>
        <w:fldChar w:fldCharType="end"/>
      </w:r>
      <w:r>
        <w:rPr>
          <w:rFonts w:ascii="宋体" w:hAnsi="宋体" w:cs="华文中宋"/>
          <w:caps/>
          <w:color w:val="auto"/>
          <w:spacing w:val="80"/>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_Toc20876 </w:instrText>
      </w:r>
      <w:r>
        <w:rPr>
          <w:rFonts w:ascii="宋体" w:hAnsi="宋体" w:cs="华文中宋"/>
          <w:caps/>
          <w:color w:val="auto"/>
          <w:spacing w:val="80"/>
          <w:highlight w:val="none"/>
        </w:rPr>
        <w:fldChar w:fldCharType="separate"/>
      </w:r>
      <w:r>
        <w:rPr>
          <w:rFonts w:hint="eastAsia" w:ascii="仿宋" w:hAnsi="仿宋" w:eastAsia="仿宋" w:cs="仿宋"/>
          <w:bCs/>
          <w:color w:val="auto"/>
          <w:szCs w:val="28"/>
          <w:highlight w:val="none"/>
        </w:rPr>
        <w:t>八、合同生效</w:t>
      </w:r>
      <w:r>
        <w:rPr>
          <w:color w:val="auto"/>
          <w:highlight w:val="none"/>
        </w:rPr>
        <w:tab/>
      </w:r>
      <w:r>
        <w:rPr>
          <w:color w:val="auto"/>
          <w:highlight w:val="none"/>
        </w:rPr>
        <w:fldChar w:fldCharType="begin"/>
      </w:r>
      <w:r>
        <w:rPr>
          <w:color w:val="auto"/>
          <w:highlight w:val="none"/>
        </w:rPr>
        <w:instrText xml:space="preserve"> PAGEREF _Toc20876 </w:instrText>
      </w:r>
      <w:r>
        <w:rPr>
          <w:color w:val="auto"/>
          <w:highlight w:val="none"/>
        </w:rPr>
        <w:fldChar w:fldCharType="separate"/>
      </w:r>
      <w:r>
        <w:rPr>
          <w:color w:val="auto"/>
          <w:highlight w:val="none"/>
        </w:rPr>
        <w:t>2</w:t>
      </w:r>
      <w:r>
        <w:rPr>
          <w:color w:val="auto"/>
          <w:highlight w:val="none"/>
        </w:rPr>
        <w:fldChar w:fldCharType="end"/>
      </w:r>
      <w:r>
        <w:rPr>
          <w:rFonts w:ascii="宋体" w:hAnsi="宋体" w:cs="华文中宋"/>
          <w:caps/>
          <w:color w:val="auto"/>
          <w:spacing w:val="80"/>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_Toc6539 </w:instrText>
      </w:r>
      <w:r>
        <w:rPr>
          <w:rFonts w:ascii="宋体" w:hAnsi="宋体" w:cs="华文中宋"/>
          <w:caps/>
          <w:color w:val="auto"/>
          <w:spacing w:val="80"/>
          <w:highlight w:val="none"/>
        </w:rPr>
        <w:fldChar w:fldCharType="separate"/>
      </w:r>
      <w:r>
        <w:rPr>
          <w:rFonts w:hint="eastAsia" w:ascii="仿宋" w:hAnsi="仿宋" w:eastAsia="仿宋"/>
          <w:color w:val="auto"/>
          <w:highlight w:val="none"/>
        </w:rPr>
        <w:t>九、合同份数</w:t>
      </w:r>
      <w:r>
        <w:rPr>
          <w:color w:val="auto"/>
          <w:highlight w:val="none"/>
        </w:rPr>
        <w:tab/>
      </w:r>
      <w:r>
        <w:rPr>
          <w:color w:val="auto"/>
          <w:highlight w:val="none"/>
        </w:rPr>
        <w:fldChar w:fldCharType="begin"/>
      </w:r>
      <w:r>
        <w:rPr>
          <w:color w:val="auto"/>
          <w:highlight w:val="none"/>
        </w:rPr>
        <w:instrText xml:space="preserve"> PAGEREF _Toc6539 </w:instrText>
      </w:r>
      <w:r>
        <w:rPr>
          <w:color w:val="auto"/>
          <w:highlight w:val="none"/>
        </w:rPr>
        <w:fldChar w:fldCharType="separate"/>
      </w:r>
      <w:r>
        <w:rPr>
          <w:color w:val="auto"/>
          <w:highlight w:val="none"/>
        </w:rPr>
        <w:t>2</w:t>
      </w:r>
      <w:r>
        <w:rPr>
          <w:color w:val="auto"/>
          <w:highlight w:val="none"/>
        </w:rPr>
        <w:fldChar w:fldCharType="end"/>
      </w:r>
      <w:r>
        <w:rPr>
          <w:rFonts w:ascii="宋体" w:hAnsi="宋体" w:cs="华文中宋"/>
          <w:caps/>
          <w:color w:val="auto"/>
          <w:spacing w:val="80"/>
          <w:highlight w:val="none"/>
        </w:rPr>
        <w:fldChar w:fldCharType="end"/>
      </w:r>
    </w:p>
    <w:p>
      <w:pPr>
        <w:pStyle w:val="18"/>
        <w:tabs>
          <w:tab w:val="right" w:leader="dot" w:pos="9638"/>
        </w:tabs>
        <w:rPr>
          <w:color w:val="auto"/>
          <w:highlight w:val="none"/>
        </w:rPr>
      </w:pPr>
      <w:r>
        <w:rPr>
          <w:rFonts w:ascii="宋体" w:hAnsi="宋体" w:cs="华文中宋"/>
          <w:color w:val="auto"/>
          <w:spacing w:val="80"/>
          <w:highlight w:val="none"/>
        </w:rPr>
        <w:fldChar w:fldCharType="begin"/>
      </w:r>
      <w:r>
        <w:rPr>
          <w:rFonts w:ascii="宋体" w:hAnsi="宋体" w:cs="华文中宋"/>
          <w:color w:val="auto"/>
          <w:spacing w:val="80"/>
          <w:highlight w:val="none"/>
        </w:rPr>
        <w:instrText xml:space="preserve"> HYPERLINK \l _Toc13098 </w:instrText>
      </w:r>
      <w:r>
        <w:rPr>
          <w:rFonts w:ascii="宋体" w:hAnsi="宋体" w:cs="华文中宋"/>
          <w:color w:val="auto"/>
          <w:spacing w:val="80"/>
          <w:highlight w:val="none"/>
        </w:rPr>
        <w:fldChar w:fldCharType="separate"/>
      </w:r>
      <w:r>
        <w:rPr>
          <w:rFonts w:hint="eastAsia" w:hAnsi="宋体" w:cs="仿宋"/>
          <w:bCs/>
          <w:color w:val="auto"/>
          <w:szCs w:val="36"/>
          <w:highlight w:val="none"/>
        </w:rPr>
        <w:t>第二部分</w:t>
      </w:r>
      <w:r>
        <w:rPr>
          <w:rFonts w:hAnsi="宋体" w:cs="仿宋"/>
          <w:bCs/>
          <w:color w:val="auto"/>
          <w:szCs w:val="36"/>
          <w:highlight w:val="none"/>
        </w:rPr>
        <w:t xml:space="preserve">  </w:t>
      </w:r>
      <w:r>
        <w:rPr>
          <w:rFonts w:hint="eastAsia" w:hAnsi="宋体" w:cs="仿宋"/>
          <w:bCs/>
          <w:color w:val="auto"/>
          <w:szCs w:val="36"/>
          <w:highlight w:val="none"/>
        </w:rPr>
        <w:t>通用条款</w:t>
      </w:r>
      <w:r>
        <w:rPr>
          <w:color w:val="auto"/>
          <w:highlight w:val="none"/>
        </w:rPr>
        <w:tab/>
      </w:r>
      <w:r>
        <w:rPr>
          <w:color w:val="auto"/>
          <w:highlight w:val="none"/>
        </w:rPr>
        <w:fldChar w:fldCharType="begin"/>
      </w:r>
      <w:r>
        <w:rPr>
          <w:color w:val="auto"/>
          <w:highlight w:val="none"/>
        </w:rPr>
        <w:instrText xml:space="preserve"> PAGEREF _Toc13098 </w:instrText>
      </w:r>
      <w:r>
        <w:rPr>
          <w:color w:val="auto"/>
          <w:highlight w:val="none"/>
        </w:rPr>
        <w:fldChar w:fldCharType="separate"/>
      </w:r>
      <w:r>
        <w:rPr>
          <w:color w:val="auto"/>
          <w:highlight w:val="none"/>
        </w:rPr>
        <w:t>4</w:t>
      </w:r>
      <w:r>
        <w:rPr>
          <w:color w:val="auto"/>
          <w:highlight w:val="none"/>
        </w:rPr>
        <w:fldChar w:fldCharType="end"/>
      </w:r>
      <w:r>
        <w:rPr>
          <w:rFonts w:ascii="宋体" w:hAnsi="宋体" w:cs="华文中宋"/>
          <w:color w:val="auto"/>
          <w:spacing w:val="80"/>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_Toc3692 </w:instrText>
      </w:r>
      <w:r>
        <w:rPr>
          <w:rFonts w:ascii="宋体" w:hAnsi="宋体" w:cs="华文中宋"/>
          <w:caps/>
          <w:color w:val="auto"/>
          <w:spacing w:val="80"/>
          <w:highlight w:val="none"/>
        </w:rPr>
        <w:fldChar w:fldCharType="separate"/>
      </w:r>
      <w:r>
        <w:rPr>
          <w:rFonts w:ascii="仿宋" w:hAnsi="仿宋" w:eastAsia="仿宋" w:cs="仿宋"/>
          <w:bCs/>
          <w:color w:val="auto"/>
          <w:szCs w:val="24"/>
          <w:highlight w:val="none"/>
        </w:rPr>
        <w:t xml:space="preserve">1. </w:t>
      </w:r>
      <w:r>
        <w:rPr>
          <w:rFonts w:hint="eastAsia" w:ascii="仿宋" w:hAnsi="仿宋" w:eastAsia="仿宋" w:cs="仿宋"/>
          <w:bCs/>
          <w:color w:val="auto"/>
          <w:szCs w:val="24"/>
          <w:highlight w:val="none"/>
        </w:rPr>
        <w:t>定义与解释</w:t>
      </w:r>
      <w:r>
        <w:rPr>
          <w:color w:val="auto"/>
          <w:highlight w:val="none"/>
        </w:rPr>
        <w:tab/>
      </w:r>
      <w:r>
        <w:rPr>
          <w:color w:val="auto"/>
          <w:highlight w:val="none"/>
        </w:rPr>
        <w:fldChar w:fldCharType="begin"/>
      </w:r>
      <w:r>
        <w:rPr>
          <w:color w:val="auto"/>
          <w:highlight w:val="none"/>
        </w:rPr>
        <w:instrText xml:space="preserve"> PAGEREF _Toc3692 </w:instrText>
      </w:r>
      <w:r>
        <w:rPr>
          <w:color w:val="auto"/>
          <w:highlight w:val="none"/>
        </w:rPr>
        <w:fldChar w:fldCharType="separate"/>
      </w:r>
      <w:r>
        <w:rPr>
          <w:color w:val="auto"/>
          <w:highlight w:val="none"/>
        </w:rPr>
        <w:t>4</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_Toc19829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1.1 </w:t>
      </w:r>
      <w:r>
        <w:rPr>
          <w:rFonts w:hint="eastAsia" w:ascii="仿宋" w:hAnsi="仿宋" w:eastAsia="仿宋" w:cs="仿宋"/>
          <w:color w:val="auto"/>
          <w:szCs w:val="24"/>
          <w:highlight w:val="none"/>
        </w:rPr>
        <w:t>定义</w:t>
      </w:r>
      <w:r>
        <w:rPr>
          <w:color w:val="auto"/>
          <w:highlight w:val="none"/>
        </w:rPr>
        <w:tab/>
      </w:r>
      <w:r>
        <w:rPr>
          <w:color w:val="auto"/>
          <w:highlight w:val="none"/>
        </w:rPr>
        <w:fldChar w:fldCharType="begin"/>
      </w:r>
      <w:r>
        <w:rPr>
          <w:color w:val="auto"/>
          <w:highlight w:val="none"/>
        </w:rPr>
        <w:instrText xml:space="preserve"> PAGEREF _Toc19829 </w:instrText>
      </w:r>
      <w:r>
        <w:rPr>
          <w:color w:val="auto"/>
          <w:highlight w:val="none"/>
        </w:rPr>
        <w:fldChar w:fldCharType="separate"/>
      </w:r>
      <w:r>
        <w:rPr>
          <w:color w:val="auto"/>
          <w:highlight w:val="none"/>
        </w:rPr>
        <w:t>4</w:t>
      </w:r>
      <w:r>
        <w:rPr>
          <w:color w:val="auto"/>
          <w:highlight w:val="none"/>
        </w:rPr>
        <w:fldChar w:fldCharType="end"/>
      </w:r>
      <w:r>
        <w:rPr>
          <w:rFonts w:ascii="宋体" w:hAnsi="宋体" w:cs="华文中宋"/>
          <w:caps/>
          <w:color w:val="auto"/>
          <w:spacing w:val="80"/>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_Toc607 </w:instrText>
      </w:r>
      <w:r>
        <w:rPr>
          <w:rFonts w:ascii="宋体" w:hAnsi="宋体" w:cs="华文中宋"/>
          <w:caps/>
          <w:color w:val="auto"/>
          <w:spacing w:val="80"/>
          <w:highlight w:val="none"/>
        </w:rPr>
        <w:fldChar w:fldCharType="separate"/>
      </w:r>
      <w:r>
        <w:rPr>
          <w:rFonts w:ascii="仿宋" w:hAnsi="仿宋" w:eastAsia="仿宋" w:cs="仿宋"/>
          <w:bCs/>
          <w:color w:val="auto"/>
          <w:szCs w:val="24"/>
          <w:highlight w:val="none"/>
        </w:rPr>
        <w:t xml:space="preserve">2. </w:t>
      </w:r>
      <w:r>
        <w:rPr>
          <w:rFonts w:hint="eastAsia" w:ascii="仿宋" w:hAnsi="仿宋" w:eastAsia="仿宋" w:cs="仿宋"/>
          <w:bCs/>
          <w:color w:val="auto"/>
          <w:szCs w:val="24"/>
          <w:highlight w:val="none"/>
        </w:rPr>
        <w:t>监理人的义务</w:t>
      </w:r>
      <w:r>
        <w:rPr>
          <w:color w:val="auto"/>
          <w:highlight w:val="none"/>
        </w:rPr>
        <w:tab/>
      </w:r>
      <w:r>
        <w:rPr>
          <w:color w:val="auto"/>
          <w:highlight w:val="none"/>
        </w:rPr>
        <w:fldChar w:fldCharType="begin"/>
      </w:r>
      <w:r>
        <w:rPr>
          <w:color w:val="auto"/>
          <w:highlight w:val="none"/>
        </w:rPr>
        <w:instrText xml:space="preserve"> PAGEREF _Toc607 </w:instrText>
      </w:r>
      <w:r>
        <w:rPr>
          <w:color w:val="auto"/>
          <w:highlight w:val="none"/>
        </w:rPr>
        <w:fldChar w:fldCharType="separate"/>
      </w:r>
      <w:r>
        <w:rPr>
          <w:color w:val="auto"/>
          <w:highlight w:val="none"/>
        </w:rPr>
        <w:t>6</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_Toc8258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2.1 </w:t>
      </w:r>
      <w:r>
        <w:rPr>
          <w:rFonts w:hint="eastAsia" w:ascii="仿宋" w:hAnsi="仿宋" w:eastAsia="仿宋" w:cs="仿宋"/>
          <w:color w:val="auto"/>
          <w:szCs w:val="24"/>
          <w:highlight w:val="none"/>
        </w:rPr>
        <w:t>监理的范围和工作内容</w:t>
      </w:r>
      <w:r>
        <w:rPr>
          <w:color w:val="auto"/>
          <w:highlight w:val="none"/>
        </w:rPr>
        <w:tab/>
      </w:r>
      <w:r>
        <w:rPr>
          <w:color w:val="auto"/>
          <w:highlight w:val="none"/>
        </w:rPr>
        <w:fldChar w:fldCharType="begin"/>
      </w:r>
      <w:r>
        <w:rPr>
          <w:color w:val="auto"/>
          <w:highlight w:val="none"/>
        </w:rPr>
        <w:instrText xml:space="preserve"> PAGEREF _Toc8258 </w:instrText>
      </w:r>
      <w:r>
        <w:rPr>
          <w:color w:val="auto"/>
          <w:highlight w:val="none"/>
        </w:rPr>
        <w:fldChar w:fldCharType="separate"/>
      </w:r>
      <w:r>
        <w:rPr>
          <w:color w:val="auto"/>
          <w:highlight w:val="none"/>
        </w:rPr>
        <w:t>6</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_Toc6308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2.2 </w:t>
      </w:r>
      <w:r>
        <w:rPr>
          <w:rFonts w:hint="eastAsia" w:ascii="仿宋" w:hAnsi="仿宋" w:eastAsia="仿宋" w:cs="仿宋"/>
          <w:color w:val="auto"/>
          <w:szCs w:val="24"/>
          <w:highlight w:val="none"/>
        </w:rPr>
        <w:t>监理与相关服务依据</w:t>
      </w:r>
      <w:r>
        <w:rPr>
          <w:color w:val="auto"/>
          <w:highlight w:val="none"/>
        </w:rPr>
        <w:tab/>
      </w:r>
      <w:r>
        <w:rPr>
          <w:color w:val="auto"/>
          <w:highlight w:val="none"/>
        </w:rPr>
        <w:fldChar w:fldCharType="begin"/>
      </w:r>
      <w:r>
        <w:rPr>
          <w:color w:val="auto"/>
          <w:highlight w:val="none"/>
        </w:rPr>
        <w:instrText xml:space="preserve"> PAGEREF _Toc6308 </w:instrText>
      </w:r>
      <w:r>
        <w:rPr>
          <w:color w:val="auto"/>
          <w:highlight w:val="none"/>
        </w:rPr>
        <w:fldChar w:fldCharType="separate"/>
      </w:r>
      <w:r>
        <w:rPr>
          <w:color w:val="auto"/>
          <w:highlight w:val="none"/>
        </w:rPr>
        <w:t>9</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_Toc24971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2.3 </w:t>
      </w:r>
      <w:r>
        <w:rPr>
          <w:rFonts w:hint="eastAsia" w:ascii="仿宋" w:hAnsi="仿宋" w:eastAsia="仿宋" w:cs="仿宋"/>
          <w:color w:val="auto"/>
          <w:szCs w:val="24"/>
          <w:highlight w:val="none"/>
        </w:rPr>
        <w:t>项目监理机构和人员</w:t>
      </w:r>
      <w:r>
        <w:rPr>
          <w:color w:val="auto"/>
          <w:highlight w:val="none"/>
        </w:rPr>
        <w:tab/>
      </w:r>
      <w:r>
        <w:rPr>
          <w:color w:val="auto"/>
          <w:highlight w:val="none"/>
        </w:rPr>
        <w:fldChar w:fldCharType="begin"/>
      </w:r>
      <w:r>
        <w:rPr>
          <w:color w:val="auto"/>
          <w:highlight w:val="none"/>
        </w:rPr>
        <w:instrText xml:space="preserve"> PAGEREF _Toc24971 </w:instrText>
      </w:r>
      <w:r>
        <w:rPr>
          <w:color w:val="auto"/>
          <w:highlight w:val="none"/>
        </w:rPr>
        <w:fldChar w:fldCharType="separate"/>
      </w:r>
      <w:r>
        <w:rPr>
          <w:color w:val="auto"/>
          <w:highlight w:val="none"/>
        </w:rPr>
        <w:t>9</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_Toc14373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2.4 </w:t>
      </w:r>
      <w:r>
        <w:rPr>
          <w:rFonts w:hint="eastAsia" w:ascii="仿宋" w:hAnsi="仿宋" w:eastAsia="仿宋" w:cs="仿宋"/>
          <w:color w:val="auto"/>
          <w:szCs w:val="24"/>
          <w:highlight w:val="none"/>
        </w:rPr>
        <w:t>履行职责</w:t>
      </w:r>
      <w:r>
        <w:rPr>
          <w:color w:val="auto"/>
          <w:highlight w:val="none"/>
        </w:rPr>
        <w:tab/>
      </w:r>
      <w:r>
        <w:rPr>
          <w:color w:val="auto"/>
          <w:highlight w:val="none"/>
        </w:rPr>
        <w:fldChar w:fldCharType="begin"/>
      </w:r>
      <w:r>
        <w:rPr>
          <w:color w:val="auto"/>
          <w:highlight w:val="none"/>
        </w:rPr>
        <w:instrText xml:space="preserve"> PAGEREF _Toc14373 </w:instrText>
      </w:r>
      <w:r>
        <w:rPr>
          <w:color w:val="auto"/>
          <w:highlight w:val="none"/>
        </w:rPr>
        <w:fldChar w:fldCharType="separate"/>
      </w:r>
      <w:r>
        <w:rPr>
          <w:color w:val="auto"/>
          <w:highlight w:val="none"/>
        </w:rPr>
        <w:t>10</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_Toc2586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2.5 </w:t>
      </w:r>
      <w:r>
        <w:rPr>
          <w:rFonts w:hint="eastAsia" w:ascii="仿宋" w:hAnsi="仿宋" w:eastAsia="仿宋" w:cs="仿宋"/>
          <w:color w:val="auto"/>
          <w:szCs w:val="24"/>
          <w:highlight w:val="none"/>
        </w:rPr>
        <w:t>提交报告</w:t>
      </w:r>
      <w:r>
        <w:rPr>
          <w:color w:val="auto"/>
          <w:highlight w:val="none"/>
        </w:rPr>
        <w:tab/>
      </w:r>
      <w:r>
        <w:rPr>
          <w:color w:val="auto"/>
          <w:highlight w:val="none"/>
        </w:rPr>
        <w:fldChar w:fldCharType="begin"/>
      </w:r>
      <w:r>
        <w:rPr>
          <w:color w:val="auto"/>
          <w:highlight w:val="none"/>
        </w:rPr>
        <w:instrText xml:space="preserve"> PAGEREF _Toc2586 </w:instrText>
      </w:r>
      <w:r>
        <w:rPr>
          <w:color w:val="auto"/>
          <w:highlight w:val="none"/>
        </w:rPr>
        <w:fldChar w:fldCharType="separate"/>
      </w:r>
      <w:r>
        <w:rPr>
          <w:color w:val="auto"/>
          <w:highlight w:val="none"/>
        </w:rPr>
        <w:t>11</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_Toc5599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2.6 </w:t>
      </w:r>
      <w:r>
        <w:rPr>
          <w:rFonts w:hint="eastAsia" w:ascii="仿宋" w:hAnsi="仿宋" w:eastAsia="仿宋" w:cs="仿宋"/>
          <w:color w:val="auto"/>
          <w:szCs w:val="24"/>
          <w:highlight w:val="none"/>
        </w:rPr>
        <w:t>文件资料</w:t>
      </w:r>
      <w:r>
        <w:rPr>
          <w:color w:val="auto"/>
          <w:highlight w:val="none"/>
        </w:rPr>
        <w:tab/>
      </w:r>
      <w:r>
        <w:rPr>
          <w:color w:val="auto"/>
          <w:highlight w:val="none"/>
        </w:rPr>
        <w:fldChar w:fldCharType="begin"/>
      </w:r>
      <w:r>
        <w:rPr>
          <w:color w:val="auto"/>
          <w:highlight w:val="none"/>
        </w:rPr>
        <w:instrText xml:space="preserve"> PAGEREF _Toc5599 </w:instrText>
      </w:r>
      <w:r>
        <w:rPr>
          <w:color w:val="auto"/>
          <w:highlight w:val="none"/>
        </w:rPr>
        <w:fldChar w:fldCharType="separate"/>
      </w:r>
      <w:r>
        <w:rPr>
          <w:color w:val="auto"/>
          <w:highlight w:val="none"/>
        </w:rPr>
        <w:t>11</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_Toc9429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2.7 </w:t>
      </w:r>
      <w:r>
        <w:rPr>
          <w:rFonts w:hint="eastAsia" w:ascii="仿宋" w:hAnsi="仿宋" w:eastAsia="仿宋" w:cs="仿宋"/>
          <w:color w:val="auto"/>
          <w:szCs w:val="24"/>
          <w:highlight w:val="none"/>
        </w:rPr>
        <w:t>使用委托人的财产</w:t>
      </w:r>
      <w:r>
        <w:rPr>
          <w:color w:val="auto"/>
          <w:highlight w:val="none"/>
        </w:rPr>
        <w:tab/>
      </w:r>
      <w:r>
        <w:rPr>
          <w:color w:val="auto"/>
          <w:highlight w:val="none"/>
        </w:rPr>
        <w:fldChar w:fldCharType="begin"/>
      </w:r>
      <w:r>
        <w:rPr>
          <w:color w:val="auto"/>
          <w:highlight w:val="none"/>
        </w:rPr>
        <w:instrText xml:space="preserve"> PAGEREF _Toc9429 </w:instrText>
      </w:r>
      <w:r>
        <w:rPr>
          <w:color w:val="auto"/>
          <w:highlight w:val="none"/>
        </w:rPr>
        <w:fldChar w:fldCharType="separate"/>
      </w:r>
      <w:r>
        <w:rPr>
          <w:color w:val="auto"/>
          <w:highlight w:val="none"/>
        </w:rPr>
        <w:t>11</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_Toc31639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2.8</w:t>
      </w:r>
      <w:r>
        <w:rPr>
          <w:rFonts w:hint="eastAsia" w:ascii="仿宋" w:hAnsi="仿宋" w:eastAsia="仿宋" w:cs="仿宋"/>
          <w:color w:val="auto"/>
          <w:szCs w:val="24"/>
          <w:highlight w:val="none"/>
        </w:rPr>
        <w:t>履约担保</w:t>
      </w:r>
      <w:r>
        <w:rPr>
          <w:color w:val="auto"/>
          <w:highlight w:val="none"/>
        </w:rPr>
        <w:tab/>
      </w:r>
      <w:r>
        <w:rPr>
          <w:color w:val="auto"/>
          <w:highlight w:val="none"/>
        </w:rPr>
        <w:fldChar w:fldCharType="begin"/>
      </w:r>
      <w:r>
        <w:rPr>
          <w:color w:val="auto"/>
          <w:highlight w:val="none"/>
        </w:rPr>
        <w:instrText xml:space="preserve"> PAGEREF _Toc31639 </w:instrText>
      </w:r>
      <w:r>
        <w:rPr>
          <w:color w:val="auto"/>
          <w:highlight w:val="none"/>
        </w:rPr>
        <w:fldChar w:fldCharType="separate"/>
      </w:r>
      <w:r>
        <w:rPr>
          <w:color w:val="auto"/>
          <w:highlight w:val="none"/>
        </w:rPr>
        <w:t>11</w:t>
      </w:r>
      <w:r>
        <w:rPr>
          <w:color w:val="auto"/>
          <w:highlight w:val="none"/>
        </w:rPr>
        <w:fldChar w:fldCharType="end"/>
      </w:r>
      <w:r>
        <w:rPr>
          <w:rFonts w:ascii="宋体" w:hAnsi="宋体" w:cs="华文中宋"/>
          <w:caps/>
          <w:color w:val="auto"/>
          <w:spacing w:val="80"/>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_Toc23826 </w:instrText>
      </w:r>
      <w:r>
        <w:rPr>
          <w:rFonts w:ascii="宋体" w:hAnsi="宋体" w:cs="华文中宋"/>
          <w:caps/>
          <w:color w:val="auto"/>
          <w:spacing w:val="80"/>
          <w:highlight w:val="none"/>
        </w:rPr>
        <w:fldChar w:fldCharType="separate"/>
      </w:r>
      <w:r>
        <w:rPr>
          <w:rFonts w:ascii="仿宋" w:hAnsi="仿宋" w:eastAsia="仿宋" w:cs="仿宋"/>
          <w:bCs/>
          <w:color w:val="auto"/>
          <w:szCs w:val="24"/>
          <w:highlight w:val="none"/>
        </w:rPr>
        <w:t>3</w:t>
      </w:r>
      <w:r>
        <w:rPr>
          <w:rFonts w:hint="eastAsia" w:ascii="仿宋" w:hAnsi="仿宋" w:eastAsia="仿宋" w:cs="仿宋"/>
          <w:bCs/>
          <w:color w:val="auto"/>
          <w:szCs w:val="24"/>
          <w:highlight w:val="none"/>
        </w:rPr>
        <w:t>．委托人的义务</w:t>
      </w:r>
      <w:r>
        <w:rPr>
          <w:color w:val="auto"/>
          <w:highlight w:val="none"/>
        </w:rPr>
        <w:tab/>
      </w:r>
      <w:r>
        <w:rPr>
          <w:color w:val="auto"/>
          <w:highlight w:val="none"/>
        </w:rPr>
        <w:fldChar w:fldCharType="begin"/>
      </w:r>
      <w:r>
        <w:rPr>
          <w:color w:val="auto"/>
          <w:highlight w:val="none"/>
        </w:rPr>
        <w:instrText xml:space="preserve"> PAGEREF _Toc23826 </w:instrText>
      </w:r>
      <w:r>
        <w:rPr>
          <w:color w:val="auto"/>
          <w:highlight w:val="none"/>
        </w:rPr>
        <w:fldChar w:fldCharType="separate"/>
      </w:r>
      <w:r>
        <w:rPr>
          <w:color w:val="auto"/>
          <w:highlight w:val="none"/>
        </w:rPr>
        <w:t>11</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_Toc30026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3.1 </w:t>
      </w:r>
      <w:r>
        <w:rPr>
          <w:rFonts w:hint="eastAsia" w:ascii="仿宋" w:hAnsi="仿宋" w:eastAsia="仿宋" w:cs="仿宋"/>
          <w:color w:val="auto"/>
          <w:szCs w:val="24"/>
          <w:highlight w:val="none"/>
        </w:rPr>
        <w:t>告知</w:t>
      </w:r>
      <w:r>
        <w:rPr>
          <w:color w:val="auto"/>
          <w:highlight w:val="none"/>
        </w:rPr>
        <w:tab/>
      </w:r>
      <w:r>
        <w:rPr>
          <w:color w:val="auto"/>
          <w:highlight w:val="none"/>
        </w:rPr>
        <w:fldChar w:fldCharType="begin"/>
      </w:r>
      <w:r>
        <w:rPr>
          <w:color w:val="auto"/>
          <w:highlight w:val="none"/>
        </w:rPr>
        <w:instrText xml:space="preserve"> PAGEREF _Toc30026 </w:instrText>
      </w:r>
      <w:r>
        <w:rPr>
          <w:color w:val="auto"/>
          <w:highlight w:val="none"/>
        </w:rPr>
        <w:fldChar w:fldCharType="separate"/>
      </w:r>
      <w:r>
        <w:rPr>
          <w:color w:val="auto"/>
          <w:highlight w:val="none"/>
        </w:rPr>
        <w:t>12</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_Toc27866 </w:instrText>
      </w:r>
      <w:r>
        <w:rPr>
          <w:rFonts w:ascii="宋体" w:hAnsi="宋体" w:cs="华文中宋"/>
          <w:caps/>
          <w:color w:val="auto"/>
          <w:spacing w:val="80"/>
          <w:highlight w:val="none"/>
        </w:rPr>
        <w:fldChar w:fldCharType="separate"/>
      </w:r>
      <w:r>
        <w:rPr>
          <w:rFonts w:hint="eastAsia" w:ascii="仿宋" w:hAnsi="仿宋" w:eastAsia="仿宋" w:cs="Arial Unicode MS"/>
          <w:bCs/>
          <w:color w:val="auto"/>
          <w:kern w:val="0"/>
          <w:szCs w:val="24"/>
          <w:highlight w:val="none"/>
        </w:rPr>
        <w:t>★</w:t>
      </w:r>
      <w:r>
        <w:rPr>
          <w:rFonts w:ascii="仿宋" w:hAnsi="仿宋" w:eastAsia="仿宋" w:cs="仿宋"/>
          <w:color w:val="auto"/>
          <w:szCs w:val="24"/>
          <w:highlight w:val="none"/>
        </w:rPr>
        <w:t xml:space="preserve">3.2 </w:t>
      </w:r>
      <w:r>
        <w:rPr>
          <w:rFonts w:hint="eastAsia" w:ascii="仿宋" w:hAnsi="仿宋" w:eastAsia="仿宋" w:cs="仿宋"/>
          <w:color w:val="auto"/>
          <w:szCs w:val="24"/>
          <w:highlight w:val="none"/>
        </w:rPr>
        <w:t>提供资料</w:t>
      </w:r>
      <w:r>
        <w:rPr>
          <w:color w:val="auto"/>
          <w:highlight w:val="none"/>
        </w:rPr>
        <w:tab/>
      </w:r>
      <w:r>
        <w:rPr>
          <w:color w:val="auto"/>
          <w:highlight w:val="none"/>
        </w:rPr>
        <w:fldChar w:fldCharType="begin"/>
      </w:r>
      <w:r>
        <w:rPr>
          <w:color w:val="auto"/>
          <w:highlight w:val="none"/>
        </w:rPr>
        <w:instrText xml:space="preserve"> PAGEREF _Toc27866 </w:instrText>
      </w:r>
      <w:r>
        <w:rPr>
          <w:color w:val="auto"/>
          <w:highlight w:val="none"/>
        </w:rPr>
        <w:fldChar w:fldCharType="separate"/>
      </w:r>
      <w:r>
        <w:rPr>
          <w:color w:val="auto"/>
          <w:highlight w:val="none"/>
        </w:rPr>
        <w:t>12</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_Toc8944 </w:instrText>
      </w:r>
      <w:r>
        <w:rPr>
          <w:rFonts w:ascii="宋体" w:hAnsi="宋体" w:cs="华文中宋"/>
          <w:caps/>
          <w:color w:val="auto"/>
          <w:spacing w:val="80"/>
          <w:highlight w:val="none"/>
        </w:rPr>
        <w:fldChar w:fldCharType="separate"/>
      </w:r>
      <w:r>
        <w:rPr>
          <w:rFonts w:hint="eastAsia" w:ascii="仿宋" w:hAnsi="仿宋" w:eastAsia="仿宋" w:cs="Arial Unicode MS"/>
          <w:bCs/>
          <w:color w:val="auto"/>
          <w:kern w:val="0"/>
          <w:szCs w:val="24"/>
          <w:highlight w:val="none"/>
        </w:rPr>
        <w:t>★</w:t>
      </w:r>
      <w:r>
        <w:rPr>
          <w:rFonts w:ascii="仿宋" w:hAnsi="仿宋" w:eastAsia="仿宋" w:cs="仿宋"/>
          <w:color w:val="auto"/>
          <w:szCs w:val="24"/>
          <w:highlight w:val="none"/>
        </w:rPr>
        <w:t xml:space="preserve">3.3 </w:t>
      </w:r>
      <w:r>
        <w:rPr>
          <w:rFonts w:hint="eastAsia" w:ascii="仿宋" w:hAnsi="仿宋" w:eastAsia="仿宋" w:cs="仿宋"/>
          <w:color w:val="auto"/>
          <w:szCs w:val="24"/>
          <w:highlight w:val="none"/>
        </w:rPr>
        <w:t>提供工作条件</w:t>
      </w:r>
      <w:r>
        <w:rPr>
          <w:color w:val="auto"/>
          <w:highlight w:val="none"/>
        </w:rPr>
        <w:tab/>
      </w:r>
      <w:r>
        <w:rPr>
          <w:color w:val="auto"/>
          <w:highlight w:val="none"/>
        </w:rPr>
        <w:fldChar w:fldCharType="begin"/>
      </w:r>
      <w:r>
        <w:rPr>
          <w:color w:val="auto"/>
          <w:highlight w:val="none"/>
        </w:rPr>
        <w:instrText xml:space="preserve"> PAGEREF _Toc8944 </w:instrText>
      </w:r>
      <w:r>
        <w:rPr>
          <w:color w:val="auto"/>
          <w:highlight w:val="none"/>
        </w:rPr>
        <w:fldChar w:fldCharType="separate"/>
      </w:r>
      <w:r>
        <w:rPr>
          <w:color w:val="auto"/>
          <w:highlight w:val="none"/>
        </w:rPr>
        <w:t>12</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_Toc21005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3.4 </w:t>
      </w:r>
      <w:r>
        <w:rPr>
          <w:rFonts w:hint="eastAsia" w:ascii="仿宋" w:hAnsi="仿宋" w:eastAsia="仿宋" w:cs="仿宋"/>
          <w:color w:val="auto"/>
          <w:szCs w:val="24"/>
          <w:highlight w:val="none"/>
        </w:rPr>
        <w:t>委托人代表</w:t>
      </w:r>
      <w:r>
        <w:rPr>
          <w:color w:val="auto"/>
          <w:highlight w:val="none"/>
        </w:rPr>
        <w:tab/>
      </w:r>
      <w:r>
        <w:rPr>
          <w:color w:val="auto"/>
          <w:highlight w:val="none"/>
        </w:rPr>
        <w:fldChar w:fldCharType="begin"/>
      </w:r>
      <w:r>
        <w:rPr>
          <w:color w:val="auto"/>
          <w:highlight w:val="none"/>
        </w:rPr>
        <w:instrText xml:space="preserve"> PAGEREF _Toc21005 </w:instrText>
      </w:r>
      <w:r>
        <w:rPr>
          <w:color w:val="auto"/>
          <w:highlight w:val="none"/>
        </w:rPr>
        <w:fldChar w:fldCharType="separate"/>
      </w:r>
      <w:r>
        <w:rPr>
          <w:color w:val="auto"/>
          <w:highlight w:val="none"/>
        </w:rPr>
        <w:t>12</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_Toc6541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3.5 </w:t>
      </w:r>
      <w:r>
        <w:rPr>
          <w:rFonts w:hint="eastAsia" w:ascii="仿宋" w:hAnsi="仿宋" w:eastAsia="仿宋" w:cs="仿宋"/>
          <w:color w:val="auto"/>
          <w:szCs w:val="24"/>
          <w:highlight w:val="none"/>
        </w:rPr>
        <w:t>委托人意见或要求</w:t>
      </w:r>
      <w:r>
        <w:rPr>
          <w:color w:val="auto"/>
          <w:highlight w:val="none"/>
        </w:rPr>
        <w:tab/>
      </w:r>
      <w:r>
        <w:rPr>
          <w:color w:val="auto"/>
          <w:highlight w:val="none"/>
        </w:rPr>
        <w:fldChar w:fldCharType="begin"/>
      </w:r>
      <w:r>
        <w:rPr>
          <w:color w:val="auto"/>
          <w:highlight w:val="none"/>
        </w:rPr>
        <w:instrText xml:space="preserve"> PAGEREF _Toc6541 </w:instrText>
      </w:r>
      <w:r>
        <w:rPr>
          <w:color w:val="auto"/>
          <w:highlight w:val="none"/>
        </w:rPr>
        <w:fldChar w:fldCharType="separate"/>
      </w:r>
      <w:r>
        <w:rPr>
          <w:color w:val="auto"/>
          <w:highlight w:val="none"/>
        </w:rPr>
        <w:t>12</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_Toc10679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3.6 </w:t>
      </w:r>
      <w:r>
        <w:rPr>
          <w:rFonts w:hint="eastAsia" w:ascii="仿宋" w:hAnsi="仿宋" w:eastAsia="仿宋" w:cs="仿宋"/>
          <w:color w:val="auto"/>
          <w:szCs w:val="24"/>
          <w:highlight w:val="none"/>
        </w:rPr>
        <w:t>答复</w:t>
      </w:r>
      <w:r>
        <w:rPr>
          <w:color w:val="auto"/>
          <w:highlight w:val="none"/>
        </w:rPr>
        <w:tab/>
      </w:r>
      <w:r>
        <w:rPr>
          <w:color w:val="auto"/>
          <w:highlight w:val="none"/>
        </w:rPr>
        <w:fldChar w:fldCharType="begin"/>
      </w:r>
      <w:r>
        <w:rPr>
          <w:color w:val="auto"/>
          <w:highlight w:val="none"/>
        </w:rPr>
        <w:instrText xml:space="preserve"> PAGEREF _Toc10679 </w:instrText>
      </w:r>
      <w:r>
        <w:rPr>
          <w:color w:val="auto"/>
          <w:highlight w:val="none"/>
        </w:rPr>
        <w:fldChar w:fldCharType="separate"/>
      </w:r>
      <w:r>
        <w:rPr>
          <w:color w:val="auto"/>
          <w:highlight w:val="none"/>
        </w:rPr>
        <w:t>12</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_Toc21931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3.7 </w:t>
      </w:r>
      <w:r>
        <w:rPr>
          <w:rFonts w:hint="eastAsia" w:ascii="仿宋" w:hAnsi="仿宋" w:eastAsia="仿宋" w:cs="仿宋"/>
          <w:color w:val="auto"/>
          <w:szCs w:val="24"/>
          <w:highlight w:val="none"/>
        </w:rPr>
        <w:t>支付</w:t>
      </w:r>
      <w:r>
        <w:rPr>
          <w:color w:val="auto"/>
          <w:highlight w:val="none"/>
        </w:rPr>
        <w:tab/>
      </w:r>
      <w:r>
        <w:rPr>
          <w:color w:val="auto"/>
          <w:highlight w:val="none"/>
        </w:rPr>
        <w:fldChar w:fldCharType="begin"/>
      </w:r>
      <w:r>
        <w:rPr>
          <w:color w:val="auto"/>
          <w:highlight w:val="none"/>
        </w:rPr>
        <w:instrText xml:space="preserve"> PAGEREF _Toc21931 </w:instrText>
      </w:r>
      <w:r>
        <w:rPr>
          <w:color w:val="auto"/>
          <w:highlight w:val="none"/>
        </w:rPr>
        <w:fldChar w:fldCharType="separate"/>
      </w:r>
      <w:r>
        <w:rPr>
          <w:color w:val="auto"/>
          <w:highlight w:val="none"/>
        </w:rPr>
        <w:t>13</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_Toc4778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3.8  </w:t>
      </w:r>
      <w:r>
        <w:rPr>
          <w:rFonts w:hint="eastAsia" w:ascii="仿宋" w:hAnsi="仿宋" w:eastAsia="仿宋" w:cs="仿宋"/>
          <w:color w:val="auto"/>
          <w:szCs w:val="24"/>
          <w:highlight w:val="none"/>
        </w:rPr>
        <w:t>支付担保</w:t>
      </w:r>
      <w:r>
        <w:rPr>
          <w:color w:val="auto"/>
          <w:highlight w:val="none"/>
        </w:rPr>
        <w:tab/>
      </w:r>
      <w:r>
        <w:rPr>
          <w:color w:val="auto"/>
          <w:highlight w:val="none"/>
        </w:rPr>
        <w:fldChar w:fldCharType="begin"/>
      </w:r>
      <w:r>
        <w:rPr>
          <w:color w:val="auto"/>
          <w:highlight w:val="none"/>
        </w:rPr>
        <w:instrText xml:space="preserve"> PAGEREF _Toc4778 </w:instrText>
      </w:r>
      <w:r>
        <w:rPr>
          <w:color w:val="auto"/>
          <w:highlight w:val="none"/>
        </w:rPr>
        <w:fldChar w:fldCharType="separate"/>
      </w:r>
      <w:r>
        <w:rPr>
          <w:color w:val="auto"/>
          <w:highlight w:val="none"/>
        </w:rPr>
        <w:t>13</w:t>
      </w:r>
      <w:r>
        <w:rPr>
          <w:color w:val="auto"/>
          <w:highlight w:val="none"/>
        </w:rPr>
        <w:fldChar w:fldCharType="end"/>
      </w:r>
      <w:r>
        <w:rPr>
          <w:rFonts w:ascii="宋体" w:hAnsi="宋体" w:cs="华文中宋"/>
          <w:caps/>
          <w:color w:val="auto"/>
          <w:spacing w:val="80"/>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_Toc18544 </w:instrText>
      </w:r>
      <w:r>
        <w:rPr>
          <w:rFonts w:ascii="宋体" w:hAnsi="宋体" w:cs="华文中宋"/>
          <w:caps/>
          <w:color w:val="auto"/>
          <w:spacing w:val="80"/>
          <w:highlight w:val="none"/>
        </w:rPr>
        <w:fldChar w:fldCharType="separate"/>
      </w:r>
      <w:r>
        <w:rPr>
          <w:rFonts w:ascii="仿宋" w:hAnsi="仿宋" w:eastAsia="仿宋" w:cs="仿宋"/>
          <w:bCs/>
          <w:color w:val="auto"/>
          <w:szCs w:val="24"/>
          <w:highlight w:val="none"/>
        </w:rPr>
        <w:t xml:space="preserve">4. </w:t>
      </w:r>
      <w:r>
        <w:rPr>
          <w:rFonts w:hint="eastAsia" w:ascii="仿宋" w:hAnsi="仿宋" w:eastAsia="仿宋" w:cs="仿宋"/>
          <w:bCs/>
          <w:color w:val="auto"/>
          <w:szCs w:val="24"/>
          <w:highlight w:val="none"/>
        </w:rPr>
        <w:t>违约责任</w:t>
      </w:r>
      <w:r>
        <w:rPr>
          <w:color w:val="auto"/>
          <w:highlight w:val="none"/>
        </w:rPr>
        <w:tab/>
      </w:r>
      <w:r>
        <w:rPr>
          <w:color w:val="auto"/>
          <w:highlight w:val="none"/>
        </w:rPr>
        <w:fldChar w:fldCharType="begin"/>
      </w:r>
      <w:r>
        <w:rPr>
          <w:color w:val="auto"/>
          <w:highlight w:val="none"/>
        </w:rPr>
        <w:instrText xml:space="preserve"> PAGEREF _Toc18544 </w:instrText>
      </w:r>
      <w:r>
        <w:rPr>
          <w:color w:val="auto"/>
          <w:highlight w:val="none"/>
        </w:rPr>
        <w:fldChar w:fldCharType="separate"/>
      </w:r>
      <w:r>
        <w:rPr>
          <w:color w:val="auto"/>
          <w:highlight w:val="none"/>
        </w:rPr>
        <w:t>13</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_Toc13709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4.1 </w:t>
      </w:r>
      <w:r>
        <w:rPr>
          <w:rFonts w:hint="eastAsia" w:ascii="仿宋" w:hAnsi="仿宋" w:eastAsia="仿宋" w:cs="仿宋"/>
          <w:color w:val="auto"/>
          <w:szCs w:val="24"/>
          <w:highlight w:val="none"/>
        </w:rPr>
        <w:t>监理人的违约责任</w:t>
      </w:r>
      <w:r>
        <w:rPr>
          <w:color w:val="auto"/>
          <w:highlight w:val="none"/>
        </w:rPr>
        <w:tab/>
      </w:r>
      <w:r>
        <w:rPr>
          <w:color w:val="auto"/>
          <w:highlight w:val="none"/>
        </w:rPr>
        <w:fldChar w:fldCharType="begin"/>
      </w:r>
      <w:r>
        <w:rPr>
          <w:color w:val="auto"/>
          <w:highlight w:val="none"/>
        </w:rPr>
        <w:instrText xml:space="preserve"> PAGEREF _Toc13709 </w:instrText>
      </w:r>
      <w:r>
        <w:rPr>
          <w:color w:val="auto"/>
          <w:highlight w:val="none"/>
        </w:rPr>
        <w:fldChar w:fldCharType="separate"/>
      </w:r>
      <w:r>
        <w:rPr>
          <w:color w:val="auto"/>
          <w:highlight w:val="none"/>
        </w:rPr>
        <w:t>13</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_Toc26781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4.2 </w:t>
      </w:r>
      <w:r>
        <w:rPr>
          <w:rFonts w:hint="eastAsia" w:ascii="仿宋" w:hAnsi="仿宋" w:eastAsia="仿宋" w:cs="仿宋"/>
          <w:color w:val="auto"/>
          <w:szCs w:val="24"/>
          <w:highlight w:val="none"/>
        </w:rPr>
        <w:t>委托人的违约责任</w:t>
      </w:r>
      <w:r>
        <w:rPr>
          <w:color w:val="auto"/>
          <w:highlight w:val="none"/>
        </w:rPr>
        <w:tab/>
      </w:r>
      <w:r>
        <w:rPr>
          <w:color w:val="auto"/>
          <w:highlight w:val="none"/>
        </w:rPr>
        <w:fldChar w:fldCharType="begin"/>
      </w:r>
      <w:r>
        <w:rPr>
          <w:color w:val="auto"/>
          <w:highlight w:val="none"/>
        </w:rPr>
        <w:instrText xml:space="preserve"> PAGEREF _Toc26781 </w:instrText>
      </w:r>
      <w:r>
        <w:rPr>
          <w:color w:val="auto"/>
          <w:highlight w:val="none"/>
        </w:rPr>
        <w:fldChar w:fldCharType="separate"/>
      </w:r>
      <w:r>
        <w:rPr>
          <w:color w:val="auto"/>
          <w:highlight w:val="none"/>
        </w:rPr>
        <w:t>13</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_Toc12072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4.3 </w:t>
      </w:r>
      <w:r>
        <w:rPr>
          <w:rFonts w:hint="eastAsia" w:ascii="仿宋" w:hAnsi="仿宋" w:eastAsia="仿宋" w:cs="仿宋"/>
          <w:color w:val="auto"/>
          <w:szCs w:val="24"/>
          <w:highlight w:val="none"/>
        </w:rPr>
        <w:t>除外责任</w:t>
      </w:r>
      <w:r>
        <w:rPr>
          <w:color w:val="auto"/>
          <w:highlight w:val="none"/>
        </w:rPr>
        <w:tab/>
      </w:r>
      <w:r>
        <w:rPr>
          <w:color w:val="auto"/>
          <w:highlight w:val="none"/>
        </w:rPr>
        <w:fldChar w:fldCharType="begin"/>
      </w:r>
      <w:r>
        <w:rPr>
          <w:color w:val="auto"/>
          <w:highlight w:val="none"/>
        </w:rPr>
        <w:instrText xml:space="preserve"> PAGEREF _Toc12072 </w:instrText>
      </w:r>
      <w:r>
        <w:rPr>
          <w:color w:val="auto"/>
          <w:highlight w:val="none"/>
        </w:rPr>
        <w:fldChar w:fldCharType="separate"/>
      </w:r>
      <w:r>
        <w:rPr>
          <w:color w:val="auto"/>
          <w:highlight w:val="none"/>
        </w:rPr>
        <w:t>14</w:t>
      </w:r>
      <w:r>
        <w:rPr>
          <w:color w:val="auto"/>
          <w:highlight w:val="none"/>
        </w:rPr>
        <w:fldChar w:fldCharType="end"/>
      </w:r>
      <w:r>
        <w:rPr>
          <w:rFonts w:ascii="宋体" w:hAnsi="宋体" w:cs="华文中宋"/>
          <w:caps/>
          <w:color w:val="auto"/>
          <w:spacing w:val="80"/>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_Toc3972 </w:instrText>
      </w:r>
      <w:r>
        <w:rPr>
          <w:rFonts w:ascii="宋体" w:hAnsi="宋体" w:cs="华文中宋"/>
          <w:caps/>
          <w:color w:val="auto"/>
          <w:spacing w:val="80"/>
          <w:highlight w:val="none"/>
        </w:rPr>
        <w:fldChar w:fldCharType="separate"/>
      </w:r>
      <w:r>
        <w:rPr>
          <w:rFonts w:hint="eastAsia" w:ascii="仿宋" w:hAnsi="仿宋" w:eastAsia="仿宋" w:cs="Arial Unicode MS"/>
          <w:bCs/>
          <w:color w:val="auto"/>
          <w:kern w:val="0"/>
          <w:szCs w:val="24"/>
          <w:highlight w:val="none"/>
        </w:rPr>
        <w:t>★</w:t>
      </w:r>
      <w:r>
        <w:rPr>
          <w:rFonts w:ascii="仿宋" w:hAnsi="仿宋" w:eastAsia="仿宋" w:cs="仿宋"/>
          <w:bCs/>
          <w:color w:val="auto"/>
          <w:szCs w:val="24"/>
          <w:highlight w:val="none"/>
        </w:rPr>
        <w:t xml:space="preserve">5. </w:t>
      </w:r>
      <w:r>
        <w:rPr>
          <w:rFonts w:hint="eastAsia" w:ascii="仿宋" w:hAnsi="仿宋" w:eastAsia="仿宋" w:cs="仿宋"/>
          <w:bCs/>
          <w:color w:val="auto"/>
          <w:szCs w:val="24"/>
          <w:highlight w:val="none"/>
        </w:rPr>
        <w:t>支付</w:t>
      </w:r>
      <w:r>
        <w:rPr>
          <w:color w:val="auto"/>
          <w:highlight w:val="none"/>
        </w:rPr>
        <w:tab/>
      </w:r>
      <w:r>
        <w:rPr>
          <w:color w:val="auto"/>
          <w:highlight w:val="none"/>
        </w:rPr>
        <w:fldChar w:fldCharType="begin"/>
      </w:r>
      <w:r>
        <w:rPr>
          <w:color w:val="auto"/>
          <w:highlight w:val="none"/>
        </w:rPr>
        <w:instrText xml:space="preserve"> PAGEREF _Toc3972 </w:instrText>
      </w:r>
      <w:r>
        <w:rPr>
          <w:color w:val="auto"/>
          <w:highlight w:val="none"/>
        </w:rPr>
        <w:fldChar w:fldCharType="separate"/>
      </w:r>
      <w:r>
        <w:rPr>
          <w:color w:val="auto"/>
          <w:highlight w:val="none"/>
        </w:rPr>
        <w:t>14</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_Toc6373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5.1 </w:t>
      </w:r>
      <w:r>
        <w:rPr>
          <w:rFonts w:hint="eastAsia" w:ascii="仿宋" w:hAnsi="仿宋" w:eastAsia="仿宋" w:cs="仿宋"/>
          <w:color w:val="auto"/>
          <w:szCs w:val="24"/>
          <w:highlight w:val="none"/>
        </w:rPr>
        <w:t>支付货币</w:t>
      </w:r>
      <w:r>
        <w:rPr>
          <w:color w:val="auto"/>
          <w:highlight w:val="none"/>
        </w:rPr>
        <w:tab/>
      </w:r>
      <w:r>
        <w:rPr>
          <w:color w:val="auto"/>
          <w:highlight w:val="none"/>
        </w:rPr>
        <w:fldChar w:fldCharType="begin"/>
      </w:r>
      <w:r>
        <w:rPr>
          <w:color w:val="auto"/>
          <w:highlight w:val="none"/>
        </w:rPr>
        <w:instrText xml:space="preserve"> PAGEREF _Toc6373 </w:instrText>
      </w:r>
      <w:r>
        <w:rPr>
          <w:color w:val="auto"/>
          <w:highlight w:val="none"/>
        </w:rPr>
        <w:fldChar w:fldCharType="separate"/>
      </w:r>
      <w:r>
        <w:rPr>
          <w:color w:val="auto"/>
          <w:highlight w:val="none"/>
        </w:rPr>
        <w:t>14</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_Toc27158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5.2 </w:t>
      </w:r>
      <w:r>
        <w:rPr>
          <w:rFonts w:hint="eastAsia" w:ascii="仿宋" w:hAnsi="仿宋" w:eastAsia="仿宋" w:cs="仿宋"/>
          <w:color w:val="auto"/>
          <w:szCs w:val="24"/>
          <w:highlight w:val="none"/>
        </w:rPr>
        <w:t>支付申请</w:t>
      </w:r>
      <w:r>
        <w:rPr>
          <w:color w:val="auto"/>
          <w:highlight w:val="none"/>
        </w:rPr>
        <w:tab/>
      </w:r>
      <w:r>
        <w:rPr>
          <w:color w:val="auto"/>
          <w:highlight w:val="none"/>
        </w:rPr>
        <w:fldChar w:fldCharType="begin"/>
      </w:r>
      <w:r>
        <w:rPr>
          <w:color w:val="auto"/>
          <w:highlight w:val="none"/>
        </w:rPr>
        <w:instrText xml:space="preserve"> PAGEREF _Toc27158 </w:instrText>
      </w:r>
      <w:r>
        <w:rPr>
          <w:color w:val="auto"/>
          <w:highlight w:val="none"/>
        </w:rPr>
        <w:fldChar w:fldCharType="separate"/>
      </w:r>
      <w:r>
        <w:rPr>
          <w:color w:val="auto"/>
          <w:highlight w:val="none"/>
        </w:rPr>
        <w:t>14</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_Toc10354 </w:instrText>
      </w:r>
      <w:r>
        <w:rPr>
          <w:rFonts w:ascii="宋体" w:hAnsi="宋体" w:cs="华文中宋"/>
          <w:caps/>
          <w:color w:val="auto"/>
          <w:spacing w:val="80"/>
          <w:highlight w:val="none"/>
        </w:rPr>
        <w:fldChar w:fldCharType="separate"/>
      </w:r>
      <w:r>
        <w:rPr>
          <w:rFonts w:hint="eastAsia" w:ascii="仿宋" w:hAnsi="仿宋" w:eastAsia="仿宋" w:cs="Arial Unicode MS"/>
          <w:bCs/>
          <w:color w:val="auto"/>
          <w:kern w:val="0"/>
          <w:szCs w:val="24"/>
          <w:highlight w:val="none"/>
        </w:rPr>
        <w:t>★</w:t>
      </w:r>
      <w:r>
        <w:rPr>
          <w:rFonts w:ascii="仿宋" w:hAnsi="仿宋" w:eastAsia="仿宋" w:cs="仿宋"/>
          <w:color w:val="auto"/>
          <w:szCs w:val="24"/>
          <w:highlight w:val="none"/>
        </w:rPr>
        <w:t xml:space="preserve">5.3 </w:t>
      </w:r>
      <w:r>
        <w:rPr>
          <w:rFonts w:hint="eastAsia" w:ascii="仿宋" w:hAnsi="仿宋" w:eastAsia="仿宋" w:cs="仿宋"/>
          <w:color w:val="auto"/>
          <w:szCs w:val="24"/>
          <w:highlight w:val="none"/>
        </w:rPr>
        <w:t>支付酬金</w:t>
      </w:r>
      <w:r>
        <w:rPr>
          <w:color w:val="auto"/>
          <w:highlight w:val="none"/>
        </w:rPr>
        <w:tab/>
      </w:r>
      <w:r>
        <w:rPr>
          <w:color w:val="auto"/>
          <w:highlight w:val="none"/>
        </w:rPr>
        <w:fldChar w:fldCharType="begin"/>
      </w:r>
      <w:r>
        <w:rPr>
          <w:color w:val="auto"/>
          <w:highlight w:val="none"/>
        </w:rPr>
        <w:instrText xml:space="preserve"> PAGEREF _Toc10354 </w:instrText>
      </w:r>
      <w:r>
        <w:rPr>
          <w:color w:val="auto"/>
          <w:highlight w:val="none"/>
        </w:rPr>
        <w:fldChar w:fldCharType="separate"/>
      </w:r>
      <w:r>
        <w:rPr>
          <w:color w:val="auto"/>
          <w:highlight w:val="none"/>
        </w:rPr>
        <w:t>14</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_Toc10692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5.4 </w:t>
      </w:r>
      <w:r>
        <w:rPr>
          <w:rFonts w:hint="eastAsia" w:ascii="仿宋" w:hAnsi="仿宋" w:eastAsia="仿宋" w:cs="仿宋"/>
          <w:color w:val="auto"/>
          <w:szCs w:val="24"/>
          <w:highlight w:val="none"/>
        </w:rPr>
        <w:t>有争议部分的付款</w:t>
      </w:r>
      <w:r>
        <w:rPr>
          <w:color w:val="auto"/>
          <w:highlight w:val="none"/>
        </w:rPr>
        <w:tab/>
      </w:r>
      <w:r>
        <w:rPr>
          <w:color w:val="auto"/>
          <w:highlight w:val="none"/>
        </w:rPr>
        <w:fldChar w:fldCharType="begin"/>
      </w:r>
      <w:r>
        <w:rPr>
          <w:color w:val="auto"/>
          <w:highlight w:val="none"/>
        </w:rPr>
        <w:instrText xml:space="preserve"> PAGEREF _Toc10692 </w:instrText>
      </w:r>
      <w:r>
        <w:rPr>
          <w:color w:val="auto"/>
          <w:highlight w:val="none"/>
        </w:rPr>
        <w:fldChar w:fldCharType="separate"/>
      </w:r>
      <w:r>
        <w:rPr>
          <w:color w:val="auto"/>
          <w:highlight w:val="none"/>
        </w:rPr>
        <w:t>14</w:t>
      </w:r>
      <w:r>
        <w:rPr>
          <w:color w:val="auto"/>
          <w:highlight w:val="none"/>
        </w:rPr>
        <w:fldChar w:fldCharType="end"/>
      </w:r>
      <w:r>
        <w:rPr>
          <w:rFonts w:ascii="宋体" w:hAnsi="宋体" w:cs="华文中宋"/>
          <w:caps/>
          <w:color w:val="auto"/>
          <w:spacing w:val="80"/>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_Toc14867 </w:instrText>
      </w:r>
      <w:r>
        <w:rPr>
          <w:rFonts w:ascii="宋体" w:hAnsi="宋体" w:cs="华文中宋"/>
          <w:caps/>
          <w:color w:val="auto"/>
          <w:spacing w:val="80"/>
          <w:highlight w:val="none"/>
        </w:rPr>
        <w:fldChar w:fldCharType="separate"/>
      </w:r>
      <w:r>
        <w:rPr>
          <w:rFonts w:ascii="仿宋" w:hAnsi="仿宋" w:eastAsia="仿宋" w:cs="仿宋"/>
          <w:bCs/>
          <w:color w:val="auto"/>
          <w:szCs w:val="24"/>
          <w:highlight w:val="none"/>
        </w:rPr>
        <w:t xml:space="preserve">6. </w:t>
      </w:r>
      <w:r>
        <w:rPr>
          <w:rFonts w:hint="eastAsia" w:ascii="仿宋" w:hAnsi="仿宋" w:eastAsia="仿宋" w:cs="仿宋"/>
          <w:bCs/>
          <w:color w:val="auto"/>
          <w:szCs w:val="24"/>
          <w:highlight w:val="none"/>
        </w:rPr>
        <w:t>合同生效、变更、暂停、解除与终止</w:t>
      </w:r>
      <w:r>
        <w:rPr>
          <w:color w:val="auto"/>
          <w:highlight w:val="none"/>
        </w:rPr>
        <w:tab/>
      </w:r>
      <w:r>
        <w:rPr>
          <w:color w:val="auto"/>
          <w:highlight w:val="none"/>
        </w:rPr>
        <w:fldChar w:fldCharType="begin"/>
      </w:r>
      <w:r>
        <w:rPr>
          <w:color w:val="auto"/>
          <w:highlight w:val="none"/>
        </w:rPr>
        <w:instrText xml:space="preserve"> PAGEREF _Toc14867 </w:instrText>
      </w:r>
      <w:r>
        <w:rPr>
          <w:color w:val="auto"/>
          <w:highlight w:val="none"/>
        </w:rPr>
        <w:fldChar w:fldCharType="separate"/>
      </w:r>
      <w:r>
        <w:rPr>
          <w:color w:val="auto"/>
          <w:highlight w:val="none"/>
        </w:rPr>
        <w:t>14</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_Toc12294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6.1</w:t>
      </w:r>
      <w:r>
        <w:rPr>
          <w:rFonts w:hint="eastAsia" w:ascii="仿宋" w:hAnsi="仿宋" w:eastAsia="仿宋" w:cs="仿宋"/>
          <w:color w:val="auto"/>
          <w:szCs w:val="24"/>
          <w:highlight w:val="none"/>
        </w:rPr>
        <w:t>生效</w:t>
      </w:r>
      <w:r>
        <w:rPr>
          <w:color w:val="auto"/>
          <w:highlight w:val="none"/>
        </w:rPr>
        <w:tab/>
      </w:r>
      <w:r>
        <w:rPr>
          <w:color w:val="auto"/>
          <w:highlight w:val="none"/>
        </w:rPr>
        <w:fldChar w:fldCharType="begin"/>
      </w:r>
      <w:r>
        <w:rPr>
          <w:color w:val="auto"/>
          <w:highlight w:val="none"/>
        </w:rPr>
        <w:instrText xml:space="preserve"> PAGEREF _Toc12294 </w:instrText>
      </w:r>
      <w:r>
        <w:rPr>
          <w:color w:val="auto"/>
          <w:highlight w:val="none"/>
        </w:rPr>
        <w:fldChar w:fldCharType="separate"/>
      </w:r>
      <w:r>
        <w:rPr>
          <w:color w:val="auto"/>
          <w:highlight w:val="none"/>
        </w:rPr>
        <w:t>15</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_Toc28282 </w:instrText>
      </w:r>
      <w:r>
        <w:rPr>
          <w:rFonts w:ascii="宋体" w:hAnsi="宋体" w:cs="华文中宋"/>
          <w:caps/>
          <w:color w:val="auto"/>
          <w:spacing w:val="80"/>
          <w:highlight w:val="none"/>
        </w:rPr>
        <w:fldChar w:fldCharType="separate"/>
      </w:r>
      <w:r>
        <w:rPr>
          <w:rFonts w:hint="eastAsia" w:ascii="仿宋" w:hAnsi="仿宋" w:eastAsia="仿宋" w:cs="Arial Unicode MS"/>
          <w:bCs/>
          <w:color w:val="auto"/>
          <w:kern w:val="0"/>
          <w:szCs w:val="24"/>
          <w:highlight w:val="none"/>
        </w:rPr>
        <w:t>★</w:t>
      </w:r>
      <w:r>
        <w:rPr>
          <w:rFonts w:ascii="仿宋" w:hAnsi="仿宋" w:eastAsia="仿宋" w:cs="仿宋"/>
          <w:color w:val="auto"/>
          <w:szCs w:val="24"/>
          <w:highlight w:val="none"/>
        </w:rPr>
        <w:t>6.2</w:t>
      </w:r>
      <w:r>
        <w:rPr>
          <w:rFonts w:hint="eastAsia" w:ascii="仿宋" w:hAnsi="仿宋" w:eastAsia="仿宋" w:cs="仿宋"/>
          <w:color w:val="auto"/>
          <w:szCs w:val="24"/>
          <w:highlight w:val="none"/>
        </w:rPr>
        <w:t>变更</w:t>
      </w:r>
      <w:r>
        <w:rPr>
          <w:color w:val="auto"/>
          <w:highlight w:val="none"/>
        </w:rPr>
        <w:tab/>
      </w:r>
      <w:r>
        <w:rPr>
          <w:color w:val="auto"/>
          <w:highlight w:val="none"/>
        </w:rPr>
        <w:fldChar w:fldCharType="begin"/>
      </w:r>
      <w:r>
        <w:rPr>
          <w:color w:val="auto"/>
          <w:highlight w:val="none"/>
        </w:rPr>
        <w:instrText xml:space="preserve"> PAGEREF _Toc28282 </w:instrText>
      </w:r>
      <w:r>
        <w:rPr>
          <w:color w:val="auto"/>
          <w:highlight w:val="none"/>
        </w:rPr>
        <w:fldChar w:fldCharType="separate"/>
      </w:r>
      <w:r>
        <w:rPr>
          <w:color w:val="auto"/>
          <w:highlight w:val="none"/>
        </w:rPr>
        <w:t>15</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_Toc21348 </w:instrText>
      </w:r>
      <w:r>
        <w:rPr>
          <w:rFonts w:ascii="宋体" w:hAnsi="宋体" w:cs="华文中宋"/>
          <w:caps/>
          <w:color w:val="auto"/>
          <w:spacing w:val="80"/>
          <w:highlight w:val="none"/>
        </w:rPr>
        <w:fldChar w:fldCharType="separate"/>
      </w:r>
      <w:r>
        <w:rPr>
          <w:rFonts w:hint="eastAsia" w:ascii="仿宋" w:hAnsi="仿宋" w:eastAsia="仿宋" w:cs="Arial Unicode MS"/>
          <w:bCs/>
          <w:color w:val="auto"/>
          <w:kern w:val="0"/>
          <w:szCs w:val="24"/>
          <w:highlight w:val="none"/>
        </w:rPr>
        <w:t>★</w:t>
      </w:r>
      <w:r>
        <w:rPr>
          <w:rFonts w:ascii="仿宋" w:hAnsi="仿宋" w:eastAsia="仿宋" w:cs="仿宋"/>
          <w:color w:val="auto"/>
          <w:szCs w:val="24"/>
          <w:highlight w:val="none"/>
        </w:rPr>
        <w:t xml:space="preserve">6.3 </w:t>
      </w:r>
      <w:r>
        <w:rPr>
          <w:rFonts w:hint="eastAsia" w:ascii="仿宋" w:hAnsi="仿宋" w:eastAsia="仿宋" w:cs="仿宋"/>
          <w:color w:val="auto"/>
          <w:szCs w:val="24"/>
          <w:highlight w:val="none"/>
        </w:rPr>
        <w:t>暂停与解除</w:t>
      </w:r>
      <w:r>
        <w:rPr>
          <w:color w:val="auto"/>
          <w:highlight w:val="none"/>
        </w:rPr>
        <w:tab/>
      </w:r>
      <w:r>
        <w:rPr>
          <w:color w:val="auto"/>
          <w:highlight w:val="none"/>
        </w:rPr>
        <w:fldChar w:fldCharType="begin"/>
      </w:r>
      <w:r>
        <w:rPr>
          <w:color w:val="auto"/>
          <w:highlight w:val="none"/>
        </w:rPr>
        <w:instrText xml:space="preserve"> PAGEREF _Toc21348 </w:instrText>
      </w:r>
      <w:r>
        <w:rPr>
          <w:color w:val="auto"/>
          <w:highlight w:val="none"/>
        </w:rPr>
        <w:fldChar w:fldCharType="separate"/>
      </w:r>
      <w:r>
        <w:rPr>
          <w:color w:val="auto"/>
          <w:highlight w:val="none"/>
        </w:rPr>
        <w:t>15</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_Toc71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6.4 </w:t>
      </w:r>
      <w:r>
        <w:rPr>
          <w:rFonts w:hint="eastAsia" w:ascii="仿宋" w:hAnsi="仿宋" w:eastAsia="仿宋" w:cs="仿宋"/>
          <w:color w:val="auto"/>
          <w:szCs w:val="24"/>
          <w:highlight w:val="none"/>
        </w:rPr>
        <w:t>终止</w:t>
      </w:r>
      <w:r>
        <w:rPr>
          <w:color w:val="auto"/>
          <w:highlight w:val="none"/>
        </w:rPr>
        <w:tab/>
      </w:r>
      <w:r>
        <w:rPr>
          <w:color w:val="auto"/>
          <w:highlight w:val="none"/>
        </w:rPr>
        <w:fldChar w:fldCharType="begin"/>
      </w:r>
      <w:r>
        <w:rPr>
          <w:color w:val="auto"/>
          <w:highlight w:val="none"/>
        </w:rPr>
        <w:instrText xml:space="preserve"> PAGEREF _Toc71 </w:instrText>
      </w:r>
      <w:r>
        <w:rPr>
          <w:color w:val="auto"/>
          <w:highlight w:val="none"/>
        </w:rPr>
        <w:fldChar w:fldCharType="separate"/>
      </w:r>
      <w:r>
        <w:rPr>
          <w:color w:val="auto"/>
          <w:highlight w:val="none"/>
        </w:rPr>
        <w:t>17</w:t>
      </w:r>
      <w:r>
        <w:rPr>
          <w:color w:val="auto"/>
          <w:highlight w:val="none"/>
        </w:rPr>
        <w:fldChar w:fldCharType="end"/>
      </w:r>
      <w:r>
        <w:rPr>
          <w:rFonts w:ascii="宋体" w:hAnsi="宋体" w:cs="华文中宋"/>
          <w:caps/>
          <w:color w:val="auto"/>
          <w:spacing w:val="80"/>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_Toc29031 </w:instrText>
      </w:r>
      <w:r>
        <w:rPr>
          <w:rFonts w:ascii="宋体" w:hAnsi="宋体" w:cs="华文中宋"/>
          <w:caps/>
          <w:color w:val="auto"/>
          <w:spacing w:val="80"/>
          <w:highlight w:val="none"/>
        </w:rPr>
        <w:fldChar w:fldCharType="separate"/>
      </w:r>
      <w:r>
        <w:rPr>
          <w:rFonts w:ascii="仿宋" w:hAnsi="仿宋" w:eastAsia="仿宋" w:cs="仿宋"/>
          <w:bCs/>
          <w:color w:val="auto"/>
          <w:szCs w:val="24"/>
          <w:highlight w:val="none"/>
        </w:rPr>
        <w:t xml:space="preserve">7. </w:t>
      </w:r>
      <w:r>
        <w:rPr>
          <w:rFonts w:hint="eastAsia" w:ascii="仿宋" w:hAnsi="仿宋" w:eastAsia="仿宋" w:cs="仿宋"/>
          <w:bCs/>
          <w:color w:val="auto"/>
          <w:szCs w:val="24"/>
          <w:highlight w:val="none"/>
        </w:rPr>
        <w:t>争议解决</w:t>
      </w:r>
      <w:r>
        <w:rPr>
          <w:color w:val="auto"/>
          <w:highlight w:val="none"/>
        </w:rPr>
        <w:tab/>
      </w:r>
      <w:r>
        <w:rPr>
          <w:color w:val="auto"/>
          <w:highlight w:val="none"/>
        </w:rPr>
        <w:fldChar w:fldCharType="begin"/>
      </w:r>
      <w:r>
        <w:rPr>
          <w:color w:val="auto"/>
          <w:highlight w:val="none"/>
        </w:rPr>
        <w:instrText xml:space="preserve"> PAGEREF _Toc29031 </w:instrText>
      </w:r>
      <w:r>
        <w:rPr>
          <w:color w:val="auto"/>
          <w:highlight w:val="none"/>
        </w:rPr>
        <w:fldChar w:fldCharType="separate"/>
      </w:r>
      <w:r>
        <w:rPr>
          <w:color w:val="auto"/>
          <w:highlight w:val="none"/>
        </w:rPr>
        <w:t>17</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_Toc22177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7.1</w:t>
      </w:r>
      <w:r>
        <w:rPr>
          <w:rFonts w:hint="eastAsia" w:ascii="仿宋" w:hAnsi="仿宋" w:eastAsia="仿宋" w:cs="仿宋"/>
          <w:color w:val="auto"/>
          <w:szCs w:val="24"/>
          <w:highlight w:val="none"/>
        </w:rPr>
        <w:t>协商</w:t>
      </w:r>
      <w:r>
        <w:rPr>
          <w:color w:val="auto"/>
          <w:highlight w:val="none"/>
        </w:rPr>
        <w:tab/>
      </w:r>
      <w:r>
        <w:rPr>
          <w:color w:val="auto"/>
          <w:highlight w:val="none"/>
        </w:rPr>
        <w:fldChar w:fldCharType="begin"/>
      </w:r>
      <w:r>
        <w:rPr>
          <w:color w:val="auto"/>
          <w:highlight w:val="none"/>
        </w:rPr>
        <w:instrText xml:space="preserve"> PAGEREF _Toc22177 </w:instrText>
      </w:r>
      <w:r>
        <w:rPr>
          <w:color w:val="auto"/>
          <w:highlight w:val="none"/>
        </w:rPr>
        <w:fldChar w:fldCharType="separate"/>
      </w:r>
      <w:r>
        <w:rPr>
          <w:color w:val="auto"/>
          <w:highlight w:val="none"/>
        </w:rPr>
        <w:t>17</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_Toc23891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7.2</w:t>
      </w:r>
      <w:r>
        <w:rPr>
          <w:rFonts w:hint="eastAsia" w:ascii="仿宋" w:hAnsi="仿宋" w:eastAsia="仿宋" w:cs="仿宋"/>
          <w:color w:val="auto"/>
          <w:szCs w:val="24"/>
          <w:highlight w:val="none"/>
        </w:rPr>
        <w:t>调解</w:t>
      </w:r>
      <w:r>
        <w:rPr>
          <w:color w:val="auto"/>
          <w:highlight w:val="none"/>
        </w:rPr>
        <w:tab/>
      </w:r>
      <w:r>
        <w:rPr>
          <w:color w:val="auto"/>
          <w:highlight w:val="none"/>
        </w:rPr>
        <w:fldChar w:fldCharType="begin"/>
      </w:r>
      <w:r>
        <w:rPr>
          <w:color w:val="auto"/>
          <w:highlight w:val="none"/>
        </w:rPr>
        <w:instrText xml:space="preserve"> PAGEREF _Toc23891 </w:instrText>
      </w:r>
      <w:r>
        <w:rPr>
          <w:color w:val="auto"/>
          <w:highlight w:val="none"/>
        </w:rPr>
        <w:fldChar w:fldCharType="separate"/>
      </w:r>
      <w:r>
        <w:rPr>
          <w:color w:val="auto"/>
          <w:highlight w:val="none"/>
        </w:rPr>
        <w:t>17</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_Toc17803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7.3</w:t>
      </w:r>
      <w:r>
        <w:rPr>
          <w:rFonts w:hint="eastAsia" w:ascii="仿宋" w:hAnsi="仿宋" w:eastAsia="仿宋" w:cs="仿宋"/>
          <w:color w:val="auto"/>
          <w:szCs w:val="24"/>
          <w:highlight w:val="none"/>
        </w:rPr>
        <w:t>仲裁或诉讼</w:t>
      </w:r>
      <w:r>
        <w:rPr>
          <w:color w:val="auto"/>
          <w:highlight w:val="none"/>
        </w:rPr>
        <w:tab/>
      </w:r>
      <w:r>
        <w:rPr>
          <w:color w:val="auto"/>
          <w:highlight w:val="none"/>
        </w:rPr>
        <w:fldChar w:fldCharType="begin"/>
      </w:r>
      <w:r>
        <w:rPr>
          <w:color w:val="auto"/>
          <w:highlight w:val="none"/>
        </w:rPr>
        <w:instrText xml:space="preserve"> PAGEREF _Toc17803 </w:instrText>
      </w:r>
      <w:r>
        <w:rPr>
          <w:color w:val="auto"/>
          <w:highlight w:val="none"/>
        </w:rPr>
        <w:fldChar w:fldCharType="separate"/>
      </w:r>
      <w:r>
        <w:rPr>
          <w:color w:val="auto"/>
          <w:highlight w:val="none"/>
        </w:rPr>
        <w:t>17</w:t>
      </w:r>
      <w:r>
        <w:rPr>
          <w:color w:val="auto"/>
          <w:highlight w:val="none"/>
        </w:rPr>
        <w:fldChar w:fldCharType="end"/>
      </w:r>
      <w:r>
        <w:rPr>
          <w:rFonts w:ascii="宋体" w:hAnsi="宋体" w:cs="华文中宋"/>
          <w:caps/>
          <w:color w:val="auto"/>
          <w:spacing w:val="80"/>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_Toc31148 </w:instrText>
      </w:r>
      <w:r>
        <w:rPr>
          <w:rFonts w:ascii="宋体" w:hAnsi="宋体" w:cs="华文中宋"/>
          <w:caps/>
          <w:color w:val="auto"/>
          <w:spacing w:val="80"/>
          <w:highlight w:val="none"/>
        </w:rPr>
        <w:fldChar w:fldCharType="separate"/>
      </w:r>
      <w:r>
        <w:rPr>
          <w:rFonts w:ascii="仿宋" w:hAnsi="仿宋" w:eastAsia="仿宋" w:cs="仿宋"/>
          <w:bCs/>
          <w:color w:val="auto"/>
          <w:szCs w:val="24"/>
          <w:highlight w:val="none"/>
        </w:rPr>
        <w:t xml:space="preserve">8. </w:t>
      </w:r>
      <w:r>
        <w:rPr>
          <w:rFonts w:hint="eastAsia" w:ascii="仿宋" w:hAnsi="仿宋" w:eastAsia="仿宋" w:cs="仿宋"/>
          <w:bCs/>
          <w:color w:val="auto"/>
          <w:szCs w:val="24"/>
          <w:highlight w:val="none"/>
        </w:rPr>
        <w:t>其他</w:t>
      </w:r>
      <w:r>
        <w:rPr>
          <w:color w:val="auto"/>
          <w:highlight w:val="none"/>
        </w:rPr>
        <w:tab/>
      </w:r>
      <w:r>
        <w:rPr>
          <w:color w:val="auto"/>
          <w:highlight w:val="none"/>
        </w:rPr>
        <w:fldChar w:fldCharType="begin"/>
      </w:r>
      <w:r>
        <w:rPr>
          <w:color w:val="auto"/>
          <w:highlight w:val="none"/>
        </w:rPr>
        <w:instrText xml:space="preserve"> PAGEREF _Toc31148 </w:instrText>
      </w:r>
      <w:r>
        <w:rPr>
          <w:color w:val="auto"/>
          <w:highlight w:val="none"/>
        </w:rPr>
        <w:fldChar w:fldCharType="separate"/>
      </w:r>
      <w:r>
        <w:rPr>
          <w:color w:val="auto"/>
          <w:highlight w:val="none"/>
        </w:rPr>
        <w:t>18</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_Toc12763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8.1 </w:t>
      </w:r>
      <w:r>
        <w:rPr>
          <w:rFonts w:hint="eastAsia" w:ascii="仿宋" w:hAnsi="仿宋" w:eastAsia="仿宋" w:cs="仿宋"/>
          <w:color w:val="auto"/>
          <w:szCs w:val="24"/>
          <w:highlight w:val="none"/>
        </w:rPr>
        <w:t>外出考察费用</w:t>
      </w:r>
      <w:r>
        <w:rPr>
          <w:color w:val="auto"/>
          <w:highlight w:val="none"/>
        </w:rPr>
        <w:tab/>
      </w:r>
      <w:r>
        <w:rPr>
          <w:color w:val="auto"/>
          <w:highlight w:val="none"/>
        </w:rPr>
        <w:fldChar w:fldCharType="begin"/>
      </w:r>
      <w:r>
        <w:rPr>
          <w:color w:val="auto"/>
          <w:highlight w:val="none"/>
        </w:rPr>
        <w:instrText xml:space="preserve"> PAGEREF _Toc12763 </w:instrText>
      </w:r>
      <w:r>
        <w:rPr>
          <w:color w:val="auto"/>
          <w:highlight w:val="none"/>
        </w:rPr>
        <w:fldChar w:fldCharType="separate"/>
      </w:r>
      <w:r>
        <w:rPr>
          <w:color w:val="auto"/>
          <w:highlight w:val="none"/>
        </w:rPr>
        <w:t>18</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_Toc31432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8.2 </w:t>
      </w:r>
      <w:r>
        <w:rPr>
          <w:rFonts w:hint="eastAsia" w:ascii="仿宋" w:hAnsi="仿宋" w:eastAsia="仿宋" w:cs="仿宋"/>
          <w:color w:val="auto"/>
          <w:szCs w:val="24"/>
          <w:highlight w:val="none"/>
        </w:rPr>
        <w:t>检测费用</w:t>
      </w:r>
      <w:r>
        <w:rPr>
          <w:color w:val="auto"/>
          <w:highlight w:val="none"/>
        </w:rPr>
        <w:tab/>
      </w:r>
      <w:r>
        <w:rPr>
          <w:color w:val="auto"/>
          <w:highlight w:val="none"/>
        </w:rPr>
        <w:fldChar w:fldCharType="begin"/>
      </w:r>
      <w:r>
        <w:rPr>
          <w:color w:val="auto"/>
          <w:highlight w:val="none"/>
        </w:rPr>
        <w:instrText xml:space="preserve"> PAGEREF _Toc31432 </w:instrText>
      </w:r>
      <w:r>
        <w:rPr>
          <w:color w:val="auto"/>
          <w:highlight w:val="none"/>
        </w:rPr>
        <w:fldChar w:fldCharType="separate"/>
      </w:r>
      <w:r>
        <w:rPr>
          <w:color w:val="auto"/>
          <w:highlight w:val="none"/>
        </w:rPr>
        <w:t>18</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_Toc15876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8.3 </w:t>
      </w:r>
      <w:r>
        <w:rPr>
          <w:rFonts w:hint="eastAsia" w:ascii="仿宋" w:hAnsi="仿宋" w:eastAsia="仿宋" w:cs="仿宋"/>
          <w:color w:val="auto"/>
          <w:szCs w:val="24"/>
          <w:highlight w:val="none"/>
        </w:rPr>
        <w:t>咨询费用</w:t>
      </w:r>
      <w:r>
        <w:rPr>
          <w:color w:val="auto"/>
          <w:highlight w:val="none"/>
        </w:rPr>
        <w:tab/>
      </w:r>
      <w:r>
        <w:rPr>
          <w:color w:val="auto"/>
          <w:highlight w:val="none"/>
        </w:rPr>
        <w:fldChar w:fldCharType="begin"/>
      </w:r>
      <w:r>
        <w:rPr>
          <w:color w:val="auto"/>
          <w:highlight w:val="none"/>
        </w:rPr>
        <w:instrText xml:space="preserve"> PAGEREF _Toc15876 </w:instrText>
      </w:r>
      <w:r>
        <w:rPr>
          <w:color w:val="auto"/>
          <w:highlight w:val="none"/>
        </w:rPr>
        <w:fldChar w:fldCharType="separate"/>
      </w:r>
      <w:r>
        <w:rPr>
          <w:color w:val="auto"/>
          <w:highlight w:val="none"/>
        </w:rPr>
        <w:t>18</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_Toc761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8.4 </w:t>
      </w:r>
      <w:r>
        <w:rPr>
          <w:rFonts w:hint="eastAsia" w:ascii="仿宋" w:hAnsi="仿宋" w:eastAsia="仿宋" w:cs="仿宋"/>
          <w:color w:val="auto"/>
          <w:szCs w:val="24"/>
          <w:highlight w:val="none"/>
        </w:rPr>
        <w:t>奖励</w:t>
      </w:r>
      <w:r>
        <w:rPr>
          <w:color w:val="auto"/>
          <w:highlight w:val="none"/>
        </w:rPr>
        <w:tab/>
      </w:r>
      <w:r>
        <w:rPr>
          <w:color w:val="auto"/>
          <w:highlight w:val="none"/>
        </w:rPr>
        <w:fldChar w:fldCharType="begin"/>
      </w:r>
      <w:r>
        <w:rPr>
          <w:color w:val="auto"/>
          <w:highlight w:val="none"/>
        </w:rPr>
        <w:instrText xml:space="preserve"> PAGEREF _Toc761 </w:instrText>
      </w:r>
      <w:r>
        <w:rPr>
          <w:color w:val="auto"/>
          <w:highlight w:val="none"/>
        </w:rPr>
        <w:fldChar w:fldCharType="separate"/>
      </w:r>
      <w:r>
        <w:rPr>
          <w:color w:val="auto"/>
          <w:highlight w:val="none"/>
        </w:rPr>
        <w:t>18</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_Toc3598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8.5 </w:t>
      </w:r>
      <w:r>
        <w:rPr>
          <w:rFonts w:hint="eastAsia" w:ascii="仿宋" w:hAnsi="仿宋" w:eastAsia="仿宋" w:cs="仿宋"/>
          <w:color w:val="auto"/>
          <w:szCs w:val="24"/>
          <w:highlight w:val="none"/>
        </w:rPr>
        <w:t>守法诚信</w:t>
      </w:r>
      <w:r>
        <w:rPr>
          <w:color w:val="auto"/>
          <w:highlight w:val="none"/>
        </w:rPr>
        <w:tab/>
      </w:r>
      <w:r>
        <w:rPr>
          <w:color w:val="auto"/>
          <w:highlight w:val="none"/>
        </w:rPr>
        <w:fldChar w:fldCharType="begin"/>
      </w:r>
      <w:r>
        <w:rPr>
          <w:color w:val="auto"/>
          <w:highlight w:val="none"/>
        </w:rPr>
        <w:instrText xml:space="preserve"> PAGEREF _Toc3598 </w:instrText>
      </w:r>
      <w:r>
        <w:rPr>
          <w:color w:val="auto"/>
          <w:highlight w:val="none"/>
        </w:rPr>
        <w:fldChar w:fldCharType="separate"/>
      </w:r>
      <w:r>
        <w:rPr>
          <w:color w:val="auto"/>
          <w:highlight w:val="none"/>
        </w:rPr>
        <w:t>18</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_Toc3358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8.6 </w:t>
      </w:r>
      <w:r>
        <w:rPr>
          <w:rFonts w:hint="eastAsia" w:ascii="仿宋" w:hAnsi="仿宋" w:eastAsia="仿宋" w:cs="仿宋"/>
          <w:color w:val="auto"/>
          <w:szCs w:val="24"/>
          <w:highlight w:val="none"/>
        </w:rPr>
        <w:t>保密</w:t>
      </w:r>
      <w:r>
        <w:rPr>
          <w:color w:val="auto"/>
          <w:highlight w:val="none"/>
        </w:rPr>
        <w:tab/>
      </w:r>
      <w:r>
        <w:rPr>
          <w:color w:val="auto"/>
          <w:highlight w:val="none"/>
        </w:rPr>
        <w:fldChar w:fldCharType="begin"/>
      </w:r>
      <w:r>
        <w:rPr>
          <w:color w:val="auto"/>
          <w:highlight w:val="none"/>
        </w:rPr>
        <w:instrText xml:space="preserve"> PAGEREF _Toc3358 </w:instrText>
      </w:r>
      <w:r>
        <w:rPr>
          <w:color w:val="auto"/>
          <w:highlight w:val="none"/>
        </w:rPr>
        <w:fldChar w:fldCharType="separate"/>
      </w:r>
      <w:r>
        <w:rPr>
          <w:color w:val="auto"/>
          <w:highlight w:val="none"/>
        </w:rPr>
        <w:t>18</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_Toc25716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8.7 </w:t>
      </w:r>
      <w:r>
        <w:rPr>
          <w:rFonts w:hint="eastAsia" w:ascii="仿宋" w:hAnsi="仿宋" w:eastAsia="仿宋" w:cs="仿宋"/>
          <w:color w:val="auto"/>
          <w:szCs w:val="24"/>
          <w:highlight w:val="none"/>
        </w:rPr>
        <w:t>通知</w:t>
      </w:r>
      <w:r>
        <w:rPr>
          <w:color w:val="auto"/>
          <w:highlight w:val="none"/>
        </w:rPr>
        <w:tab/>
      </w:r>
      <w:r>
        <w:rPr>
          <w:color w:val="auto"/>
          <w:highlight w:val="none"/>
        </w:rPr>
        <w:fldChar w:fldCharType="begin"/>
      </w:r>
      <w:r>
        <w:rPr>
          <w:color w:val="auto"/>
          <w:highlight w:val="none"/>
        </w:rPr>
        <w:instrText xml:space="preserve"> PAGEREF _Toc25716 </w:instrText>
      </w:r>
      <w:r>
        <w:rPr>
          <w:color w:val="auto"/>
          <w:highlight w:val="none"/>
        </w:rPr>
        <w:fldChar w:fldCharType="separate"/>
      </w:r>
      <w:r>
        <w:rPr>
          <w:color w:val="auto"/>
          <w:highlight w:val="none"/>
        </w:rPr>
        <w:t>18</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_Toc147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8.8 </w:t>
      </w:r>
      <w:r>
        <w:rPr>
          <w:rFonts w:hint="eastAsia" w:ascii="仿宋" w:hAnsi="仿宋" w:eastAsia="仿宋" w:cs="仿宋"/>
          <w:color w:val="auto"/>
          <w:szCs w:val="24"/>
          <w:highlight w:val="none"/>
        </w:rPr>
        <w:t>著作权</w:t>
      </w:r>
      <w:r>
        <w:rPr>
          <w:color w:val="auto"/>
          <w:highlight w:val="none"/>
        </w:rPr>
        <w:tab/>
      </w:r>
      <w:r>
        <w:rPr>
          <w:color w:val="auto"/>
          <w:highlight w:val="none"/>
        </w:rPr>
        <w:fldChar w:fldCharType="begin"/>
      </w:r>
      <w:r>
        <w:rPr>
          <w:color w:val="auto"/>
          <w:highlight w:val="none"/>
        </w:rPr>
        <w:instrText xml:space="preserve"> PAGEREF _Toc147 </w:instrText>
      </w:r>
      <w:r>
        <w:rPr>
          <w:color w:val="auto"/>
          <w:highlight w:val="none"/>
        </w:rPr>
        <w:fldChar w:fldCharType="separate"/>
      </w:r>
      <w:r>
        <w:rPr>
          <w:color w:val="auto"/>
          <w:highlight w:val="none"/>
        </w:rPr>
        <w:t>19</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_Toc9916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8.9</w:t>
      </w:r>
      <w:r>
        <w:rPr>
          <w:rFonts w:hint="eastAsia" w:ascii="仿宋" w:hAnsi="仿宋" w:eastAsia="仿宋" w:cs="仿宋"/>
          <w:color w:val="auto"/>
          <w:szCs w:val="24"/>
          <w:highlight w:val="none"/>
        </w:rPr>
        <w:t>工程获奖奖励</w:t>
      </w:r>
      <w:r>
        <w:rPr>
          <w:color w:val="auto"/>
          <w:highlight w:val="none"/>
        </w:rPr>
        <w:tab/>
      </w:r>
      <w:r>
        <w:rPr>
          <w:color w:val="auto"/>
          <w:highlight w:val="none"/>
        </w:rPr>
        <w:fldChar w:fldCharType="begin"/>
      </w:r>
      <w:r>
        <w:rPr>
          <w:color w:val="auto"/>
          <w:highlight w:val="none"/>
        </w:rPr>
        <w:instrText xml:space="preserve"> PAGEREF _Toc9916 </w:instrText>
      </w:r>
      <w:r>
        <w:rPr>
          <w:color w:val="auto"/>
          <w:highlight w:val="none"/>
        </w:rPr>
        <w:fldChar w:fldCharType="separate"/>
      </w:r>
      <w:r>
        <w:rPr>
          <w:color w:val="auto"/>
          <w:highlight w:val="none"/>
        </w:rPr>
        <w:t>19</w:t>
      </w:r>
      <w:r>
        <w:rPr>
          <w:color w:val="auto"/>
          <w:highlight w:val="none"/>
        </w:rPr>
        <w:fldChar w:fldCharType="end"/>
      </w:r>
      <w:r>
        <w:rPr>
          <w:rFonts w:ascii="宋体" w:hAnsi="宋体" w:cs="华文中宋"/>
          <w:caps/>
          <w:color w:val="auto"/>
          <w:spacing w:val="80"/>
          <w:highlight w:val="none"/>
        </w:rPr>
        <w:fldChar w:fldCharType="end"/>
      </w:r>
    </w:p>
    <w:p>
      <w:pPr>
        <w:pStyle w:val="18"/>
        <w:tabs>
          <w:tab w:val="right" w:leader="dot" w:pos="9638"/>
        </w:tabs>
        <w:rPr>
          <w:color w:val="auto"/>
          <w:highlight w:val="none"/>
        </w:rPr>
      </w:pPr>
      <w:r>
        <w:rPr>
          <w:rFonts w:ascii="宋体" w:hAnsi="宋体" w:cs="华文中宋"/>
          <w:color w:val="auto"/>
          <w:spacing w:val="80"/>
          <w:highlight w:val="none"/>
        </w:rPr>
        <w:fldChar w:fldCharType="begin"/>
      </w:r>
      <w:r>
        <w:rPr>
          <w:rFonts w:ascii="宋体" w:hAnsi="宋体" w:cs="华文中宋"/>
          <w:color w:val="auto"/>
          <w:spacing w:val="80"/>
          <w:highlight w:val="none"/>
        </w:rPr>
        <w:instrText xml:space="preserve"> HYPERLINK \l _Toc25057 </w:instrText>
      </w:r>
      <w:r>
        <w:rPr>
          <w:rFonts w:ascii="宋体" w:hAnsi="宋体" w:cs="华文中宋"/>
          <w:color w:val="auto"/>
          <w:spacing w:val="80"/>
          <w:highlight w:val="none"/>
        </w:rPr>
        <w:fldChar w:fldCharType="separate"/>
      </w:r>
      <w:r>
        <w:rPr>
          <w:rFonts w:hint="eastAsia" w:hAnsi="宋体"/>
          <w:bCs/>
          <w:color w:val="auto"/>
          <w:szCs w:val="36"/>
          <w:highlight w:val="none"/>
        </w:rPr>
        <w:t>第三部分</w:t>
      </w:r>
      <w:r>
        <w:rPr>
          <w:rFonts w:hAnsi="宋体"/>
          <w:bCs/>
          <w:color w:val="auto"/>
          <w:szCs w:val="36"/>
          <w:highlight w:val="none"/>
        </w:rPr>
        <w:t xml:space="preserve">  </w:t>
      </w:r>
      <w:r>
        <w:rPr>
          <w:rFonts w:hint="eastAsia" w:hAnsi="宋体"/>
          <w:bCs/>
          <w:color w:val="auto"/>
          <w:szCs w:val="36"/>
          <w:highlight w:val="none"/>
        </w:rPr>
        <w:t>专用条款</w:t>
      </w:r>
      <w:r>
        <w:rPr>
          <w:color w:val="auto"/>
          <w:highlight w:val="none"/>
        </w:rPr>
        <w:tab/>
      </w:r>
      <w:r>
        <w:rPr>
          <w:color w:val="auto"/>
          <w:highlight w:val="none"/>
        </w:rPr>
        <w:fldChar w:fldCharType="begin"/>
      </w:r>
      <w:r>
        <w:rPr>
          <w:color w:val="auto"/>
          <w:highlight w:val="none"/>
        </w:rPr>
        <w:instrText xml:space="preserve"> PAGEREF _Toc25057 </w:instrText>
      </w:r>
      <w:r>
        <w:rPr>
          <w:color w:val="auto"/>
          <w:highlight w:val="none"/>
        </w:rPr>
        <w:fldChar w:fldCharType="separate"/>
      </w:r>
      <w:r>
        <w:rPr>
          <w:color w:val="auto"/>
          <w:highlight w:val="none"/>
        </w:rPr>
        <w:t>20</w:t>
      </w:r>
      <w:r>
        <w:rPr>
          <w:color w:val="auto"/>
          <w:highlight w:val="none"/>
        </w:rPr>
        <w:fldChar w:fldCharType="end"/>
      </w:r>
      <w:r>
        <w:rPr>
          <w:rFonts w:ascii="宋体" w:hAnsi="宋体" w:cs="华文中宋"/>
          <w:color w:val="auto"/>
          <w:spacing w:val="80"/>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_Toc4100 </w:instrText>
      </w:r>
      <w:r>
        <w:rPr>
          <w:rFonts w:ascii="宋体" w:hAnsi="宋体" w:cs="华文中宋"/>
          <w:caps/>
          <w:color w:val="auto"/>
          <w:spacing w:val="80"/>
          <w:highlight w:val="none"/>
        </w:rPr>
        <w:fldChar w:fldCharType="separate"/>
      </w:r>
      <w:r>
        <w:rPr>
          <w:rFonts w:ascii="仿宋" w:hAnsi="仿宋" w:eastAsia="仿宋" w:cs="仿宋"/>
          <w:bCs/>
          <w:color w:val="auto"/>
          <w:szCs w:val="24"/>
          <w:highlight w:val="none"/>
        </w:rPr>
        <w:t xml:space="preserve">1. </w:t>
      </w:r>
      <w:r>
        <w:rPr>
          <w:rFonts w:hint="eastAsia" w:ascii="仿宋" w:hAnsi="仿宋" w:eastAsia="仿宋" w:cs="仿宋"/>
          <w:bCs/>
          <w:color w:val="auto"/>
          <w:szCs w:val="24"/>
          <w:highlight w:val="none"/>
        </w:rPr>
        <w:t>定义与解释</w:t>
      </w:r>
      <w:r>
        <w:rPr>
          <w:color w:val="auto"/>
          <w:highlight w:val="none"/>
        </w:rPr>
        <w:tab/>
      </w:r>
      <w:r>
        <w:rPr>
          <w:color w:val="auto"/>
          <w:highlight w:val="none"/>
        </w:rPr>
        <w:fldChar w:fldCharType="begin"/>
      </w:r>
      <w:r>
        <w:rPr>
          <w:color w:val="auto"/>
          <w:highlight w:val="none"/>
        </w:rPr>
        <w:instrText xml:space="preserve"> PAGEREF _Toc4100 </w:instrText>
      </w:r>
      <w:r>
        <w:rPr>
          <w:color w:val="auto"/>
          <w:highlight w:val="none"/>
        </w:rPr>
        <w:fldChar w:fldCharType="separate"/>
      </w:r>
      <w:r>
        <w:rPr>
          <w:color w:val="auto"/>
          <w:highlight w:val="none"/>
        </w:rPr>
        <w:t>20</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_Toc28054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1.2  </w:t>
      </w:r>
      <w:r>
        <w:rPr>
          <w:rFonts w:hint="eastAsia" w:ascii="仿宋" w:hAnsi="仿宋" w:eastAsia="仿宋" w:cs="仿宋"/>
          <w:color w:val="auto"/>
          <w:szCs w:val="24"/>
          <w:highlight w:val="none"/>
        </w:rPr>
        <w:t>解释</w:t>
      </w:r>
      <w:r>
        <w:rPr>
          <w:color w:val="auto"/>
          <w:highlight w:val="none"/>
        </w:rPr>
        <w:tab/>
      </w:r>
      <w:r>
        <w:rPr>
          <w:color w:val="auto"/>
          <w:highlight w:val="none"/>
        </w:rPr>
        <w:fldChar w:fldCharType="begin"/>
      </w:r>
      <w:r>
        <w:rPr>
          <w:color w:val="auto"/>
          <w:highlight w:val="none"/>
        </w:rPr>
        <w:instrText xml:space="preserve"> PAGEREF _Toc28054 </w:instrText>
      </w:r>
      <w:r>
        <w:rPr>
          <w:color w:val="auto"/>
          <w:highlight w:val="none"/>
        </w:rPr>
        <w:fldChar w:fldCharType="separate"/>
      </w:r>
      <w:r>
        <w:rPr>
          <w:color w:val="auto"/>
          <w:highlight w:val="none"/>
        </w:rPr>
        <w:t>20</w:t>
      </w:r>
      <w:r>
        <w:rPr>
          <w:color w:val="auto"/>
          <w:highlight w:val="none"/>
        </w:rPr>
        <w:fldChar w:fldCharType="end"/>
      </w:r>
      <w:r>
        <w:rPr>
          <w:rFonts w:ascii="宋体" w:hAnsi="宋体" w:cs="华文中宋"/>
          <w:caps/>
          <w:color w:val="auto"/>
          <w:spacing w:val="80"/>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_Toc18658 </w:instrText>
      </w:r>
      <w:r>
        <w:rPr>
          <w:rFonts w:ascii="宋体" w:hAnsi="宋体" w:cs="华文中宋"/>
          <w:caps/>
          <w:color w:val="auto"/>
          <w:spacing w:val="80"/>
          <w:highlight w:val="none"/>
        </w:rPr>
        <w:fldChar w:fldCharType="separate"/>
      </w:r>
      <w:r>
        <w:rPr>
          <w:rFonts w:ascii="仿宋" w:hAnsi="仿宋" w:eastAsia="仿宋" w:cs="仿宋"/>
          <w:bCs/>
          <w:color w:val="auto"/>
          <w:szCs w:val="24"/>
          <w:highlight w:val="none"/>
        </w:rPr>
        <w:t xml:space="preserve">2. </w:t>
      </w:r>
      <w:r>
        <w:rPr>
          <w:rFonts w:hint="eastAsia" w:ascii="仿宋" w:hAnsi="仿宋" w:eastAsia="仿宋" w:cs="仿宋"/>
          <w:bCs/>
          <w:color w:val="auto"/>
          <w:szCs w:val="24"/>
          <w:highlight w:val="none"/>
        </w:rPr>
        <w:t>监理人义务</w:t>
      </w:r>
      <w:r>
        <w:rPr>
          <w:color w:val="auto"/>
          <w:highlight w:val="none"/>
        </w:rPr>
        <w:tab/>
      </w:r>
      <w:r>
        <w:rPr>
          <w:color w:val="auto"/>
          <w:highlight w:val="none"/>
        </w:rPr>
        <w:fldChar w:fldCharType="begin"/>
      </w:r>
      <w:r>
        <w:rPr>
          <w:color w:val="auto"/>
          <w:highlight w:val="none"/>
        </w:rPr>
        <w:instrText xml:space="preserve"> PAGEREF _Toc18658 </w:instrText>
      </w:r>
      <w:r>
        <w:rPr>
          <w:color w:val="auto"/>
          <w:highlight w:val="none"/>
        </w:rPr>
        <w:fldChar w:fldCharType="separate"/>
      </w:r>
      <w:r>
        <w:rPr>
          <w:color w:val="auto"/>
          <w:highlight w:val="none"/>
        </w:rPr>
        <w:t>20</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_Toc5929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2.1 </w:t>
      </w:r>
      <w:r>
        <w:rPr>
          <w:rFonts w:hint="eastAsia" w:ascii="仿宋" w:hAnsi="仿宋" w:eastAsia="仿宋" w:cs="仿宋"/>
          <w:color w:val="auto"/>
          <w:szCs w:val="24"/>
          <w:highlight w:val="none"/>
        </w:rPr>
        <w:t>监理的范围和内容</w:t>
      </w:r>
      <w:r>
        <w:rPr>
          <w:color w:val="auto"/>
          <w:highlight w:val="none"/>
        </w:rPr>
        <w:tab/>
      </w:r>
      <w:r>
        <w:rPr>
          <w:color w:val="auto"/>
          <w:highlight w:val="none"/>
        </w:rPr>
        <w:fldChar w:fldCharType="begin"/>
      </w:r>
      <w:r>
        <w:rPr>
          <w:color w:val="auto"/>
          <w:highlight w:val="none"/>
        </w:rPr>
        <w:instrText xml:space="preserve"> PAGEREF _Toc5929 </w:instrText>
      </w:r>
      <w:r>
        <w:rPr>
          <w:color w:val="auto"/>
          <w:highlight w:val="none"/>
        </w:rPr>
        <w:fldChar w:fldCharType="separate"/>
      </w:r>
      <w:r>
        <w:rPr>
          <w:color w:val="auto"/>
          <w:highlight w:val="none"/>
        </w:rPr>
        <w:t>20</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_Toc5953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2.2 </w:t>
      </w:r>
      <w:r>
        <w:rPr>
          <w:rFonts w:hint="eastAsia" w:ascii="仿宋" w:hAnsi="仿宋" w:eastAsia="仿宋" w:cs="仿宋"/>
          <w:color w:val="auto"/>
          <w:szCs w:val="24"/>
          <w:highlight w:val="none"/>
        </w:rPr>
        <w:t>监理与相关服务依据</w:t>
      </w:r>
      <w:r>
        <w:rPr>
          <w:color w:val="auto"/>
          <w:highlight w:val="none"/>
        </w:rPr>
        <w:tab/>
      </w:r>
      <w:r>
        <w:rPr>
          <w:color w:val="auto"/>
          <w:highlight w:val="none"/>
        </w:rPr>
        <w:fldChar w:fldCharType="begin"/>
      </w:r>
      <w:r>
        <w:rPr>
          <w:color w:val="auto"/>
          <w:highlight w:val="none"/>
        </w:rPr>
        <w:instrText xml:space="preserve"> PAGEREF _Toc5953 </w:instrText>
      </w:r>
      <w:r>
        <w:rPr>
          <w:color w:val="auto"/>
          <w:highlight w:val="none"/>
        </w:rPr>
        <w:fldChar w:fldCharType="separate"/>
      </w:r>
      <w:r>
        <w:rPr>
          <w:color w:val="auto"/>
          <w:highlight w:val="none"/>
        </w:rPr>
        <w:t>22</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_Toc29670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2.3</w:t>
      </w:r>
      <w:r>
        <w:rPr>
          <w:rFonts w:hint="eastAsia" w:ascii="仿宋" w:hAnsi="仿宋" w:eastAsia="仿宋" w:cs="仿宋"/>
          <w:color w:val="auto"/>
          <w:szCs w:val="24"/>
          <w:highlight w:val="none"/>
        </w:rPr>
        <w:t>项目监理机构和人员</w:t>
      </w:r>
      <w:r>
        <w:rPr>
          <w:color w:val="auto"/>
          <w:highlight w:val="none"/>
        </w:rPr>
        <w:tab/>
      </w:r>
      <w:r>
        <w:rPr>
          <w:color w:val="auto"/>
          <w:highlight w:val="none"/>
        </w:rPr>
        <w:fldChar w:fldCharType="begin"/>
      </w:r>
      <w:r>
        <w:rPr>
          <w:color w:val="auto"/>
          <w:highlight w:val="none"/>
        </w:rPr>
        <w:instrText xml:space="preserve"> PAGEREF _Toc29670 </w:instrText>
      </w:r>
      <w:r>
        <w:rPr>
          <w:color w:val="auto"/>
          <w:highlight w:val="none"/>
        </w:rPr>
        <w:fldChar w:fldCharType="separate"/>
      </w:r>
      <w:r>
        <w:rPr>
          <w:color w:val="auto"/>
          <w:highlight w:val="none"/>
        </w:rPr>
        <w:t>23</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_Toc11808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2.4 </w:t>
      </w:r>
      <w:r>
        <w:rPr>
          <w:rFonts w:hint="eastAsia" w:ascii="仿宋" w:hAnsi="仿宋" w:eastAsia="仿宋" w:cs="仿宋"/>
          <w:color w:val="auto"/>
          <w:szCs w:val="24"/>
          <w:highlight w:val="none"/>
        </w:rPr>
        <w:t>履行职责</w:t>
      </w:r>
      <w:r>
        <w:rPr>
          <w:color w:val="auto"/>
          <w:highlight w:val="none"/>
        </w:rPr>
        <w:tab/>
      </w:r>
      <w:r>
        <w:rPr>
          <w:color w:val="auto"/>
          <w:highlight w:val="none"/>
        </w:rPr>
        <w:fldChar w:fldCharType="begin"/>
      </w:r>
      <w:r>
        <w:rPr>
          <w:color w:val="auto"/>
          <w:highlight w:val="none"/>
        </w:rPr>
        <w:instrText xml:space="preserve"> PAGEREF _Toc11808 </w:instrText>
      </w:r>
      <w:r>
        <w:rPr>
          <w:color w:val="auto"/>
          <w:highlight w:val="none"/>
        </w:rPr>
        <w:fldChar w:fldCharType="separate"/>
      </w:r>
      <w:r>
        <w:rPr>
          <w:color w:val="auto"/>
          <w:highlight w:val="none"/>
        </w:rPr>
        <w:t>23</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_Toc6694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2.5 </w:t>
      </w:r>
      <w:r>
        <w:rPr>
          <w:rFonts w:hint="eastAsia" w:ascii="仿宋" w:hAnsi="仿宋" w:eastAsia="仿宋" w:cs="仿宋"/>
          <w:color w:val="auto"/>
          <w:szCs w:val="24"/>
          <w:highlight w:val="none"/>
        </w:rPr>
        <w:t>提交报告</w:t>
      </w:r>
      <w:r>
        <w:rPr>
          <w:color w:val="auto"/>
          <w:highlight w:val="none"/>
        </w:rPr>
        <w:tab/>
      </w:r>
      <w:r>
        <w:rPr>
          <w:color w:val="auto"/>
          <w:highlight w:val="none"/>
        </w:rPr>
        <w:fldChar w:fldCharType="begin"/>
      </w:r>
      <w:r>
        <w:rPr>
          <w:color w:val="auto"/>
          <w:highlight w:val="none"/>
        </w:rPr>
        <w:instrText xml:space="preserve"> PAGEREF _Toc6694 </w:instrText>
      </w:r>
      <w:r>
        <w:rPr>
          <w:color w:val="auto"/>
          <w:highlight w:val="none"/>
        </w:rPr>
        <w:fldChar w:fldCharType="separate"/>
      </w:r>
      <w:r>
        <w:rPr>
          <w:color w:val="auto"/>
          <w:highlight w:val="none"/>
        </w:rPr>
        <w:t>23</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_Toc9316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2.8</w:t>
      </w:r>
      <w:r>
        <w:rPr>
          <w:rFonts w:hint="eastAsia" w:ascii="仿宋" w:hAnsi="仿宋" w:eastAsia="仿宋" w:cs="仿宋"/>
          <w:color w:val="auto"/>
          <w:szCs w:val="24"/>
          <w:highlight w:val="none"/>
        </w:rPr>
        <w:t>履约担保</w:t>
      </w:r>
      <w:r>
        <w:rPr>
          <w:color w:val="auto"/>
          <w:highlight w:val="none"/>
        </w:rPr>
        <w:tab/>
      </w:r>
      <w:r>
        <w:rPr>
          <w:color w:val="auto"/>
          <w:highlight w:val="none"/>
        </w:rPr>
        <w:fldChar w:fldCharType="begin"/>
      </w:r>
      <w:r>
        <w:rPr>
          <w:color w:val="auto"/>
          <w:highlight w:val="none"/>
        </w:rPr>
        <w:instrText xml:space="preserve"> PAGEREF _Toc9316 </w:instrText>
      </w:r>
      <w:r>
        <w:rPr>
          <w:color w:val="auto"/>
          <w:highlight w:val="none"/>
        </w:rPr>
        <w:fldChar w:fldCharType="separate"/>
      </w:r>
      <w:r>
        <w:rPr>
          <w:color w:val="auto"/>
          <w:highlight w:val="none"/>
        </w:rPr>
        <w:t>23</w:t>
      </w:r>
      <w:r>
        <w:rPr>
          <w:color w:val="auto"/>
          <w:highlight w:val="none"/>
        </w:rPr>
        <w:fldChar w:fldCharType="end"/>
      </w:r>
      <w:r>
        <w:rPr>
          <w:rFonts w:ascii="宋体" w:hAnsi="宋体" w:cs="华文中宋"/>
          <w:caps/>
          <w:color w:val="auto"/>
          <w:spacing w:val="80"/>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_Toc32615 </w:instrText>
      </w:r>
      <w:r>
        <w:rPr>
          <w:rFonts w:ascii="宋体" w:hAnsi="宋体" w:cs="华文中宋"/>
          <w:caps/>
          <w:color w:val="auto"/>
          <w:spacing w:val="80"/>
          <w:highlight w:val="none"/>
        </w:rPr>
        <w:fldChar w:fldCharType="separate"/>
      </w:r>
      <w:r>
        <w:rPr>
          <w:rFonts w:ascii="仿宋" w:hAnsi="仿宋" w:eastAsia="仿宋" w:cs="仿宋"/>
          <w:bCs/>
          <w:color w:val="auto"/>
          <w:szCs w:val="24"/>
          <w:highlight w:val="none"/>
        </w:rPr>
        <w:t xml:space="preserve">3. </w:t>
      </w:r>
      <w:r>
        <w:rPr>
          <w:rFonts w:hint="eastAsia" w:ascii="仿宋" w:hAnsi="仿宋" w:eastAsia="仿宋" w:cs="仿宋"/>
          <w:bCs/>
          <w:color w:val="auto"/>
          <w:szCs w:val="24"/>
          <w:highlight w:val="none"/>
        </w:rPr>
        <w:t>委托人义务</w:t>
      </w:r>
      <w:r>
        <w:rPr>
          <w:color w:val="auto"/>
          <w:highlight w:val="none"/>
        </w:rPr>
        <w:tab/>
      </w:r>
      <w:r>
        <w:rPr>
          <w:color w:val="auto"/>
          <w:highlight w:val="none"/>
        </w:rPr>
        <w:fldChar w:fldCharType="begin"/>
      </w:r>
      <w:r>
        <w:rPr>
          <w:color w:val="auto"/>
          <w:highlight w:val="none"/>
        </w:rPr>
        <w:instrText xml:space="preserve"> PAGEREF _Toc32615 </w:instrText>
      </w:r>
      <w:r>
        <w:rPr>
          <w:color w:val="auto"/>
          <w:highlight w:val="none"/>
        </w:rPr>
        <w:fldChar w:fldCharType="separate"/>
      </w:r>
      <w:r>
        <w:rPr>
          <w:color w:val="auto"/>
          <w:highlight w:val="none"/>
        </w:rPr>
        <w:t>24</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_Toc4889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3.4 </w:t>
      </w:r>
      <w:r>
        <w:rPr>
          <w:rFonts w:hint="eastAsia" w:ascii="仿宋" w:hAnsi="仿宋" w:eastAsia="仿宋" w:cs="仿宋"/>
          <w:color w:val="auto"/>
          <w:szCs w:val="24"/>
          <w:highlight w:val="none"/>
        </w:rPr>
        <w:t>委托人代表</w:t>
      </w:r>
      <w:r>
        <w:rPr>
          <w:color w:val="auto"/>
          <w:highlight w:val="none"/>
        </w:rPr>
        <w:tab/>
      </w:r>
      <w:r>
        <w:rPr>
          <w:color w:val="auto"/>
          <w:highlight w:val="none"/>
        </w:rPr>
        <w:fldChar w:fldCharType="begin"/>
      </w:r>
      <w:r>
        <w:rPr>
          <w:color w:val="auto"/>
          <w:highlight w:val="none"/>
        </w:rPr>
        <w:instrText xml:space="preserve"> PAGEREF _Toc4889 </w:instrText>
      </w:r>
      <w:r>
        <w:rPr>
          <w:color w:val="auto"/>
          <w:highlight w:val="none"/>
        </w:rPr>
        <w:fldChar w:fldCharType="separate"/>
      </w:r>
      <w:r>
        <w:rPr>
          <w:color w:val="auto"/>
          <w:highlight w:val="none"/>
        </w:rPr>
        <w:t>24</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_Toc29693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3.6 </w:t>
      </w:r>
      <w:r>
        <w:rPr>
          <w:rFonts w:hint="eastAsia" w:ascii="仿宋" w:hAnsi="仿宋" w:eastAsia="仿宋" w:cs="仿宋"/>
          <w:color w:val="auto"/>
          <w:szCs w:val="24"/>
          <w:highlight w:val="none"/>
        </w:rPr>
        <w:t>答复</w:t>
      </w:r>
      <w:r>
        <w:rPr>
          <w:color w:val="auto"/>
          <w:highlight w:val="none"/>
        </w:rPr>
        <w:tab/>
      </w:r>
      <w:r>
        <w:rPr>
          <w:color w:val="auto"/>
          <w:highlight w:val="none"/>
        </w:rPr>
        <w:fldChar w:fldCharType="begin"/>
      </w:r>
      <w:r>
        <w:rPr>
          <w:color w:val="auto"/>
          <w:highlight w:val="none"/>
        </w:rPr>
        <w:instrText xml:space="preserve"> PAGEREF _Toc29693 </w:instrText>
      </w:r>
      <w:r>
        <w:rPr>
          <w:color w:val="auto"/>
          <w:highlight w:val="none"/>
        </w:rPr>
        <w:fldChar w:fldCharType="separate"/>
      </w:r>
      <w:r>
        <w:rPr>
          <w:color w:val="auto"/>
          <w:highlight w:val="none"/>
        </w:rPr>
        <w:t>24</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_Toc7894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3.8 </w:t>
      </w:r>
      <w:r>
        <w:rPr>
          <w:rFonts w:hint="eastAsia" w:ascii="仿宋" w:hAnsi="仿宋" w:eastAsia="仿宋" w:cs="仿宋"/>
          <w:color w:val="auto"/>
          <w:szCs w:val="24"/>
          <w:highlight w:val="none"/>
        </w:rPr>
        <w:t>支付担保</w:t>
      </w:r>
      <w:r>
        <w:rPr>
          <w:color w:val="auto"/>
          <w:highlight w:val="none"/>
        </w:rPr>
        <w:tab/>
      </w:r>
      <w:r>
        <w:rPr>
          <w:color w:val="auto"/>
          <w:highlight w:val="none"/>
        </w:rPr>
        <w:fldChar w:fldCharType="begin"/>
      </w:r>
      <w:r>
        <w:rPr>
          <w:color w:val="auto"/>
          <w:highlight w:val="none"/>
        </w:rPr>
        <w:instrText xml:space="preserve"> PAGEREF _Toc7894 </w:instrText>
      </w:r>
      <w:r>
        <w:rPr>
          <w:color w:val="auto"/>
          <w:highlight w:val="none"/>
        </w:rPr>
        <w:fldChar w:fldCharType="separate"/>
      </w:r>
      <w:r>
        <w:rPr>
          <w:color w:val="auto"/>
          <w:highlight w:val="none"/>
        </w:rPr>
        <w:t>24</w:t>
      </w:r>
      <w:r>
        <w:rPr>
          <w:color w:val="auto"/>
          <w:highlight w:val="none"/>
        </w:rPr>
        <w:fldChar w:fldCharType="end"/>
      </w:r>
      <w:r>
        <w:rPr>
          <w:rFonts w:ascii="宋体" w:hAnsi="宋体" w:cs="华文中宋"/>
          <w:caps/>
          <w:color w:val="auto"/>
          <w:spacing w:val="80"/>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_Toc4465 </w:instrText>
      </w:r>
      <w:r>
        <w:rPr>
          <w:rFonts w:ascii="宋体" w:hAnsi="宋体" w:cs="华文中宋"/>
          <w:caps/>
          <w:color w:val="auto"/>
          <w:spacing w:val="80"/>
          <w:highlight w:val="none"/>
        </w:rPr>
        <w:fldChar w:fldCharType="separate"/>
      </w:r>
      <w:r>
        <w:rPr>
          <w:rFonts w:ascii="仿宋" w:hAnsi="仿宋" w:eastAsia="仿宋" w:cs="仿宋"/>
          <w:bCs/>
          <w:color w:val="auto"/>
          <w:szCs w:val="24"/>
          <w:highlight w:val="none"/>
        </w:rPr>
        <w:t xml:space="preserve">4. </w:t>
      </w:r>
      <w:r>
        <w:rPr>
          <w:rFonts w:hint="eastAsia" w:ascii="仿宋" w:hAnsi="仿宋" w:eastAsia="仿宋" w:cs="仿宋"/>
          <w:bCs/>
          <w:color w:val="auto"/>
          <w:szCs w:val="24"/>
          <w:highlight w:val="none"/>
        </w:rPr>
        <w:t>违约责任</w:t>
      </w:r>
      <w:r>
        <w:rPr>
          <w:color w:val="auto"/>
          <w:highlight w:val="none"/>
        </w:rPr>
        <w:tab/>
      </w:r>
      <w:r>
        <w:rPr>
          <w:color w:val="auto"/>
          <w:highlight w:val="none"/>
        </w:rPr>
        <w:fldChar w:fldCharType="begin"/>
      </w:r>
      <w:r>
        <w:rPr>
          <w:color w:val="auto"/>
          <w:highlight w:val="none"/>
        </w:rPr>
        <w:instrText xml:space="preserve"> PAGEREF _Toc4465 </w:instrText>
      </w:r>
      <w:r>
        <w:rPr>
          <w:color w:val="auto"/>
          <w:highlight w:val="none"/>
        </w:rPr>
        <w:fldChar w:fldCharType="separate"/>
      </w:r>
      <w:r>
        <w:rPr>
          <w:color w:val="auto"/>
          <w:highlight w:val="none"/>
        </w:rPr>
        <w:t>24</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_Toc3357 </w:instrText>
      </w:r>
      <w:r>
        <w:rPr>
          <w:rFonts w:ascii="宋体" w:hAnsi="宋体" w:cs="华文中宋"/>
          <w:caps/>
          <w:color w:val="auto"/>
          <w:spacing w:val="80"/>
          <w:highlight w:val="none"/>
        </w:rPr>
        <w:fldChar w:fldCharType="separate"/>
      </w:r>
      <w:r>
        <w:rPr>
          <w:rFonts w:hint="eastAsia" w:ascii="仿宋" w:hAnsi="仿宋" w:eastAsia="仿宋" w:cs="Arial Unicode MS"/>
          <w:bCs/>
          <w:color w:val="auto"/>
          <w:kern w:val="0"/>
          <w:szCs w:val="24"/>
          <w:highlight w:val="none"/>
        </w:rPr>
        <w:t>★</w:t>
      </w:r>
      <w:r>
        <w:rPr>
          <w:rFonts w:ascii="仿宋" w:hAnsi="仿宋" w:eastAsia="仿宋" w:cs="仿宋"/>
          <w:color w:val="auto"/>
          <w:szCs w:val="24"/>
          <w:highlight w:val="none"/>
        </w:rPr>
        <w:t xml:space="preserve">4.1 </w:t>
      </w:r>
      <w:r>
        <w:rPr>
          <w:rFonts w:hint="eastAsia" w:ascii="仿宋" w:hAnsi="仿宋" w:eastAsia="仿宋" w:cs="仿宋"/>
          <w:color w:val="auto"/>
          <w:szCs w:val="24"/>
          <w:highlight w:val="none"/>
        </w:rPr>
        <w:t>监理人的违约责任</w:t>
      </w:r>
      <w:r>
        <w:rPr>
          <w:color w:val="auto"/>
          <w:highlight w:val="none"/>
        </w:rPr>
        <w:tab/>
      </w:r>
      <w:r>
        <w:rPr>
          <w:color w:val="auto"/>
          <w:highlight w:val="none"/>
        </w:rPr>
        <w:fldChar w:fldCharType="begin"/>
      </w:r>
      <w:r>
        <w:rPr>
          <w:color w:val="auto"/>
          <w:highlight w:val="none"/>
        </w:rPr>
        <w:instrText xml:space="preserve"> PAGEREF _Toc3357 </w:instrText>
      </w:r>
      <w:r>
        <w:rPr>
          <w:color w:val="auto"/>
          <w:highlight w:val="none"/>
        </w:rPr>
        <w:fldChar w:fldCharType="separate"/>
      </w:r>
      <w:r>
        <w:rPr>
          <w:color w:val="auto"/>
          <w:highlight w:val="none"/>
        </w:rPr>
        <w:t>24</w:t>
      </w:r>
      <w:r>
        <w:rPr>
          <w:color w:val="auto"/>
          <w:highlight w:val="none"/>
        </w:rPr>
        <w:fldChar w:fldCharType="end"/>
      </w:r>
      <w:r>
        <w:rPr>
          <w:rFonts w:ascii="宋体" w:hAnsi="宋体" w:cs="华文中宋"/>
          <w:caps/>
          <w:color w:val="auto"/>
          <w:spacing w:val="80"/>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_Toc22738 </w:instrText>
      </w:r>
      <w:r>
        <w:rPr>
          <w:rFonts w:ascii="宋体" w:hAnsi="宋体" w:cs="华文中宋"/>
          <w:caps/>
          <w:color w:val="auto"/>
          <w:spacing w:val="80"/>
          <w:highlight w:val="none"/>
        </w:rPr>
        <w:fldChar w:fldCharType="separate"/>
      </w:r>
      <w:r>
        <w:rPr>
          <w:rFonts w:hint="eastAsia" w:ascii="仿宋" w:hAnsi="仿宋" w:eastAsia="仿宋" w:cs="Arial Unicode MS"/>
          <w:bCs/>
          <w:color w:val="auto"/>
          <w:kern w:val="0"/>
          <w:szCs w:val="24"/>
          <w:highlight w:val="none"/>
        </w:rPr>
        <w:t>★</w:t>
      </w:r>
      <w:r>
        <w:rPr>
          <w:rFonts w:ascii="仿宋" w:hAnsi="仿宋" w:eastAsia="仿宋" w:cs="仿宋"/>
          <w:bCs/>
          <w:color w:val="auto"/>
          <w:szCs w:val="24"/>
          <w:highlight w:val="none"/>
        </w:rPr>
        <w:t xml:space="preserve">5. </w:t>
      </w:r>
      <w:r>
        <w:rPr>
          <w:rFonts w:hint="eastAsia" w:ascii="仿宋" w:hAnsi="仿宋" w:eastAsia="仿宋" w:cs="仿宋"/>
          <w:bCs/>
          <w:color w:val="auto"/>
          <w:szCs w:val="24"/>
          <w:highlight w:val="none"/>
        </w:rPr>
        <w:t>支付</w:t>
      </w:r>
      <w:r>
        <w:rPr>
          <w:color w:val="auto"/>
          <w:highlight w:val="none"/>
        </w:rPr>
        <w:tab/>
      </w:r>
      <w:r>
        <w:rPr>
          <w:color w:val="auto"/>
          <w:highlight w:val="none"/>
        </w:rPr>
        <w:fldChar w:fldCharType="begin"/>
      </w:r>
      <w:r>
        <w:rPr>
          <w:color w:val="auto"/>
          <w:highlight w:val="none"/>
        </w:rPr>
        <w:instrText xml:space="preserve"> PAGEREF _Toc22738 </w:instrText>
      </w:r>
      <w:r>
        <w:rPr>
          <w:color w:val="auto"/>
          <w:highlight w:val="none"/>
        </w:rPr>
        <w:fldChar w:fldCharType="separate"/>
      </w:r>
      <w:r>
        <w:rPr>
          <w:color w:val="auto"/>
          <w:highlight w:val="none"/>
        </w:rPr>
        <w:t>24</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_Toc19955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5.1 </w:t>
      </w:r>
      <w:r>
        <w:rPr>
          <w:rFonts w:hint="eastAsia" w:ascii="仿宋" w:hAnsi="仿宋" w:eastAsia="仿宋" w:cs="仿宋"/>
          <w:color w:val="auto"/>
          <w:szCs w:val="24"/>
          <w:highlight w:val="none"/>
        </w:rPr>
        <w:t>支付货币</w:t>
      </w:r>
      <w:r>
        <w:rPr>
          <w:color w:val="auto"/>
          <w:highlight w:val="none"/>
        </w:rPr>
        <w:tab/>
      </w:r>
      <w:r>
        <w:rPr>
          <w:color w:val="auto"/>
          <w:highlight w:val="none"/>
        </w:rPr>
        <w:fldChar w:fldCharType="begin"/>
      </w:r>
      <w:r>
        <w:rPr>
          <w:color w:val="auto"/>
          <w:highlight w:val="none"/>
        </w:rPr>
        <w:instrText xml:space="preserve"> PAGEREF _Toc19955 </w:instrText>
      </w:r>
      <w:r>
        <w:rPr>
          <w:color w:val="auto"/>
          <w:highlight w:val="none"/>
        </w:rPr>
        <w:fldChar w:fldCharType="separate"/>
      </w:r>
      <w:r>
        <w:rPr>
          <w:color w:val="auto"/>
          <w:highlight w:val="none"/>
        </w:rPr>
        <w:t>24</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_Toc26750 </w:instrText>
      </w:r>
      <w:r>
        <w:rPr>
          <w:rFonts w:ascii="宋体" w:hAnsi="宋体" w:cs="华文中宋"/>
          <w:caps/>
          <w:color w:val="auto"/>
          <w:spacing w:val="80"/>
          <w:highlight w:val="none"/>
        </w:rPr>
        <w:fldChar w:fldCharType="separate"/>
      </w:r>
      <w:r>
        <w:rPr>
          <w:rFonts w:hint="eastAsia" w:ascii="仿宋" w:hAnsi="仿宋" w:eastAsia="仿宋" w:cs="Arial Unicode MS"/>
          <w:bCs/>
          <w:color w:val="auto"/>
          <w:kern w:val="0"/>
          <w:szCs w:val="24"/>
          <w:highlight w:val="none"/>
        </w:rPr>
        <w:t>★</w:t>
      </w:r>
      <w:r>
        <w:rPr>
          <w:rFonts w:ascii="仿宋" w:hAnsi="仿宋" w:eastAsia="仿宋" w:cs="仿宋"/>
          <w:color w:val="auto"/>
          <w:szCs w:val="24"/>
          <w:highlight w:val="none"/>
        </w:rPr>
        <w:t xml:space="preserve">5.3 </w:t>
      </w:r>
      <w:r>
        <w:rPr>
          <w:rFonts w:hint="eastAsia" w:ascii="仿宋" w:hAnsi="仿宋" w:eastAsia="仿宋" w:cs="仿宋"/>
          <w:color w:val="auto"/>
          <w:szCs w:val="24"/>
          <w:highlight w:val="none"/>
        </w:rPr>
        <w:t>支付酬金</w:t>
      </w:r>
      <w:r>
        <w:rPr>
          <w:color w:val="auto"/>
          <w:highlight w:val="none"/>
        </w:rPr>
        <w:tab/>
      </w:r>
      <w:r>
        <w:rPr>
          <w:color w:val="auto"/>
          <w:highlight w:val="none"/>
        </w:rPr>
        <w:fldChar w:fldCharType="begin"/>
      </w:r>
      <w:r>
        <w:rPr>
          <w:color w:val="auto"/>
          <w:highlight w:val="none"/>
        </w:rPr>
        <w:instrText xml:space="preserve"> PAGEREF _Toc26750 </w:instrText>
      </w:r>
      <w:r>
        <w:rPr>
          <w:color w:val="auto"/>
          <w:highlight w:val="none"/>
        </w:rPr>
        <w:fldChar w:fldCharType="separate"/>
      </w:r>
      <w:r>
        <w:rPr>
          <w:color w:val="auto"/>
          <w:highlight w:val="none"/>
        </w:rPr>
        <w:t>25</w:t>
      </w:r>
      <w:r>
        <w:rPr>
          <w:color w:val="auto"/>
          <w:highlight w:val="none"/>
        </w:rPr>
        <w:fldChar w:fldCharType="end"/>
      </w:r>
      <w:r>
        <w:rPr>
          <w:rFonts w:ascii="宋体" w:hAnsi="宋体" w:cs="华文中宋"/>
          <w:caps/>
          <w:color w:val="auto"/>
          <w:spacing w:val="80"/>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_Toc11558 </w:instrText>
      </w:r>
      <w:r>
        <w:rPr>
          <w:rFonts w:ascii="宋体" w:hAnsi="宋体" w:cs="华文中宋"/>
          <w:caps/>
          <w:color w:val="auto"/>
          <w:spacing w:val="80"/>
          <w:highlight w:val="none"/>
        </w:rPr>
        <w:fldChar w:fldCharType="separate"/>
      </w:r>
      <w:r>
        <w:rPr>
          <w:rFonts w:ascii="仿宋" w:hAnsi="仿宋" w:eastAsia="仿宋" w:cs="仿宋"/>
          <w:bCs/>
          <w:color w:val="auto"/>
          <w:szCs w:val="24"/>
          <w:highlight w:val="none"/>
        </w:rPr>
        <w:t xml:space="preserve">6. </w:t>
      </w:r>
      <w:r>
        <w:rPr>
          <w:rFonts w:hint="eastAsia" w:ascii="仿宋" w:hAnsi="仿宋" w:eastAsia="仿宋" w:cs="仿宋"/>
          <w:bCs/>
          <w:color w:val="auto"/>
          <w:szCs w:val="24"/>
          <w:highlight w:val="none"/>
        </w:rPr>
        <w:t>合同生效、变更、暂停、解除与终止</w:t>
      </w:r>
      <w:r>
        <w:rPr>
          <w:color w:val="auto"/>
          <w:highlight w:val="none"/>
        </w:rPr>
        <w:tab/>
      </w:r>
      <w:r>
        <w:rPr>
          <w:color w:val="auto"/>
          <w:highlight w:val="none"/>
        </w:rPr>
        <w:fldChar w:fldCharType="begin"/>
      </w:r>
      <w:r>
        <w:rPr>
          <w:color w:val="auto"/>
          <w:highlight w:val="none"/>
        </w:rPr>
        <w:instrText xml:space="preserve"> PAGEREF _Toc11558 </w:instrText>
      </w:r>
      <w:r>
        <w:rPr>
          <w:color w:val="auto"/>
          <w:highlight w:val="none"/>
        </w:rPr>
        <w:fldChar w:fldCharType="separate"/>
      </w:r>
      <w:r>
        <w:rPr>
          <w:color w:val="auto"/>
          <w:highlight w:val="none"/>
        </w:rPr>
        <w:t>25</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_Toc6415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6.1 </w:t>
      </w:r>
      <w:r>
        <w:rPr>
          <w:rFonts w:hint="eastAsia" w:ascii="仿宋" w:hAnsi="仿宋" w:eastAsia="仿宋" w:cs="仿宋"/>
          <w:color w:val="auto"/>
          <w:szCs w:val="24"/>
          <w:highlight w:val="none"/>
        </w:rPr>
        <w:t>生效</w:t>
      </w:r>
      <w:r>
        <w:rPr>
          <w:color w:val="auto"/>
          <w:highlight w:val="none"/>
        </w:rPr>
        <w:tab/>
      </w:r>
      <w:r>
        <w:rPr>
          <w:color w:val="auto"/>
          <w:highlight w:val="none"/>
        </w:rPr>
        <w:fldChar w:fldCharType="begin"/>
      </w:r>
      <w:r>
        <w:rPr>
          <w:color w:val="auto"/>
          <w:highlight w:val="none"/>
        </w:rPr>
        <w:instrText xml:space="preserve"> PAGEREF _Toc6415 </w:instrText>
      </w:r>
      <w:r>
        <w:rPr>
          <w:color w:val="auto"/>
          <w:highlight w:val="none"/>
        </w:rPr>
        <w:fldChar w:fldCharType="separate"/>
      </w:r>
      <w:r>
        <w:rPr>
          <w:color w:val="auto"/>
          <w:highlight w:val="none"/>
        </w:rPr>
        <w:t>25</w:t>
      </w:r>
      <w:r>
        <w:rPr>
          <w:color w:val="auto"/>
          <w:highlight w:val="none"/>
        </w:rPr>
        <w:fldChar w:fldCharType="end"/>
      </w:r>
      <w:r>
        <w:rPr>
          <w:rFonts w:ascii="宋体" w:hAnsi="宋体" w:cs="华文中宋"/>
          <w:caps/>
          <w:color w:val="auto"/>
          <w:spacing w:val="80"/>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_Toc20518 </w:instrText>
      </w:r>
      <w:r>
        <w:rPr>
          <w:rFonts w:ascii="宋体" w:hAnsi="宋体" w:cs="华文中宋"/>
          <w:caps/>
          <w:color w:val="auto"/>
          <w:spacing w:val="80"/>
          <w:highlight w:val="none"/>
        </w:rPr>
        <w:fldChar w:fldCharType="separate"/>
      </w:r>
      <w:r>
        <w:rPr>
          <w:rFonts w:ascii="仿宋" w:hAnsi="仿宋" w:eastAsia="仿宋" w:cs="仿宋"/>
          <w:bCs/>
          <w:color w:val="auto"/>
          <w:szCs w:val="24"/>
          <w:highlight w:val="none"/>
        </w:rPr>
        <w:t xml:space="preserve">7. </w:t>
      </w:r>
      <w:r>
        <w:rPr>
          <w:rFonts w:hint="eastAsia" w:ascii="仿宋" w:hAnsi="仿宋" w:eastAsia="仿宋" w:cs="仿宋"/>
          <w:bCs/>
          <w:color w:val="auto"/>
          <w:szCs w:val="24"/>
          <w:highlight w:val="none"/>
        </w:rPr>
        <w:t>争议解决</w:t>
      </w:r>
      <w:r>
        <w:rPr>
          <w:color w:val="auto"/>
          <w:highlight w:val="none"/>
        </w:rPr>
        <w:tab/>
      </w:r>
      <w:r>
        <w:rPr>
          <w:color w:val="auto"/>
          <w:highlight w:val="none"/>
        </w:rPr>
        <w:fldChar w:fldCharType="begin"/>
      </w:r>
      <w:r>
        <w:rPr>
          <w:color w:val="auto"/>
          <w:highlight w:val="none"/>
        </w:rPr>
        <w:instrText xml:space="preserve"> PAGEREF _Toc20518 </w:instrText>
      </w:r>
      <w:r>
        <w:rPr>
          <w:color w:val="auto"/>
          <w:highlight w:val="none"/>
        </w:rPr>
        <w:fldChar w:fldCharType="separate"/>
      </w:r>
      <w:r>
        <w:rPr>
          <w:color w:val="auto"/>
          <w:highlight w:val="none"/>
        </w:rPr>
        <w:t>25</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_Toc27999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7.2 </w:t>
      </w:r>
      <w:r>
        <w:rPr>
          <w:rFonts w:hint="eastAsia" w:ascii="仿宋" w:hAnsi="仿宋" w:eastAsia="仿宋" w:cs="仿宋"/>
          <w:color w:val="auto"/>
          <w:szCs w:val="24"/>
          <w:highlight w:val="none"/>
        </w:rPr>
        <w:t>调解</w:t>
      </w:r>
      <w:r>
        <w:rPr>
          <w:color w:val="auto"/>
          <w:highlight w:val="none"/>
        </w:rPr>
        <w:tab/>
      </w:r>
      <w:r>
        <w:rPr>
          <w:color w:val="auto"/>
          <w:highlight w:val="none"/>
        </w:rPr>
        <w:fldChar w:fldCharType="begin"/>
      </w:r>
      <w:r>
        <w:rPr>
          <w:color w:val="auto"/>
          <w:highlight w:val="none"/>
        </w:rPr>
        <w:instrText xml:space="preserve"> PAGEREF _Toc27999 </w:instrText>
      </w:r>
      <w:r>
        <w:rPr>
          <w:color w:val="auto"/>
          <w:highlight w:val="none"/>
        </w:rPr>
        <w:fldChar w:fldCharType="separate"/>
      </w:r>
      <w:r>
        <w:rPr>
          <w:color w:val="auto"/>
          <w:highlight w:val="none"/>
        </w:rPr>
        <w:t>25</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_Toc30052 </w:instrText>
      </w:r>
      <w:r>
        <w:rPr>
          <w:rFonts w:ascii="宋体" w:hAnsi="宋体" w:cs="华文中宋"/>
          <w:caps/>
          <w:color w:val="auto"/>
          <w:spacing w:val="80"/>
          <w:highlight w:val="none"/>
        </w:rPr>
        <w:fldChar w:fldCharType="separate"/>
      </w:r>
      <w:r>
        <w:rPr>
          <w:rFonts w:hint="eastAsia" w:ascii="仿宋" w:hAnsi="仿宋" w:eastAsia="仿宋" w:cs="仿宋"/>
          <w:color w:val="auto"/>
          <w:szCs w:val="24"/>
          <w:highlight w:val="none"/>
        </w:rPr>
        <w:t>本合同在履行过程中发生争议时，当事人双方应及时协商解决</w:t>
      </w:r>
      <w:r>
        <w:rPr>
          <w:color w:val="auto"/>
          <w:highlight w:val="none"/>
        </w:rPr>
        <w:tab/>
      </w:r>
      <w:r>
        <w:rPr>
          <w:color w:val="auto"/>
          <w:highlight w:val="none"/>
        </w:rPr>
        <w:fldChar w:fldCharType="begin"/>
      </w:r>
      <w:r>
        <w:rPr>
          <w:color w:val="auto"/>
          <w:highlight w:val="none"/>
        </w:rPr>
        <w:instrText xml:space="preserve"> PAGEREF _Toc30052 </w:instrText>
      </w:r>
      <w:r>
        <w:rPr>
          <w:color w:val="auto"/>
          <w:highlight w:val="none"/>
        </w:rPr>
        <w:fldChar w:fldCharType="separate"/>
      </w:r>
      <w:r>
        <w:rPr>
          <w:color w:val="auto"/>
          <w:highlight w:val="none"/>
        </w:rPr>
        <w:t>25</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_Toc2230 </w:instrText>
      </w:r>
      <w:r>
        <w:rPr>
          <w:rFonts w:ascii="宋体" w:hAnsi="宋体" w:cs="华文中宋"/>
          <w:caps/>
          <w:color w:val="auto"/>
          <w:spacing w:val="80"/>
          <w:highlight w:val="none"/>
        </w:rPr>
        <w:fldChar w:fldCharType="separate"/>
      </w:r>
      <w:r>
        <w:rPr>
          <w:rFonts w:ascii="仿宋" w:hAnsi="仿宋" w:eastAsia="仿宋" w:cs="仿宋"/>
          <w:color w:val="auto"/>
          <w:szCs w:val="24"/>
          <w:highlight w:val="none"/>
        </w:rPr>
        <w:t xml:space="preserve">7.3 </w:t>
      </w:r>
      <w:r>
        <w:rPr>
          <w:rFonts w:hint="eastAsia" w:ascii="仿宋" w:hAnsi="仿宋" w:eastAsia="仿宋" w:cs="仿宋"/>
          <w:color w:val="auto"/>
          <w:szCs w:val="24"/>
          <w:highlight w:val="none"/>
        </w:rPr>
        <w:t>仲裁或诉讼</w:t>
      </w:r>
      <w:r>
        <w:rPr>
          <w:color w:val="auto"/>
          <w:highlight w:val="none"/>
        </w:rPr>
        <w:tab/>
      </w:r>
      <w:r>
        <w:rPr>
          <w:color w:val="auto"/>
          <w:highlight w:val="none"/>
        </w:rPr>
        <w:fldChar w:fldCharType="begin"/>
      </w:r>
      <w:r>
        <w:rPr>
          <w:color w:val="auto"/>
          <w:highlight w:val="none"/>
        </w:rPr>
        <w:instrText xml:space="preserve"> PAGEREF _Toc2230 </w:instrText>
      </w:r>
      <w:r>
        <w:rPr>
          <w:color w:val="auto"/>
          <w:highlight w:val="none"/>
        </w:rPr>
        <w:fldChar w:fldCharType="separate"/>
      </w:r>
      <w:r>
        <w:rPr>
          <w:color w:val="auto"/>
          <w:highlight w:val="none"/>
        </w:rPr>
        <w:t>25</w:t>
      </w:r>
      <w:r>
        <w:rPr>
          <w:color w:val="auto"/>
          <w:highlight w:val="none"/>
        </w:rPr>
        <w:fldChar w:fldCharType="end"/>
      </w:r>
      <w:r>
        <w:rPr>
          <w:rFonts w:ascii="宋体" w:hAnsi="宋体" w:cs="华文中宋"/>
          <w:caps/>
          <w:color w:val="auto"/>
          <w:spacing w:val="80"/>
          <w:highlight w:val="none"/>
        </w:rPr>
        <w:fldChar w:fldCharType="end"/>
      </w:r>
    </w:p>
    <w:p>
      <w:pPr>
        <w:pStyle w:val="22"/>
        <w:tabs>
          <w:tab w:val="right" w:leader="dot" w:pos="9638"/>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_Toc11598 </w:instrText>
      </w:r>
      <w:r>
        <w:rPr>
          <w:rFonts w:ascii="宋体" w:hAnsi="宋体" w:cs="华文中宋"/>
          <w:caps/>
          <w:color w:val="auto"/>
          <w:spacing w:val="80"/>
          <w:highlight w:val="none"/>
        </w:rPr>
        <w:fldChar w:fldCharType="separate"/>
      </w:r>
      <w:r>
        <w:rPr>
          <w:rFonts w:ascii="仿宋" w:hAnsi="仿宋" w:eastAsia="仿宋" w:cs="仿宋"/>
          <w:bCs/>
          <w:color w:val="auto"/>
          <w:szCs w:val="24"/>
          <w:highlight w:val="none"/>
        </w:rPr>
        <w:t xml:space="preserve">8. </w:t>
      </w:r>
      <w:r>
        <w:rPr>
          <w:rFonts w:hint="eastAsia" w:ascii="仿宋" w:hAnsi="仿宋" w:eastAsia="仿宋" w:cs="仿宋"/>
          <w:bCs/>
          <w:color w:val="auto"/>
          <w:szCs w:val="24"/>
          <w:highlight w:val="none"/>
        </w:rPr>
        <w:t>补充条款</w:t>
      </w:r>
      <w:r>
        <w:rPr>
          <w:color w:val="auto"/>
          <w:highlight w:val="none"/>
        </w:rPr>
        <w:tab/>
      </w:r>
      <w:r>
        <w:rPr>
          <w:color w:val="auto"/>
          <w:highlight w:val="none"/>
        </w:rPr>
        <w:fldChar w:fldCharType="begin"/>
      </w:r>
      <w:r>
        <w:rPr>
          <w:color w:val="auto"/>
          <w:highlight w:val="none"/>
        </w:rPr>
        <w:instrText xml:space="preserve"> PAGEREF _Toc11598 </w:instrText>
      </w:r>
      <w:r>
        <w:rPr>
          <w:color w:val="auto"/>
          <w:highlight w:val="none"/>
        </w:rPr>
        <w:fldChar w:fldCharType="separate"/>
      </w:r>
      <w:r>
        <w:rPr>
          <w:color w:val="auto"/>
          <w:highlight w:val="none"/>
        </w:rPr>
        <w:t>25</w:t>
      </w:r>
      <w:r>
        <w:rPr>
          <w:color w:val="auto"/>
          <w:highlight w:val="none"/>
        </w:rPr>
        <w:fldChar w:fldCharType="end"/>
      </w:r>
      <w:r>
        <w:rPr>
          <w:rFonts w:ascii="宋体" w:hAnsi="宋体" w:cs="华文中宋"/>
          <w:caps/>
          <w:color w:val="auto"/>
          <w:spacing w:val="80"/>
          <w:highlight w:val="none"/>
        </w:rPr>
        <w:fldChar w:fldCharType="end"/>
      </w:r>
    </w:p>
    <w:p>
      <w:pPr>
        <w:tabs>
          <w:tab w:val="left" w:pos="3120"/>
        </w:tabs>
        <w:spacing w:line="360" w:lineRule="auto"/>
        <w:ind w:firstLine="2220" w:firstLineChars="600"/>
        <w:rPr>
          <w:rFonts w:ascii="华文中宋" w:hAnsi="华文中宋" w:eastAsia="华文中宋"/>
          <w:caps/>
          <w:color w:val="auto"/>
          <w:spacing w:val="80"/>
          <w:sz w:val="28"/>
          <w:szCs w:val="28"/>
          <w:highlight w:val="none"/>
        </w:rPr>
        <w:sectPr>
          <w:footerReference r:id="rId16" w:type="default"/>
          <w:pgSz w:w="11906" w:h="16838"/>
          <w:pgMar w:top="1440" w:right="1134" w:bottom="1440" w:left="1134" w:header="851" w:footer="992" w:gutter="0"/>
          <w:pgNumType w:start="1"/>
          <w:cols w:space="720" w:num="1"/>
          <w:docGrid w:type="lines" w:linePitch="312" w:charSpace="0"/>
        </w:sectPr>
      </w:pPr>
      <w:r>
        <w:rPr>
          <w:rFonts w:ascii="宋体" w:hAnsi="宋体" w:cs="华文中宋"/>
          <w:caps/>
          <w:color w:val="auto"/>
          <w:spacing w:val="80"/>
          <w:highlight w:val="none"/>
        </w:rPr>
        <w:fldChar w:fldCharType="end"/>
      </w:r>
    </w:p>
    <w:p>
      <w:pPr>
        <w:spacing w:line="640" w:lineRule="exact"/>
        <w:jc w:val="center"/>
        <w:rPr>
          <w:rFonts w:ascii="仿宋" w:hAnsi="仿宋" w:eastAsia="仿宋" w:cs="宋体"/>
          <w:b/>
          <w:bCs/>
          <w:color w:val="auto"/>
          <w:sz w:val="36"/>
          <w:szCs w:val="36"/>
          <w:highlight w:val="none"/>
        </w:rPr>
      </w:pPr>
      <w:r>
        <w:rPr>
          <w:rFonts w:hint="eastAsia" w:ascii="仿宋" w:hAnsi="仿宋" w:eastAsia="仿宋" w:cs="宋体"/>
          <w:b/>
          <w:bCs/>
          <w:color w:val="auto"/>
          <w:sz w:val="36"/>
          <w:szCs w:val="36"/>
          <w:highlight w:val="none"/>
        </w:rPr>
        <w:t>总</w:t>
      </w:r>
      <w:r>
        <w:rPr>
          <w:rFonts w:ascii="仿宋" w:hAnsi="仿宋" w:eastAsia="仿宋" w:cs="宋体"/>
          <w:b/>
          <w:bCs/>
          <w:color w:val="auto"/>
          <w:sz w:val="36"/>
          <w:szCs w:val="36"/>
          <w:highlight w:val="none"/>
        </w:rPr>
        <w:t xml:space="preserve"> </w:t>
      </w:r>
      <w:r>
        <w:rPr>
          <w:rFonts w:hint="eastAsia" w:ascii="仿宋" w:hAnsi="仿宋" w:eastAsia="仿宋" w:cs="宋体"/>
          <w:b/>
          <w:bCs/>
          <w:color w:val="auto"/>
          <w:sz w:val="36"/>
          <w:szCs w:val="36"/>
          <w:highlight w:val="none"/>
        </w:rPr>
        <w:t>说</w:t>
      </w:r>
      <w:r>
        <w:rPr>
          <w:rFonts w:ascii="仿宋" w:hAnsi="仿宋" w:eastAsia="仿宋" w:cs="宋体"/>
          <w:b/>
          <w:bCs/>
          <w:color w:val="auto"/>
          <w:sz w:val="36"/>
          <w:szCs w:val="36"/>
          <w:highlight w:val="none"/>
        </w:rPr>
        <w:t xml:space="preserve"> </w:t>
      </w:r>
      <w:r>
        <w:rPr>
          <w:rFonts w:hint="eastAsia" w:ascii="仿宋" w:hAnsi="仿宋" w:eastAsia="仿宋" w:cs="宋体"/>
          <w:b/>
          <w:bCs/>
          <w:color w:val="auto"/>
          <w:sz w:val="36"/>
          <w:szCs w:val="36"/>
          <w:highlight w:val="none"/>
        </w:rPr>
        <w:t>明</w:t>
      </w:r>
    </w:p>
    <w:p>
      <w:pPr>
        <w:tabs>
          <w:tab w:val="left" w:pos="3120"/>
        </w:tabs>
        <w:spacing w:line="360" w:lineRule="auto"/>
        <w:ind w:firstLine="2650" w:firstLineChars="600"/>
        <w:outlineLvl w:val="0"/>
        <w:rPr>
          <w:rFonts w:ascii="宋体"/>
          <w:b/>
          <w:bCs/>
          <w:color w:val="auto"/>
          <w:sz w:val="44"/>
          <w:szCs w:val="44"/>
          <w:highlight w:val="none"/>
        </w:rPr>
      </w:pPr>
    </w:p>
    <w:p>
      <w:pPr>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了指导建设工程监理合同当事人的签约行为，维护合同当事人的合法权益，依据《中华人民共和国民法典》、《中华人民共和国建筑法》、《中华人民共和国招标投标法》以及相关法律法规，广州市住房和城乡建设局、广州市市场监督管理局联合制定了合同示范文本《广州市建设工程监理合同》（</w:t>
      </w:r>
      <w:r>
        <w:rPr>
          <w:rFonts w:ascii="仿宋" w:hAnsi="仿宋" w:eastAsia="仿宋" w:cs="仿宋"/>
          <w:color w:val="auto"/>
          <w:sz w:val="24"/>
          <w:szCs w:val="24"/>
          <w:highlight w:val="none"/>
        </w:rPr>
        <w:t>SF-2019-0206</w:t>
      </w:r>
      <w:r>
        <w:rPr>
          <w:rFonts w:hint="eastAsia" w:ascii="仿宋" w:hAnsi="仿宋" w:eastAsia="仿宋" w:cs="仿宋"/>
          <w:color w:val="auto"/>
          <w:sz w:val="24"/>
          <w:szCs w:val="24"/>
          <w:highlight w:val="none"/>
        </w:rPr>
        <w:t>）。为了便于合同当事人使用《广州市建设工程监理合同》（</w:t>
      </w:r>
      <w:r>
        <w:rPr>
          <w:rFonts w:ascii="仿宋" w:hAnsi="仿宋" w:eastAsia="仿宋" w:cs="仿宋"/>
          <w:color w:val="auto"/>
          <w:sz w:val="24"/>
          <w:szCs w:val="24"/>
          <w:highlight w:val="none"/>
        </w:rPr>
        <w:t>SF-2019-0206</w:t>
      </w:r>
      <w:r>
        <w:rPr>
          <w:rFonts w:hint="eastAsia" w:ascii="仿宋" w:hAnsi="仿宋" w:eastAsia="仿宋" w:cs="仿宋"/>
          <w:color w:val="auto"/>
          <w:sz w:val="24"/>
          <w:szCs w:val="24"/>
          <w:highlight w:val="none"/>
        </w:rPr>
        <w:t>），现就有关问题说明如下：</w:t>
      </w:r>
    </w:p>
    <w:p>
      <w:pPr>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一、《广州市建设工程监理合同》（</w:t>
      </w:r>
      <w:r>
        <w:rPr>
          <w:rFonts w:ascii="仿宋" w:hAnsi="仿宋" w:eastAsia="仿宋" w:cs="仿宋"/>
          <w:color w:val="auto"/>
          <w:sz w:val="24"/>
          <w:szCs w:val="24"/>
          <w:highlight w:val="none"/>
        </w:rPr>
        <w:t>SF-2019-0206</w:t>
      </w:r>
      <w:r>
        <w:rPr>
          <w:rFonts w:hint="eastAsia" w:ascii="仿宋" w:hAnsi="仿宋" w:eastAsia="仿宋" w:cs="仿宋"/>
          <w:color w:val="auto"/>
          <w:sz w:val="24"/>
          <w:szCs w:val="24"/>
          <w:highlight w:val="none"/>
        </w:rPr>
        <w:t>）的组成</w:t>
      </w:r>
    </w:p>
    <w:p>
      <w:pPr>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《广州市建设工程监理合同》（</w:t>
      </w:r>
      <w:r>
        <w:rPr>
          <w:rFonts w:ascii="仿宋" w:hAnsi="仿宋" w:eastAsia="仿宋" w:cs="仿宋"/>
          <w:color w:val="auto"/>
          <w:sz w:val="24"/>
          <w:szCs w:val="24"/>
          <w:highlight w:val="none"/>
        </w:rPr>
        <w:t>SF-2019-0206</w:t>
      </w:r>
      <w:r>
        <w:rPr>
          <w:rFonts w:hint="eastAsia" w:ascii="仿宋" w:hAnsi="仿宋" w:eastAsia="仿宋" w:cs="仿宋"/>
          <w:color w:val="auto"/>
          <w:sz w:val="24"/>
          <w:szCs w:val="24"/>
          <w:highlight w:val="none"/>
        </w:rPr>
        <w:t>）由协议书、通用条款和专用条款三部分组成。</w:t>
      </w:r>
    </w:p>
    <w:p>
      <w:pPr>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（一）协议书</w:t>
      </w:r>
    </w:p>
    <w:p>
      <w:pPr>
        <w:spacing w:line="640" w:lineRule="exact"/>
        <w:ind w:left="147" w:leftChars="70"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《广州市建设工程监理合同》（</w:t>
      </w:r>
      <w:r>
        <w:rPr>
          <w:rFonts w:ascii="仿宋" w:hAnsi="仿宋" w:eastAsia="仿宋" w:cs="仿宋"/>
          <w:color w:val="auto"/>
          <w:sz w:val="24"/>
          <w:szCs w:val="24"/>
          <w:highlight w:val="none"/>
        </w:rPr>
        <w:t>SF-2019-0206</w:t>
      </w:r>
      <w:r>
        <w:rPr>
          <w:rFonts w:hint="eastAsia" w:ascii="仿宋" w:hAnsi="仿宋" w:eastAsia="仿宋" w:cs="仿宋"/>
          <w:color w:val="auto"/>
          <w:sz w:val="24"/>
          <w:szCs w:val="24"/>
          <w:highlight w:val="none"/>
        </w:rPr>
        <w:t>）协议书集中约定了合同当事人基本的合同权利义务。</w:t>
      </w:r>
    </w:p>
    <w:p>
      <w:pPr>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（二）通用条款</w:t>
      </w:r>
    </w:p>
    <w:p>
      <w:pPr>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通用条款是合同当事人根据《中华人民共和国民法典》、《中华人民共和国建筑法》等法律法规的规定，就工程监理的实施及相关事项，对合同当事人的权利义务作出的原则性约定。</w:t>
      </w:r>
    </w:p>
    <w:p>
      <w:pPr>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通用条款既考虑了现行法律法规对工程发承包计价的有关要求，也考虑了工程监理管理的特殊需要。</w:t>
      </w:r>
    </w:p>
    <w:p>
      <w:pPr>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（三）专用条款</w:t>
      </w:r>
    </w:p>
    <w:p>
      <w:pPr>
        <w:spacing w:line="640" w:lineRule="exact"/>
        <w:ind w:firstLine="480" w:firstLineChars="200"/>
        <w:rPr>
          <w:rFonts w:hint="eastAsia" w:ascii="仿宋" w:hAnsi="仿宋" w:eastAsia="仿宋" w:cs="仿宋"/>
          <w:color w:val="auto"/>
          <w:sz w:val="24"/>
          <w:szCs w:val="24"/>
          <w:highlight w:val="none"/>
        </w:rPr>
        <w:sectPr>
          <w:footerReference r:id="rId18" w:type="first"/>
          <w:footerReference r:id="rId17" w:type="default"/>
          <w:pgSz w:w="11906" w:h="16838"/>
          <w:pgMar w:top="1440" w:right="1797" w:bottom="1440" w:left="1797" w:header="851" w:footer="992" w:gutter="0"/>
          <w:pgNumType w:start="1"/>
          <w:cols w:space="720" w:num="1"/>
          <w:titlePg/>
          <w:docGrid w:type="lines" w:linePitch="312" w:charSpace="0"/>
        </w:sectPr>
      </w:pPr>
    </w:p>
    <w:p>
      <w:pPr>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pPr>
        <w:spacing w:line="640" w:lineRule="exact"/>
        <w:ind w:right="25" w:rightChars="12"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专用条款的编号应与相应的通用条款的编号一致；</w:t>
      </w:r>
    </w:p>
    <w:p>
      <w:pPr>
        <w:spacing w:line="640" w:lineRule="exact"/>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合同当事人可以通过对专用条款的修改，满足具体工程的特殊要求，避免直接修改通用条款；</w:t>
      </w:r>
    </w:p>
    <w:p>
      <w:pPr>
        <w:spacing w:line="640" w:lineRule="exact"/>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在专用条款中有横道线的地方，合同当事人可针对相应的通用条款进行细化、完善、补充、修改或另行约定；如无细化、完善、补充、修改或另行约定，则填写“无”或划“</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p>
    <w:p>
      <w:pPr>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二、《广州市建设工程监理合同》（</w:t>
      </w:r>
      <w:r>
        <w:rPr>
          <w:rFonts w:ascii="仿宋" w:hAnsi="仿宋" w:eastAsia="仿宋" w:cs="仿宋"/>
          <w:color w:val="auto"/>
          <w:sz w:val="24"/>
          <w:szCs w:val="24"/>
          <w:highlight w:val="none"/>
        </w:rPr>
        <w:t>SF-2019-0206</w:t>
      </w:r>
      <w:r>
        <w:rPr>
          <w:rFonts w:hint="eastAsia" w:ascii="仿宋" w:hAnsi="仿宋" w:eastAsia="仿宋" w:cs="仿宋"/>
          <w:color w:val="auto"/>
          <w:sz w:val="24"/>
          <w:szCs w:val="24"/>
          <w:highlight w:val="none"/>
        </w:rPr>
        <w:t>）的适用范围</w:t>
      </w:r>
    </w:p>
    <w:p>
      <w:pPr>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《广州市建设工程监理合同》（</w:t>
      </w:r>
      <w:r>
        <w:rPr>
          <w:rFonts w:ascii="仿宋" w:hAnsi="仿宋" w:eastAsia="仿宋" w:cs="仿宋"/>
          <w:color w:val="auto"/>
          <w:sz w:val="24"/>
          <w:szCs w:val="24"/>
          <w:highlight w:val="none"/>
        </w:rPr>
        <w:t>SF-2019-0206</w:t>
      </w:r>
      <w:r>
        <w:rPr>
          <w:rFonts w:hint="eastAsia" w:ascii="仿宋" w:hAnsi="仿宋" w:eastAsia="仿宋" w:cs="仿宋"/>
          <w:color w:val="auto"/>
          <w:sz w:val="24"/>
          <w:szCs w:val="24"/>
          <w:highlight w:val="none"/>
        </w:rPr>
        <w:t>）适用于广州市行政区域内建设工程的新建、扩建、改建、装修、修缮等项目监理服务的合同订立。其中，通用条款中带★号的条文，其内容是完整不可分割的，原则上应不进行删减，只能在专用条款中根据实际情况选择或在不违反原条款实质的前提下增加细化内容。其他内容合同当事人可结合建设工程具体情况，按照法律法规规定，根据《广州市建设工程监理合同》（</w:t>
      </w:r>
      <w:r>
        <w:rPr>
          <w:rFonts w:ascii="仿宋" w:hAnsi="仿宋" w:eastAsia="仿宋" w:cs="仿宋"/>
          <w:color w:val="auto"/>
          <w:sz w:val="24"/>
          <w:szCs w:val="24"/>
          <w:highlight w:val="none"/>
        </w:rPr>
        <w:t>SF-2019-0206</w:t>
      </w:r>
      <w:r>
        <w:rPr>
          <w:rFonts w:hint="eastAsia" w:ascii="仿宋" w:hAnsi="仿宋" w:eastAsia="仿宋" w:cs="仿宋"/>
          <w:color w:val="auto"/>
          <w:sz w:val="24"/>
          <w:szCs w:val="24"/>
          <w:highlight w:val="none"/>
        </w:rPr>
        <w:t>）的内容，约定双方具体的权利义务。</w:t>
      </w:r>
    </w:p>
    <w:p>
      <w:pPr>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三、其他事项</w:t>
      </w:r>
    </w:p>
    <w:p>
      <w:pPr>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《广州市建设工程监理合同》（</w:t>
      </w:r>
      <w:r>
        <w:rPr>
          <w:rFonts w:ascii="仿宋" w:hAnsi="仿宋" w:eastAsia="仿宋" w:cs="仿宋"/>
          <w:color w:val="auto"/>
          <w:sz w:val="24"/>
          <w:szCs w:val="24"/>
          <w:highlight w:val="none"/>
        </w:rPr>
        <w:t>SF-2019-0206</w:t>
      </w:r>
      <w:r>
        <w:rPr>
          <w:rFonts w:hint="eastAsia" w:ascii="仿宋" w:hAnsi="仿宋" w:eastAsia="仿宋" w:cs="仿宋"/>
          <w:color w:val="auto"/>
          <w:sz w:val="24"/>
          <w:szCs w:val="24"/>
          <w:highlight w:val="none"/>
        </w:rPr>
        <w:t>）专用条款中的“支付”条款，在签订合同时优先选择本合同中已列的支付方式，如选择“其它支付方式”，需以合同附件的形式予以说明原因。</w:t>
      </w:r>
    </w:p>
    <w:p>
      <w:pPr>
        <w:tabs>
          <w:tab w:val="left" w:pos="3120"/>
        </w:tabs>
        <w:spacing w:line="360" w:lineRule="auto"/>
        <w:ind w:firstLine="424" w:firstLineChars="176"/>
        <w:outlineLvl w:val="0"/>
        <w:rPr>
          <w:rFonts w:ascii="仿宋" w:hAnsi="仿宋" w:eastAsia="仿宋"/>
          <w:b/>
          <w:bCs/>
          <w:color w:val="auto"/>
          <w:sz w:val="24"/>
          <w:szCs w:val="24"/>
          <w:highlight w:val="none"/>
        </w:rPr>
      </w:pPr>
    </w:p>
    <w:p>
      <w:pPr>
        <w:widowControl/>
        <w:jc w:val="left"/>
        <w:rPr>
          <w:rFonts w:hint="eastAsia" w:ascii="仿宋" w:hAnsi="仿宋" w:eastAsia="仿宋"/>
          <w:b/>
          <w:bCs/>
          <w:color w:val="auto"/>
          <w:sz w:val="32"/>
          <w:szCs w:val="32"/>
          <w:highlight w:val="none"/>
        </w:rPr>
        <w:sectPr>
          <w:footerReference r:id="rId20" w:type="first"/>
          <w:footerReference r:id="rId19" w:type="default"/>
          <w:pgSz w:w="11906" w:h="16838"/>
          <w:pgMar w:top="1440" w:right="1797" w:bottom="1440" w:left="1797" w:header="851" w:footer="992" w:gutter="0"/>
          <w:pgNumType w:start="1"/>
          <w:cols w:space="720" w:num="1"/>
          <w:docGrid w:type="lines" w:linePitch="312" w:charSpace="0"/>
        </w:sectPr>
      </w:pPr>
    </w:p>
    <w:p>
      <w:pPr>
        <w:pStyle w:val="3"/>
        <w:jc w:val="center"/>
        <w:rPr>
          <w:rFonts w:ascii="仿宋_GB2312" w:hAnsi="宋体" w:eastAsia="仿宋_GB2312"/>
          <w:b/>
          <w:color w:val="auto"/>
          <w:sz w:val="13"/>
          <w:szCs w:val="13"/>
          <w:highlight w:val="none"/>
        </w:rPr>
      </w:pPr>
      <w:bookmarkStart w:id="17" w:name="_Toc19826"/>
      <w:r>
        <w:rPr>
          <w:rFonts w:hint="eastAsia" w:hAnsi="宋体"/>
          <w:b/>
          <w:color w:val="auto"/>
          <w:kern w:val="2"/>
          <w:szCs w:val="22"/>
          <w:highlight w:val="none"/>
        </w:rPr>
        <w:t>第一部分</w:t>
      </w:r>
      <w:r>
        <w:rPr>
          <w:rFonts w:hAnsi="宋体"/>
          <w:b/>
          <w:color w:val="auto"/>
          <w:kern w:val="2"/>
          <w:szCs w:val="22"/>
          <w:highlight w:val="none"/>
        </w:rPr>
        <w:t xml:space="preserve">  </w:t>
      </w:r>
      <w:r>
        <w:rPr>
          <w:rFonts w:hint="eastAsia" w:hAnsi="宋体"/>
          <w:b/>
          <w:color w:val="auto"/>
          <w:kern w:val="2"/>
          <w:szCs w:val="22"/>
          <w:highlight w:val="none"/>
        </w:rPr>
        <w:t>协议书</w:t>
      </w:r>
      <w:bookmarkEnd w:id="17"/>
    </w:p>
    <w:p>
      <w:pPr>
        <w:adjustRightInd w:val="0"/>
        <w:snapToGrid w:val="0"/>
        <w:spacing w:line="640" w:lineRule="exact"/>
        <w:ind w:firstLine="480" w:firstLineChars="200"/>
        <w:rPr>
          <w:rFonts w:hint="eastAsia" w:ascii="宋体" w:hAnsi="宋体"/>
          <w:b/>
          <w:bCs/>
          <w:color w:val="auto"/>
          <w:sz w:val="24"/>
          <w:szCs w:val="24"/>
          <w:highlight w:val="none"/>
          <w:u w:val="single"/>
        </w:rPr>
      </w:pPr>
      <w:r>
        <w:rPr>
          <w:rFonts w:hint="eastAsia" w:ascii="仿宋" w:hAnsi="仿宋" w:eastAsia="仿宋" w:cs="仿宋"/>
          <w:bCs/>
          <w:color w:val="auto"/>
          <w:sz w:val="24"/>
          <w:szCs w:val="24"/>
          <w:highlight w:val="none"/>
        </w:rPr>
        <w:t>委托人（</w:t>
      </w:r>
      <w:r>
        <w:rPr>
          <w:rFonts w:hint="eastAsia" w:ascii="仿宋" w:hAnsi="仿宋" w:eastAsia="仿宋"/>
          <w:color w:val="auto"/>
          <w:sz w:val="24"/>
          <w:highlight w:val="none"/>
        </w:rPr>
        <w:t>甲方</w:t>
      </w:r>
      <w:r>
        <w:rPr>
          <w:rFonts w:hint="eastAsia" w:ascii="仿宋" w:hAnsi="仿宋" w:eastAsia="仿宋" w:cs="仿宋"/>
          <w:bCs/>
          <w:color w:val="auto"/>
          <w:sz w:val="24"/>
          <w:szCs w:val="24"/>
          <w:highlight w:val="none"/>
        </w:rPr>
        <w:t>）：</w:t>
      </w:r>
      <w:r>
        <w:rPr>
          <w:rFonts w:hint="eastAsia" w:ascii="宋体" w:hAnsi="宋体"/>
          <w:b/>
          <w:bCs/>
          <w:color w:val="auto"/>
          <w:sz w:val="24"/>
          <w:szCs w:val="24"/>
          <w:highlight w:val="none"/>
          <w:u w:val="single"/>
        </w:rPr>
        <w:t xml:space="preserve"> 广州市荔湾区市政园林绿化管理中心 </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bCs/>
          <w:color w:val="auto"/>
          <w:sz w:val="24"/>
          <w:szCs w:val="24"/>
          <w:highlight w:val="none"/>
        </w:rPr>
        <w:t>监理人（乙方）：</w:t>
      </w:r>
      <w:r>
        <w:rPr>
          <w:rFonts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rPr>
        <w:t xml:space="preserve">   </w:t>
      </w:r>
    </w:p>
    <w:p>
      <w:pPr>
        <w:adjustRightInd w:val="0"/>
        <w:snapToGrid w:val="0"/>
        <w:spacing w:line="640" w:lineRule="exact"/>
        <w:ind w:firstLine="480" w:firstLineChars="200"/>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rPr>
        <w:t>根据《中华人民共和国民法典》、《中华人民共和国建筑法》及其他有关法律、法规，遵循平等、自愿、公平和诚信的原则，双方就下述工程委托监理与相关服务事项协商一致，订立本合同。</w:t>
      </w:r>
    </w:p>
    <w:p>
      <w:pPr>
        <w:spacing w:line="640" w:lineRule="exact"/>
        <w:outlineLvl w:val="1"/>
        <w:rPr>
          <w:rFonts w:ascii="仿宋" w:hAnsi="仿宋" w:eastAsia="仿宋"/>
          <w:b/>
          <w:bCs/>
          <w:color w:val="auto"/>
          <w:sz w:val="28"/>
          <w:szCs w:val="28"/>
          <w:highlight w:val="none"/>
        </w:rPr>
      </w:pPr>
      <w:bookmarkStart w:id="18" w:name="_Toc6600"/>
      <w:r>
        <w:rPr>
          <w:rFonts w:hint="eastAsia" w:ascii="仿宋" w:hAnsi="仿宋" w:eastAsia="仿宋" w:cs="仿宋"/>
          <w:b/>
          <w:bCs/>
          <w:color w:val="auto"/>
          <w:sz w:val="28"/>
          <w:szCs w:val="28"/>
          <w:highlight w:val="none"/>
        </w:rPr>
        <w:t>一、工程概况</w:t>
      </w:r>
      <w:bookmarkEnd w:id="18"/>
    </w:p>
    <w:p>
      <w:pPr>
        <w:adjustRightInd w:val="0"/>
        <w:snapToGrid w:val="0"/>
        <w:spacing w:line="640" w:lineRule="exact"/>
        <w:ind w:firstLine="475" w:firstLineChars="198"/>
        <w:rPr>
          <w:rFonts w:hint="eastAsia" w:ascii="仿宋" w:hAnsi="仿宋" w:eastAsia="仿宋"/>
          <w:color w:val="auto"/>
          <w:sz w:val="24"/>
          <w:szCs w:val="24"/>
          <w:highlight w:val="none"/>
        </w:rPr>
      </w:pPr>
      <w:r>
        <w:rPr>
          <w:rFonts w:hint="eastAsia" w:ascii="仿宋" w:hAnsi="仿宋" w:eastAsia="仿宋" w:cs="仿宋"/>
          <w:color w:val="auto"/>
          <w:sz w:val="24"/>
          <w:szCs w:val="24"/>
          <w:highlight w:val="none"/>
        </w:rPr>
        <w:t>立项批文编号或广东省企业基本建设投资项目备案证备案项目编号：</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adjustRightInd w:val="0"/>
        <w:snapToGrid w:val="0"/>
        <w:spacing w:line="640" w:lineRule="exact"/>
        <w:ind w:firstLine="475" w:firstLineChars="198"/>
        <w:rPr>
          <w:rFonts w:ascii="仿宋" w:hAnsi="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宋体" w:hAnsi="宋体" w:eastAsia="仿宋"/>
          <w:color w:val="auto"/>
          <w:sz w:val="24"/>
          <w:highlight w:val="none"/>
          <w:u w:val="single"/>
        </w:rPr>
        <w:t>荔湾区2023年树木保护和复壮工程监理</w:t>
      </w:r>
      <w:r>
        <w:rPr>
          <w:rFonts w:hint="eastAsia" w:ascii="宋体" w:hAnsi="宋体"/>
          <w:color w:val="auto"/>
          <w:sz w:val="24"/>
          <w:highlight w:val="none"/>
          <w:u w:val="single"/>
        </w:rPr>
        <w:t xml:space="preserve">                         </w:t>
      </w:r>
    </w:p>
    <w:p>
      <w:pPr>
        <w:adjustRightInd w:val="0"/>
        <w:snapToGrid w:val="0"/>
        <w:spacing w:line="640" w:lineRule="exact"/>
        <w:ind w:firstLine="475" w:firstLineChars="198"/>
        <w:rPr>
          <w:rFonts w:ascii="仿宋" w:hAnsi="仿宋" w:eastAsia="仿宋"/>
          <w:color w:val="auto"/>
          <w:sz w:val="24"/>
          <w:szCs w:val="24"/>
          <w:highlight w:val="none"/>
        </w:rPr>
      </w:pPr>
      <w:r>
        <w:rPr>
          <w:rFonts w:hint="eastAsia" w:ascii="仿宋" w:hAnsi="仿宋" w:eastAsia="仿宋" w:cs="仿宋"/>
          <w:color w:val="auto"/>
          <w:sz w:val="24"/>
          <w:szCs w:val="24"/>
          <w:highlight w:val="none"/>
        </w:rPr>
        <w:t>工程规模：</w:t>
      </w:r>
      <w:r>
        <w:rPr>
          <w:rFonts w:hint="eastAsia" w:ascii="宋体" w:hAnsi="宋体"/>
          <w:color w:val="auto"/>
          <w:sz w:val="24"/>
          <w:highlight w:val="none"/>
          <w:u w:val="single"/>
        </w:rPr>
        <w:t xml:space="preserve">广州市荔湾区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adjustRightInd w:val="0"/>
        <w:snapToGrid w:val="0"/>
        <w:spacing w:line="640" w:lineRule="exact"/>
        <w:ind w:firstLine="475" w:firstLineChars="198"/>
        <w:rPr>
          <w:rFonts w:ascii="仿宋" w:hAnsi="仿宋" w:eastAsia="仿宋"/>
          <w:color w:val="auto"/>
          <w:sz w:val="24"/>
          <w:szCs w:val="24"/>
          <w:highlight w:val="none"/>
        </w:rPr>
      </w:pPr>
      <w:r>
        <w:rPr>
          <w:rFonts w:hint="eastAsia" w:ascii="仿宋" w:hAnsi="仿宋" w:eastAsia="仿宋" w:cs="仿宋"/>
          <w:color w:val="auto"/>
          <w:sz w:val="24"/>
          <w:szCs w:val="24"/>
          <w:highlight w:val="none"/>
        </w:rPr>
        <w:t>投资金额：</w:t>
      </w:r>
      <w:r>
        <w:rPr>
          <w:rFonts w:hint="eastAsia" w:ascii="宋体" w:hAnsi="宋体"/>
          <w:color w:val="auto"/>
          <w:sz w:val="24"/>
          <w:highlight w:val="none"/>
          <w:u w:val="single"/>
        </w:rPr>
        <w:t>暂定 250万元（最终以区财政部门审定为准）</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adjustRightInd w:val="0"/>
        <w:snapToGrid w:val="0"/>
        <w:spacing w:line="640" w:lineRule="exact"/>
        <w:ind w:firstLine="475" w:firstLineChars="198"/>
        <w:rPr>
          <w:rFonts w:ascii="仿宋" w:hAnsi="仿宋" w:eastAsia="仿宋"/>
          <w:color w:val="auto"/>
          <w:sz w:val="24"/>
          <w:szCs w:val="24"/>
          <w:highlight w:val="none"/>
        </w:rPr>
      </w:pPr>
      <w:r>
        <w:rPr>
          <w:rFonts w:hint="eastAsia" w:ascii="仿宋" w:hAnsi="仿宋" w:eastAsia="仿宋" w:cs="仿宋"/>
          <w:color w:val="auto"/>
          <w:sz w:val="24"/>
          <w:szCs w:val="24"/>
          <w:highlight w:val="none"/>
        </w:rPr>
        <w:t>资金来源：</w:t>
      </w:r>
      <w:r>
        <w:rPr>
          <w:rFonts w:hint="eastAsia" w:ascii="宋体" w:hAnsi="宋体"/>
          <w:color w:val="auto"/>
          <w:sz w:val="24"/>
          <w:highlight w:val="none"/>
          <w:u w:val="single"/>
        </w:rPr>
        <w:t xml:space="preserve">区财政资金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adjustRightInd w:val="0"/>
        <w:snapToGrid w:val="0"/>
        <w:spacing w:line="640" w:lineRule="exact"/>
        <w:ind w:firstLine="475" w:firstLineChars="198"/>
        <w:rPr>
          <w:rFonts w:ascii="仿宋" w:hAnsi="仿宋" w:eastAsia="仿宋"/>
          <w:color w:val="auto"/>
          <w:sz w:val="24"/>
          <w:szCs w:val="24"/>
          <w:highlight w:val="none"/>
        </w:rPr>
      </w:pPr>
      <w:r>
        <w:rPr>
          <w:rFonts w:hint="eastAsia" w:ascii="仿宋" w:hAnsi="仿宋" w:eastAsia="仿宋" w:cs="仿宋"/>
          <w:color w:val="auto"/>
          <w:sz w:val="24"/>
          <w:szCs w:val="24"/>
          <w:highlight w:val="none"/>
        </w:rPr>
        <w:t>建设工期或周期：</w:t>
      </w:r>
      <w:r>
        <w:rPr>
          <w:rFonts w:hint="eastAsia"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spacing w:line="640" w:lineRule="exact"/>
        <w:outlineLvl w:val="1"/>
        <w:rPr>
          <w:rFonts w:ascii="仿宋" w:hAnsi="仿宋" w:eastAsia="仿宋"/>
          <w:b/>
          <w:bCs/>
          <w:color w:val="auto"/>
          <w:sz w:val="28"/>
          <w:szCs w:val="28"/>
          <w:highlight w:val="none"/>
        </w:rPr>
      </w:pPr>
      <w:bookmarkStart w:id="19" w:name="_Toc32533"/>
      <w:r>
        <w:rPr>
          <w:rFonts w:hint="eastAsia" w:ascii="仿宋" w:hAnsi="仿宋" w:eastAsia="仿宋" w:cs="仿宋"/>
          <w:b/>
          <w:bCs/>
          <w:color w:val="auto"/>
          <w:sz w:val="28"/>
          <w:szCs w:val="28"/>
          <w:highlight w:val="none"/>
        </w:rPr>
        <w:t>二、词语限定</w:t>
      </w:r>
      <w:bookmarkEnd w:id="19"/>
    </w:p>
    <w:p>
      <w:pPr>
        <w:adjustRightInd w:val="0"/>
        <w:snapToGrid w:val="0"/>
        <w:spacing w:line="640" w:lineRule="exact"/>
        <w:ind w:firstLine="475" w:firstLineChars="1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协议书中相关词语的含义与通用条款中的定义与解释相同。</w:t>
      </w:r>
    </w:p>
    <w:p>
      <w:pPr>
        <w:pStyle w:val="49"/>
        <w:rPr>
          <w:color w:val="auto"/>
          <w:highlight w:val="none"/>
        </w:rPr>
      </w:pPr>
    </w:p>
    <w:p>
      <w:pPr>
        <w:spacing w:line="640" w:lineRule="exact"/>
        <w:outlineLvl w:val="1"/>
        <w:rPr>
          <w:rFonts w:ascii="仿宋" w:hAnsi="仿宋" w:eastAsia="仿宋"/>
          <w:b/>
          <w:bCs/>
          <w:color w:val="auto"/>
          <w:sz w:val="28"/>
          <w:szCs w:val="28"/>
          <w:highlight w:val="none"/>
        </w:rPr>
      </w:pPr>
      <w:bookmarkStart w:id="20" w:name="_Toc2934"/>
      <w:r>
        <w:rPr>
          <w:rFonts w:hint="eastAsia" w:ascii="仿宋" w:hAnsi="仿宋" w:eastAsia="仿宋" w:cs="仿宋"/>
          <w:b/>
          <w:bCs/>
          <w:color w:val="auto"/>
          <w:sz w:val="28"/>
          <w:szCs w:val="28"/>
          <w:highlight w:val="none"/>
        </w:rPr>
        <w:t>三、组成本合同的文件</w:t>
      </w:r>
      <w:bookmarkEnd w:id="20"/>
      <w:bookmarkStart w:id="21" w:name="_Toc462045179"/>
      <w:bookmarkStart w:id="22" w:name="_Toc462045886"/>
    </w:p>
    <w:p>
      <w:pPr>
        <w:adjustRightInd w:val="0"/>
        <w:snapToGrid w:val="0"/>
        <w:spacing w:line="640" w:lineRule="exact"/>
        <w:ind w:firstLine="475" w:firstLineChars="1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合同文件的构成及其优先解释顺序与本合同第二部分《通用条款》第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2款赋予的规定一致。</w:t>
      </w:r>
      <w:bookmarkEnd w:id="21"/>
      <w:bookmarkEnd w:id="22"/>
    </w:p>
    <w:p>
      <w:pPr>
        <w:pStyle w:val="49"/>
        <w:rPr>
          <w:color w:val="auto"/>
          <w:highlight w:val="none"/>
        </w:rPr>
      </w:pPr>
    </w:p>
    <w:p>
      <w:pPr>
        <w:spacing w:line="640" w:lineRule="exact"/>
        <w:outlineLvl w:val="1"/>
        <w:rPr>
          <w:rFonts w:hint="eastAsia" w:ascii="仿宋" w:hAnsi="仿宋" w:eastAsia="仿宋" w:cs="仿宋"/>
          <w:b/>
          <w:bCs/>
          <w:color w:val="auto"/>
          <w:sz w:val="28"/>
          <w:szCs w:val="28"/>
          <w:highlight w:val="none"/>
        </w:rPr>
      </w:pPr>
      <w:bookmarkStart w:id="23" w:name="_Toc8169"/>
    </w:p>
    <w:p>
      <w:pPr>
        <w:spacing w:line="640" w:lineRule="exact"/>
        <w:outlineLvl w:val="1"/>
        <w:rPr>
          <w:rFonts w:ascii="仿宋" w:hAnsi="仿宋" w:eastAsia="仿宋"/>
          <w:b/>
          <w:bCs/>
          <w:color w:val="auto"/>
          <w:sz w:val="28"/>
          <w:szCs w:val="28"/>
          <w:highlight w:val="none"/>
        </w:rPr>
      </w:pPr>
      <w:r>
        <w:rPr>
          <w:rFonts w:hint="eastAsia" w:ascii="仿宋" w:hAnsi="仿宋" w:eastAsia="仿宋" w:cs="仿宋"/>
          <w:b/>
          <w:bCs/>
          <w:color w:val="auto"/>
          <w:sz w:val="28"/>
          <w:szCs w:val="28"/>
          <w:highlight w:val="none"/>
        </w:rPr>
        <w:t>四、总监理工程师</w:t>
      </w:r>
      <w:bookmarkEnd w:id="23"/>
    </w:p>
    <w:p>
      <w:pPr>
        <w:adjustRightInd w:val="0"/>
        <w:snapToGrid w:val="0"/>
        <w:spacing w:line="640" w:lineRule="exact"/>
        <w:ind w:firstLine="475" w:firstLineChars="19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总监理工程师姓名：</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，身份证号码：</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，注册号：</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49"/>
        <w:rPr>
          <w:rFonts w:hint="eastAsia"/>
          <w:color w:val="auto"/>
          <w:highlight w:val="none"/>
        </w:rPr>
      </w:pPr>
    </w:p>
    <w:p>
      <w:pPr>
        <w:adjustRightInd w:val="0"/>
        <w:snapToGrid w:val="0"/>
        <w:spacing w:line="640" w:lineRule="exact"/>
        <w:rPr>
          <w:rFonts w:ascii="仿宋" w:hAnsi="仿宋" w:eastAsia="仿宋"/>
          <w:color w:val="auto"/>
          <w:kern w:val="0"/>
          <w:sz w:val="24"/>
          <w:szCs w:val="24"/>
          <w:highlight w:val="none"/>
        </w:rPr>
      </w:pPr>
      <w:r>
        <w:rPr>
          <w:rFonts w:hint="eastAsia" w:ascii="仿宋" w:hAnsi="仿宋" w:eastAsia="仿宋" w:cs="仿宋"/>
          <w:b/>
          <w:bCs/>
          <w:color w:val="auto"/>
          <w:sz w:val="28"/>
          <w:szCs w:val="28"/>
          <w:highlight w:val="none"/>
        </w:rPr>
        <w:t>五、签约酬金</w:t>
      </w:r>
    </w:p>
    <w:p>
      <w:pPr>
        <w:adjustRightInd w:val="0"/>
        <w:snapToGrid w:val="0"/>
        <w:spacing w:line="640" w:lineRule="exact"/>
        <w:ind w:firstLine="475" w:firstLineChars="198"/>
        <w:rPr>
          <w:rFonts w:ascii="仿宋" w:hAnsi="仿宋" w:eastAsia="仿宋"/>
          <w:color w:val="auto"/>
          <w:sz w:val="24"/>
          <w:szCs w:val="24"/>
          <w:highlight w:val="none"/>
        </w:rPr>
      </w:pPr>
      <w:r>
        <w:rPr>
          <w:rFonts w:hint="eastAsia" w:ascii="仿宋" w:hAnsi="仿宋" w:eastAsia="仿宋" w:cs="仿宋"/>
          <w:color w:val="auto"/>
          <w:sz w:val="24"/>
          <w:szCs w:val="24"/>
          <w:highlight w:val="none"/>
        </w:rPr>
        <w:t>签约酬金（大写：</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eastAsia="仿宋"/>
          <w:color w:val="auto"/>
          <w:sz w:val="24"/>
          <w:szCs w:val="24"/>
          <w:highlight w:val="non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宋体" w:hAnsi="宋体"/>
          <w:color w:val="auto"/>
          <w:sz w:val="24"/>
          <w:szCs w:val="24"/>
          <w:highlight w:val="none"/>
        </w:rPr>
        <w:t>（</w:t>
      </w:r>
      <w:r>
        <w:rPr>
          <w:rFonts w:hint="eastAsia" w:ascii="仿宋" w:hAnsi="仿宋" w:eastAsia="仿宋" w:cs="仿宋"/>
          <w:color w:val="auto"/>
          <w:sz w:val="24"/>
          <w:szCs w:val="24"/>
          <w:highlight w:val="none"/>
        </w:rPr>
        <w:t>最终的监理费结算价按工程结算价进行调整，工程结算价以区财政部门审核的结果为准。</w:t>
      </w:r>
      <w:r>
        <w:rPr>
          <w:rFonts w:hint="eastAsia" w:ascii="宋体" w:hAnsi="宋体"/>
          <w:color w:val="auto"/>
          <w:sz w:val="24"/>
          <w:szCs w:val="24"/>
          <w:highlight w:val="none"/>
        </w:rPr>
        <w:t>）</w:t>
      </w:r>
    </w:p>
    <w:p>
      <w:pPr>
        <w:adjustRightInd w:val="0"/>
        <w:snapToGrid w:val="0"/>
        <w:spacing w:line="640" w:lineRule="exact"/>
        <w:ind w:firstLine="475" w:firstLineChars="198"/>
        <w:rPr>
          <w:rFonts w:hint="eastAsia" w:ascii="仿宋" w:hAnsi="仿宋" w:eastAsia="仿宋" w:cs="仿宋"/>
          <w:color w:val="auto"/>
          <w:sz w:val="24"/>
          <w:szCs w:val="24"/>
          <w:highlight w:val="none"/>
          <w:u w:val="single"/>
        </w:rPr>
      </w:pPr>
      <w:r>
        <w:rPr>
          <w:rFonts w:hint="eastAsia" w:ascii="仿宋" w:hAnsi="仿宋" w:eastAsia="仿宋"/>
          <w:color w:val="auto"/>
          <w:sz w:val="24"/>
          <w:szCs w:val="24"/>
          <w:highlight w:val="none"/>
        </w:rPr>
        <w:t>中选下浮率：</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   </w:t>
      </w:r>
    </w:p>
    <w:p>
      <w:pPr>
        <w:pStyle w:val="49"/>
        <w:rPr>
          <w:color w:val="auto"/>
          <w:highlight w:val="none"/>
        </w:rPr>
      </w:pPr>
    </w:p>
    <w:p>
      <w:pPr>
        <w:spacing w:line="640" w:lineRule="exact"/>
        <w:outlineLvl w:val="1"/>
        <w:rPr>
          <w:rFonts w:ascii="仿宋" w:hAnsi="仿宋" w:eastAsia="仿宋"/>
          <w:b/>
          <w:bCs/>
          <w:color w:val="auto"/>
          <w:sz w:val="28"/>
          <w:szCs w:val="28"/>
          <w:highlight w:val="none"/>
        </w:rPr>
      </w:pPr>
      <w:bookmarkStart w:id="24" w:name="_Toc10879"/>
      <w:r>
        <w:rPr>
          <w:rFonts w:hint="eastAsia" w:ascii="仿宋" w:hAnsi="仿宋" w:eastAsia="仿宋" w:cs="Arial Unicode MS"/>
          <w:b/>
          <w:bCs/>
          <w:color w:val="auto"/>
          <w:kern w:val="0"/>
          <w:sz w:val="28"/>
          <w:szCs w:val="28"/>
          <w:highlight w:val="none"/>
        </w:rPr>
        <w:t>★</w:t>
      </w:r>
      <w:r>
        <w:rPr>
          <w:rFonts w:hint="eastAsia" w:ascii="仿宋" w:hAnsi="仿宋" w:eastAsia="仿宋" w:cs="仿宋"/>
          <w:b/>
          <w:bCs/>
          <w:color w:val="auto"/>
          <w:sz w:val="28"/>
          <w:szCs w:val="28"/>
          <w:highlight w:val="none"/>
        </w:rPr>
        <w:t>六、期限</w:t>
      </w:r>
      <w:bookmarkEnd w:id="24"/>
    </w:p>
    <w:p>
      <w:pPr>
        <w:adjustRightInd w:val="0"/>
        <w:snapToGrid w:val="0"/>
        <w:spacing w:line="640" w:lineRule="exact"/>
        <w:ind w:firstLine="600" w:firstLineChars="250"/>
        <w:jc w:val="left"/>
        <w:rPr>
          <w:rFonts w:ascii="仿宋" w:hAnsi="仿宋" w:eastAsia="仿宋"/>
          <w:color w:val="auto"/>
          <w:sz w:val="24"/>
          <w:szCs w:val="24"/>
          <w:highlight w:val="none"/>
        </w:rPr>
      </w:pPr>
      <w:r>
        <w:rPr>
          <w:rFonts w:ascii="仿宋" w:hAnsi="仿宋" w:eastAsia="仿宋" w:cs="仿宋"/>
          <w:color w:val="auto"/>
          <w:kern w:val="0"/>
          <w:sz w:val="24"/>
          <w:szCs w:val="24"/>
          <w:highlight w:val="none"/>
        </w:rPr>
        <w:t xml:space="preserve">1. </w:t>
      </w:r>
      <w:r>
        <w:rPr>
          <w:rFonts w:hint="eastAsia" w:ascii="仿宋" w:hAnsi="仿宋" w:eastAsia="仿宋" w:cs="仿宋"/>
          <w:color w:val="auto"/>
          <w:sz w:val="24"/>
          <w:szCs w:val="24"/>
          <w:highlight w:val="none"/>
        </w:rPr>
        <w:t>监理期限：</w:t>
      </w:r>
    </w:p>
    <w:p>
      <w:pPr>
        <w:adjustRightInd w:val="0"/>
        <w:snapToGrid w:val="0"/>
        <w:spacing w:line="640" w:lineRule="exact"/>
        <w:ind w:firstLine="600" w:firstLine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日始，至</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49"/>
        <w:rPr>
          <w:color w:val="auto"/>
          <w:highlight w:val="none"/>
        </w:rPr>
      </w:pPr>
    </w:p>
    <w:p>
      <w:pPr>
        <w:spacing w:line="640" w:lineRule="exact"/>
        <w:outlineLvl w:val="1"/>
        <w:rPr>
          <w:rFonts w:ascii="仿宋" w:hAnsi="仿宋" w:eastAsia="仿宋"/>
          <w:b/>
          <w:bCs/>
          <w:color w:val="auto"/>
          <w:sz w:val="28"/>
          <w:szCs w:val="28"/>
          <w:highlight w:val="none"/>
        </w:rPr>
      </w:pPr>
      <w:bookmarkStart w:id="25" w:name="_Toc5343"/>
      <w:r>
        <w:rPr>
          <w:rFonts w:hint="eastAsia" w:ascii="仿宋" w:hAnsi="仿宋" w:eastAsia="仿宋" w:cs="仿宋"/>
          <w:b/>
          <w:bCs/>
          <w:color w:val="auto"/>
          <w:sz w:val="28"/>
          <w:szCs w:val="28"/>
          <w:highlight w:val="none"/>
        </w:rPr>
        <w:t>七、双方承诺</w:t>
      </w:r>
      <w:bookmarkEnd w:id="25"/>
    </w:p>
    <w:p>
      <w:pPr>
        <w:spacing w:line="640" w:lineRule="exact"/>
        <w:ind w:firstLine="475" w:firstLineChars="198"/>
        <w:rPr>
          <w:rFonts w:ascii="仿宋" w:hAnsi="仿宋" w:eastAsia="仿宋"/>
          <w:b/>
          <w:bCs/>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监理人向委托人承诺，按照本合同约定</w:t>
      </w:r>
      <w:r>
        <w:rPr>
          <w:rFonts w:hint="eastAsia" w:ascii="仿宋" w:hAnsi="仿宋" w:eastAsia="仿宋" w:cs="仿宋"/>
          <w:color w:val="auto"/>
          <w:kern w:val="0"/>
          <w:sz w:val="24"/>
          <w:szCs w:val="24"/>
          <w:highlight w:val="none"/>
        </w:rPr>
        <w:t>提供</w:t>
      </w:r>
      <w:r>
        <w:rPr>
          <w:rFonts w:hint="eastAsia" w:ascii="仿宋" w:hAnsi="仿宋" w:eastAsia="仿宋" w:cs="仿宋"/>
          <w:color w:val="auto"/>
          <w:sz w:val="24"/>
          <w:szCs w:val="24"/>
          <w:highlight w:val="none"/>
        </w:rPr>
        <w:t>监理与相关服务。</w:t>
      </w:r>
    </w:p>
    <w:p>
      <w:pPr>
        <w:spacing w:line="640" w:lineRule="exact"/>
        <w:ind w:firstLine="475" w:firstLineChars="198"/>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委托人向监理人承诺，按照本合同约定派遣相应的人员，提供房屋、资料、设备，并按本合同约定支付酬金。</w:t>
      </w:r>
    </w:p>
    <w:p>
      <w:pPr>
        <w:pStyle w:val="49"/>
        <w:rPr>
          <w:color w:val="auto"/>
          <w:highlight w:val="none"/>
        </w:rPr>
      </w:pPr>
    </w:p>
    <w:p>
      <w:pPr>
        <w:spacing w:line="640" w:lineRule="exact"/>
        <w:outlineLvl w:val="1"/>
        <w:rPr>
          <w:rFonts w:ascii="仿宋" w:hAnsi="仿宋" w:eastAsia="仿宋"/>
          <w:b/>
          <w:bCs/>
          <w:color w:val="auto"/>
          <w:sz w:val="28"/>
          <w:szCs w:val="28"/>
          <w:highlight w:val="none"/>
        </w:rPr>
      </w:pPr>
      <w:bookmarkStart w:id="26" w:name="_Toc20876"/>
      <w:r>
        <w:rPr>
          <w:rFonts w:hint="eastAsia" w:ascii="仿宋" w:hAnsi="仿宋" w:eastAsia="仿宋" w:cs="仿宋"/>
          <w:b/>
          <w:bCs/>
          <w:color w:val="auto"/>
          <w:sz w:val="28"/>
          <w:szCs w:val="28"/>
          <w:highlight w:val="none"/>
        </w:rPr>
        <w:t>八、合同生效</w:t>
      </w:r>
      <w:bookmarkEnd w:id="26"/>
    </w:p>
    <w:p>
      <w:pPr>
        <w:adjustRightInd w:val="0"/>
        <w:snapToGrid w:val="0"/>
        <w:spacing w:line="640" w:lineRule="exact"/>
        <w:ind w:firstLine="475" w:firstLineChars="198"/>
        <w:rPr>
          <w:rFonts w:ascii="仿宋" w:hAnsi="仿宋" w:eastAsia="仿宋"/>
          <w:color w:val="auto"/>
          <w:sz w:val="24"/>
          <w:szCs w:val="24"/>
          <w:highlight w:val="none"/>
        </w:rPr>
      </w:pPr>
      <w:r>
        <w:rPr>
          <w:rFonts w:hint="eastAsia" w:ascii="仿宋" w:hAnsi="仿宋" w:eastAsia="仿宋" w:cs="仿宋"/>
          <w:color w:val="auto"/>
          <w:sz w:val="24"/>
          <w:szCs w:val="24"/>
          <w:highlight w:val="none"/>
        </w:rPr>
        <w:t>本合同订立时间：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adjustRightInd w:val="0"/>
        <w:snapToGrid w:val="0"/>
        <w:spacing w:line="640" w:lineRule="exact"/>
        <w:ind w:firstLine="475" w:firstLineChars="198"/>
        <w:rPr>
          <w:rFonts w:ascii="仿宋" w:hAnsi="仿宋" w:eastAsia="仿宋"/>
          <w:color w:val="auto"/>
          <w:sz w:val="24"/>
          <w:szCs w:val="24"/>
          <w:highlight w:val="none"/>
        </w:rPr>
      </w:pPr>
      <w:r>
        <w:rPr>
          <w:rFonts w:hint="eastAsia" w:ascii="仿宋" w:hAnsi="仿宋" w:eastAsia="仿宋" w:cs="仿宋"/>
          <w:color w:val="auto"/>
          <w:sz w:val="24"/>
          <w:szCs w:val="24"/>
          <w:highlight w:val="none"/>
        </w:rPr>
        <w:t>本合同订立地点：</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广州市荔湾区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6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合同双方当事人约定本合同自双方签字、盖章后生效。</w:t>
      </w:r>
    </w:p>
    <w:p>
      <w:pPr>
        <w:pStyle w:val="4"/>
        <w:rPr>
          <w:rFonts w:hint="eastAsia" w:ascii="仿宋" w:hAnsi="仿宋" w:eastAsia="仿宋" w:cs="仿宋"/>
          <w:bCs/>
          <w:color w:val="auto"/>
          <w:kern w:val="2"/>
          <w:sz w:val="28"/>
          <w:szCs w:val="28"/>
          <w:highlight w:val="none"/>
        </w:rPr>
      </w:pPr>
      <w:bookmarkStart w:id="27" w:name="_Toc5288661"/>
      <w:bookmarkStart w:id="28" w:name="_Toc6539"/>
      <w:r>
        <w:rPr>
          <w:rFonts w:hint="eastAsia" w:ascii="仿宋" w:hAnsi="仿宋" w:eastAsia="仿宋" w:cs="仿宋"/>
          <w:bCs/>
          <w:color w:val="auto"/>
          <w:kern w:val="2"/>
          <w:sz w:val="28"/>
          <w:szCs w:val="28"/>
          <w:highlight w:val="none"/>
        </w:rPr>
        <w:t>九、合同份数</w:t>
      </w:r>
      <w:bookmarkEnd w:id="27"/>
      <w:bookmarkEnd w:id="28"/>
    </w:p>
    <w:p>
      <w:pPr>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八</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份，具有同等法律效力，其中甲方执</w:t>
      </w:r>
      <w:r>
        <w:rPr>
          <w:rFonts w:hint="eastAsia" w:ascii="仿宋" w:hAnsi="仿宋" w:eastAsia="仿宋" w:cs="仿宋"/>
          <w:color w:val="auto"/>
          <w:sz w:val="24"/>
          <w:szCs w:val="24"/>
          <w:highlight w:val="none"/>
          <w:u w:val="single"/>
        </w:rPr>
        <w:t>四</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份，乙方执</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四</w:t>
      </w:r>
      <w:r>
        <w:rPr>
          <w:rFonts w:hint="eastAsia" w:ascii="仿宋" w:hAnsi="仿宋" w:eastAsia="仿宋" w:cs="仿宋"/>
          <w:color w:val="auto"/>
          <w:sz w:val="24"/>
          <w:szCs w:val="24"/>
          <w:highlight w:val="none"/>
        </w:rPr>
        <w:t>份。</w:t>
      </w:r>
    </w:p>
    <w:p>
      <w:pPr>
        <w:adjustRightInd w:val="0"/>
        <w:snapToGrid w:val="0"/>
        <w:spacing w:line="360" w:lineRule="auto"/>
        <w:rPr>
          <w:rFonts w:ascii="仿宋" w:hAnsi="仿宋" w:eastAsia="仿宋"/>
          <w:color w:val="auto"/>
          <w:sz w:val="24"/>
          <w:szCs w:val="24"/>
          <w:highlight w:val="none"/>
        </w:rPr>
      </w:pPr>
    </w:p>
    <w:p>
      <w:pPr>
        <w:spacing w:line="360" w:lineRule="auto"/>
        <w:ind w:firstLine="360" w:firstLineChars="150"/>
        <w:rPr>
          <w:rFonts w:ascii="仿宋" w:hAnsi="仿宋" w:eastAsia="仿宋"/>
          <w:color w:val="auto"/>
          <w:sz w:val="24"/>
          <w:szCs w:val="24"/>
          <w:highlight w:val="none"/>
        </w:rPr>
      </w:pPr>
      <w:r>
        <w:rPr>
          <w:rFonts w:hint="eastAsia" w:ascii="仿宋" w:hAnsi="仿宋" w:eastAsia="仿宋" w:cs="仿宋"/>
          <w:color w:val="auto"/>
          <w:sz w:val="24"/>
          <w:szCs w:val="24"/>
          <w:highlight w:val="none"/>
        </w:rPr>
        <w:t>委托人：（盖章）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监理人：（盖章）</w:t>
      </w:r>
    </w:p>
    <w:p>
      <w:pPr>
        <w:spacing w:line="360" w:lineRule="auto"/>
        <w:ind w:firstLine="360" w:firstLineChars="150"/>
        <w:rPr>
          <w:rFonts w:ascii="仿宋" w:hAnsi="仿宋" w:eastAsia="仿宋"/>
          <w:color w:val="auto"/>
          <w:sz w:val="24"/>
          <w:szCs w:val="24"/>
          <w:highlight w:val="none"/>
        </w:rPr>
      </w:pP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w:t>
      </w:r>
    </w:p>
    <w:p>
      <w:pPr>
        <w:tabs>
          <w:tab w:val="left" w:pos="525"/>
          <w:tab w:val="left" w:pos="1155"/>
        </w:tabs>
        <w:spacing w:line="360" w:lineRule="auto"/>
        <w:ind w:firstLine="360" w:firstLineChars="150"/>
        <w:rPr>
          <w:rFonts w:ascii="仿宋" w:hAnsi="仿宋" w:eastAsia="仿宋"/>
          <w:color w:val="auto"/>
          <w:sz w:val="24"/>
          <w:szCs w:val="24"/>
          <w:highlight w:val="none"/>
        </w:rPr>
      </w:pPr>
      <w:r>
        <w:rPr>
          <w:rFonts w:hint="eastAsia" w:ascii="仿宋" w:hAnsi="仿宋" w:eastAsia="仿宋" w:cs="仿宋"/>
          <w:color w:val="auto"/>
          <w:sz w:val="24"/>
          <w:szCs w:val="24"/>
          <w:highlight w:val="none"/>
        </w:rPr>
        <w:t>法定代表人：</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法定代表人：</w:t>
      </w:r>
    </w:p>
    <w:p>
      <w:pPr>
        <w:tabs>
          <w:tab w:val="left" w:pos="525"/>
          <w:tab w:val="left" w:pos="1155"/>
        </w:tabs>
        <w:spacing w:line="360" w:lineRule="auto"/>
        <w:ind w:firstLine="360" w:firstLineChars="150"/>
        <w:rPr>
          <w:rFonts w:ascii="仿宋" w:hAnsi="仿宋" w:eastAsia="仿宋"/>
          <w:color w:val="auto"/>
          <w:sz w:val="24"/>
          <w:szCs w:val="24"/>
          <w:highlight w:val="none"/>
        </w:rPr>
      </w:pPr>
      <w:r>
        <w:rPr>
          <w:rFonts w:hint="eastAsia" w:ascii="仿宋" w:hAnsi="仿宋" w:eastAsia="仿宋" w:cs="仿宋"/>
          <w:color w:val="auto"/>
          <w:sz w:val="24"/>
          <w:szCs w:val="24"/>
          <w:highlight w:val="none"/>
        </w:rPr>
        <w:t>委托代理人：</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委托代理人：</w:t>
      </w:r>
    </w:p>
    <w:p>
      <w:pPr>
        <w:tabs>
          <w:tab w:val="left" w:pos="525"/>
          <w:tab w:val="left" w:pos="1155"/>
        </w:tabs>
        <w:spacing w:line="360" w:lineRule="auto"/>
        <w:ind w:firstLine="360" w:firstLineChars="150"/>
        <w:rPr>
          <w:rFonts w:ascii="仿宋" w:hAnsi="仿宋" w:eastAsia="仿宋"/>
          <w:color w:val="auto"/>
          <w:sz w:val="24"/>
          <w:szCs w:val="24"/>
          <w:highlight w:val="none"/>
        </w:rPr>
      </w:pPr>
      <w:r>
        <w:rPr>
          <w:rFonts w:hint="eastAsia" w:ascii="仿宋" w:hAnsi="仿宋" w:eastAsia="仿宋" w:cs="仿宋"/>
          <w:color w:val="auto"/>
          <w:sz w:val="24"/>
          <w:szCs w:val="24"/>
          <w:highlight w:val="none"/>
        </w:rPr>
        <w:t>电</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话：</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电</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话：</w:t>
      </w:r>
    </w:p>
    <w:p>
      <w:pPr>
        <w:tabs>
          <w:tab w:val="left" w:pos="525"/>
          <w:tab w:val="left" w:pos="1155"/>
        </w:tabs>
        <w:spacing w:line="360" w:lineRule="auto"/>
        <w:ind w:firstLine="360" w:firstLineChars="15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真：</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真：</w:t>
      </w:r>
    </w:p>
    <w:p>
      <w:pPr>
        <w:tabs>
          <w:tab w:val="left" w:pos="525"/>
          <w:tab w:val="left" w:pos="1155"/>
        </w:tabs>
        <w:spacing w:line="360" w:lineRule="auto"/>
        <w:ind w:firstLine="360" w:firstLineChars="150"/>
        <w:rPr>
          <w:rFonts w:ascii="仿宋" w:hAnsi="仿宋" w:eastAsia="仿宋"/>
          <w:color w:val="auto"/>
          <w:sz w:val="24"/>
          <w:szCs w:val="24"/>
          <w:highlight w:val="none"/>
        </w:rPr>
      </w:pPr>
      <w:r>
        <w:rPr>
          <w:rFonts w:hint="eastAsia" w:ascii="仿宋" w:hAnsi="仿宋" w:eastAsia="仿宋" w:cs="仿宋"/>
          <w:color w:val="auto"/>
          <w:sz w:val="24"/>
          <w:szCs w:val="24"/>
          <w:highlight w:val="none"/>
        </w:rPr>
        <w:t>开户银行：</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开户银行：</w:t>
      </w:r>
    </w:p>
    <w:p>
      <w:pPr>
        <w:tabs>
          <w:tab w:val="left" w:pos="525"/>
          <w:tab w:val="left" w:pos="1155"/>
          <w:tab w:val="left" w:pos="6090"/>
        </w:tabs>
        <w:spacing w:line="360" w:lineRule="auto"/>
        <w:ind w:firstLine="360" w:firstLineChars="150"/>
        <w:rPr>
          <w:rFonts w:ascii="仿宋" w:hAnsi="仿宋" w:eastAsia="仿宋"/>
          <w:color w:val="auto"/>
          <w:sz w:val="24"/>
          <w:szCs w:val="24"/>
          <w:highlight w:val="none"/>
        </w:rPr>
      </w:pPr>
      <w:r>
        <w:rPr>
          <w:rFonts w:hint="eastAsia" w:ascii="仿宋" w:hAnsi="仿宋" w:eastAsia="仿宋" w:cs="仿宋"/>
          <w:color w:val="auto"/>
          <w:sz w:val="24"/>
          <w:szCs w:val="24"/>
          <w:highlight w:val="none"/>
        </w:rPr>
        <w:t>账</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号：</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账</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号：</w:t>
      </w:r>
    </w:p>
    <w:p>
      <w:pPr>
        <w:tabs>
          <w:tab w:val="left" w:pos="525"/>
          <w:tab w:val="left" w:pos="1155"/>
        </w:tabs>
        <w:spacing w:line="360" w:lineRule="auto"/>
        <w:ind w:firstLine="360" w:firstLineChars="150"/>
        <w:rPr>
          <w:rFonts w:ascii="仿宋" w:hAnsi="仿宋" w:eastAsia="仿宋"/>
          <w:color w:val="auto"/>
          <w:sz w:val="24"/>
          <w:szCs w:val="24"/>
          <w:highlight w:val="none"/>
        </w:rPr>
      </w:pPr>
      <w:r>
        <w:rPr>
          <w:rFonts w:hint="eastAsia" w:ascii="仿宋" w:hAnsi="仿宋" w:eastAsia="仿宋" w:cs="仿宋"/>
          <w:color w:val="auto"/>
          <w:sz w:val="24"/>
          <w:szCs w:val="24"/>
          <w:highlight w:val="none"/>
        </w:rPr>
        <w:t>邮政编码：</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邮政编码：</w:t>
      </w:r>
    </w:p>
    <w:p>
      <w:pPr>
        <w:adjustRightInd w:val="0"/>
        <w:snapToGrid w:val="0"/>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电子邮箱</w:t>
      </w:r>
      <w:r>
        <w:rPr>
          <w:rFonts w:ascii="仿宋" w:hAnsi="仿宋" w:eastAsia="仿宋" w:cs="仿宋"/>
          <w:color w:val="auto"/>
          <w:sz w:val="24"/>
          <w:szCs w:val="24"/>
          <w:highlight w:val="none"/>
        </w:rPr>
        <w:t xml:space="preserve">:       </w:t>
      </w:r>
    </w:p>
    <w:p>
      <w:pPr>
        <w:adjustRightInd w:val="0"/>
        <w:snapToGrid w:val="0"/>
        <w:spacing w:line="360" w:lineRule="auto"/>
        <w:ind w:firstLine="360" w:firstLineChars="150"/>
        <w:rPr>
          <w:rFonts w:ascii="仿宋" w:hAnsi="仿宋" w:eastAsia="仿宋" w:cs="仿宋"/>
          <w:color w:val="auto"/>
          <w:sz w:val="24"/>
          <w:szCs w:val="24"/>
          <w:highlight w:val="none"/>
        </w:rPr>
      </w:pPr>
    </w:p>
    <w:p>
      <w:pPr>
        <w:adjustRightInd w:val="0"/>
        <w:snapToGrid w:val="0"/>
        <w:spacing w:line="360" w:lineRule="auto"/>
        <w:ind w:firstLine="360" w:firstLineChars="150"/>
        <w:rPr>
          <w:rFonts w:ascii="仿宋" w:hAnsi="仿宋" w:eastAsia="仿宋" w:cs="仿宋"/>
          <w:color w:val="auto"/>
          <w:sz w:val="24"/>
          <w:szCs w:val="24"/>
          <w:highlight w:val="none"/>
        </w:rPr>
      </w:pPr>
    </w:p>
    <w:p>
      <w:pPr>
        <w:adjustRightInd w:val="0"/>
        <w:snapToGrid w:val="0"/>
        <w:spacing w:line="360" w:lineRule="auto"/>
        <w:ind w:firstLine="360" w:firstLineChars="150"/>
        <w:rPr>
          <w:rFonts w:ascii="仿宋" w:hAnsi="仿宋" w:eastAsia="仿宋" w:cs="仿宋"/>
          <w:color w:val="auto"/>
          <w:sz w:val="24"/>
          <w:szCs w:val="24"/>
          <w:highlight w:val="none"/>
        </w:rPr>
      </w:pPr>
    </w:p>
    <w:p>
      <w:pPr>
        <w:adjustRightInd w:val="0"/>
        <w:snapToGrid w:val="0"/>
        <w:spacing w:line="360" w:lineRule="auto"/>
        <w:ind w:firstLine="360" w:firstLineChars="150"/>
        <w:rPr>
          <w:rFonts w:ascii="仿宋" w:hAnsi="仿宋" w:eastAsia="仿宋" w:cs="仿宋"/>
          <w:color w:val="auto"/>
          <w:sz w:val="24"/>
          <w:szCs w:val="24"/>
          <w:highlight w:val="none"/>
        </w:rPr>
      </w:pPr>
    </w:p>
    <w:p>
      <w:pPr>
        <w:adjustRightInd w:val="0"/>
        <w:snapToGrid w:val="0"/>
        <w:spacing w:line="360" w:lineRule="auto"/>
        <w:ind w:firstLine="360" w:firstLineChars="150"/>
        <w:rPr>
          <w:rFonts w:ascii="仿宋" w:hAnsi="仿宋" w:eastAsia="仿宋" w:cs="仿宋"/>
          <w:color w:val="auto"/>
          <w:sz w:val="24"/>
          <w:szCs w:val="24"/>
          <w:highlight w:val="none"/>
        </w:rPr>
      </w:pPr>
    </w:p>
    <w:p>
      <w:pPr>
        <w:adjustRightInd w:val="0"/>
        <w:snapToGrid w:val="0"/>
        <w:spacing w:line="360" w:lineRule="auto"/>
        <w:ind w:firstLine="360" w:firstLineChars="150"/>
        <w:rPr>
          <w:rFonts w:ascii="仿宋" w:hAnsi="仿宋" w:eastAsia="仿宋" w:cs="仿宋"/>
          <w:color w:val="auto"/>
          <w:sz w:val="24"/>
          <w:szCs w:val="24"/>
          <w:highlight w:val="none"/>
        </w:rPr>
      </w:pPr>
    </w:p>
    <w:p>
      <w:pPr>
        <w:adjustRightInd w:val="0"/>
        <w:snapToGrid w:val="0"/>
        <w:spacing w:line="360" w:lineRule="auto"/>
        <w:ind w:firstLine="360" w:firstLineChars="150"/>
        <w:rPr>
          <w:rFonts w:ascii="仿宋" w:hAnsi="仿宋" w:eastAsia="仿宋" w:cs="仿宋"/>
          <w:color w:val="auto"/>
          <w:sz w:val="24"/>
          <w:szCs w:val="24"/>
          <w:highlight w:val="none"/>
        </w:rPr>
      </w:pPr>
    </w:p>
    <w:p>
      <w:pPr>
        <w:adjustRightInd w:val="0"/>
        <w:snapToGrid w:val="0"/>
        <w:spacing w:line="360" w:lineRule="auto"/>
        <w:ind w:firstLine="360" w:firstLineChars="150"/>
        <w:rPr>
          <w:rFonts w:ascii="仿宋" w:hAnsi="仿宋" w:eastAsia="仿宋" w:cs="仿宋"/>
          <w:color w:val="auto"/>
          <w:sz w:val="24"/>
          <w:szCs w:val="24"/>
          <w:highlight w:val="none"/>
        </w:rPr>
      </w:pPr>
    </w:p>
    <w:p>
      <w:pPr>
        <w:adjustRightInd w:val="0"/>
        <w:snapToGrid w:val="0"/>
        <w:spacing w:line="360" w:lineRule="auto"/>
        <w:ind w:firstLine="360" w:firstLineChars="150"/>
        <w:rPr>
          <w:rFonts w:ascii="仿宋" w:hAnsi="仿宋" w:eastAsia="仿宋" w:cs="仿宋"/>
          <w:color w:val="auto"/>
          <w:sz w:val="24"/>
          <w:szCs w:val="24"/>
          <w:highlight w:val="none"/>
        </w:rPr>
      </w:pPr>
    </w:p>
    <w:p>
      <w:pPr>
        <w:adjustRightInd w:val="0"/>
        <w:snapToGrid w:val="0"/>
        <w:spacing w:line="360" w:lineRule="auto"/>
        <w:ind w:firstLine="360" w:firstLineChars="150"/>
        <w:rPr>
          <w:rFonts w:ascii="仿宋" w:hAnsi="仿宋" w:eastAsia="仿宋" w:cs="仿宋"/>
          <w:color w:val="auto"/>
          <w:sz w:val="24"/>
          <w:szCs w:val="24"/>
          <w:highlight w:val="none"/>
        </w:rPr>
      </w:pPr>
    </w:p>
    <w:p>
      <w:pPr>
        <w:adjustRightInd w:val="0"/>
        <w:snapToGrid w:val="0"/>
        <w:spacing w:line="360" w:lineRule="auto"/>
        <w:ind w:firstLine="360" w:firstLineChars="150"/>
        <w:rPr>
          <w:rFonts w:ascii="仿宋" w:hAnsi="仿宋" w:eastAsia="仿宋" w:cs="仿宋"/>
          <w:color w:val="auto"/>
          <w:sz w:val="24"/>
          <w:szCs w:val="24"/>
          <w:highlight w:val="none"/>
        </w:rPr>
      </w:pPr>
    </w:p>
    <w:p>
      <w:pPr>
        <w:adjustRightInd w:val="0"/>
        <w:snapToGrid w:val="0"/>
        <w:spacing w:line="360" w:lineRule="auto"/>
        <w:ind w:firstLine="360" w:firstLineChars="150"/>
        <w:rPr>
          <w:rFonts w:ascii="仿宋" w:hAnsi="仿宋" w:eastAsia="仿宋" w:cs="仿宋"/>
          <w:color w:val="auto"/>
          <w:sz w:val="24"/>
          <w:szCs w:val="24"/>
          <w:highlight w:val="none"/>
        </w:rPr>
      </w:pPr>
    </w:p>
    <w:p>
      <w:pPr>
        <w:adjustRightInd w:val="0"/>
        <w:snapToGrid w:val="0"/>
        <w:spacing w:line="360" w:lineRule="auto"/>
        <w:ind w:firstLine="360" w:firstLineChars="150"/>
        <w:rPr>
          <w:rFonts w:ascii="仿宋" w:hAnsi="仿宋" w:eastAsia="仿宋" w:cs="仿宋"/>
          <w:color w:val="auto"/>
          <w:sz w:val="24"/>
          <w:szCs w:val="24"/>
          <w:highlight w:val="none"/>
        </w:rPr>
      </w:pPr>
    </w:p>
    <w:p>
      <w:pPr>
        <w:adjustRightInd w:val="0"/>
        <w:snapToGrid w:val="0"/>
        <w:spacing w:line="360" w:lineRule="auto"/>
        <w:ind w:firstLine="360" w:firstLineChars="150"/>
        <w:rPr>
          <w:rFonts w:ascii="仿宋" w:hAnsi="仿宋" w:eastAsia="仿宋" w:cs="仿宋"/>
          <w:color w:val="auto"/>
          <w:sz w:val="24"/>
          <w:szCs w:val="24"/>
          <w:highlight w:val="none"/>
        </w:rPr>
      </w:pPr>
    </w:p>
    <w:p>
      <w:pPr>
        <w:adjustRightInd w:val="0"/>
        <w:snapToGrid w:val="0"/>
        <w:spacing w:line="360" w:lineRule="auto"/>
        <w:ind w:firstLine="360" w:firstLineChars="150"/>
        <w:rPr>
          <w:rFonts w:ascii="仿宋" w:hAnsi="仿宋" w:eastAsia="仿宋" w:cs="仿宋"/>
          <w:color w:val="auto"/>
          <w:sz w:val="24"/>
          <w:szCs w:val="24"/>
          <w:highlight w:val="none"/>
        </w:rPr>
      </w:pPr>
    </w:p>
    <w:p>
      <w:pPr>
        <w:pStyle w:val="3"/>
        <w:ind w:left="781" w:leftChars="205" w:hanging="351" w:hangingChars="97"/>
        <w:jc w:val="center"/>
        <w:rPr>
          <w:rFonts w:hint="eastAsia" w:hAnsi="宋体" w:cs="仿宋"/>
          <w:b/>
          <w:color w:val="auto"/>
          <w:szCs w:val="36"/>
          <w:highlight w:val="none"/>
        </w:rPr>
        <w:sectPr>
          <w:pgSz w:w="11906" w:h="16838"/>
          <w:pgMar w:top="1134" w:right="1134" w:bottom="1134" w:left="1134" w:header="851" w:footer="992" w:gutter="0"/>
          <w:pgNumType w:start="1"/>
          <w:cols w:space="720" w:num="1"/>
          <w:docGrid w:type="lines" w:linePitch="312" w:charSpace="0"/>
        </w:sectPr>
      </w:pPr>
      <w:bookmarkStart w:id="29" w:name="_Toc13098"/>
    </w:p>
    <w:p>
      <w:pPr>
        <w:pStyle w:val="3"/>
        <w:ind w:left="781" w:leftChars="205" w:hanging="351" w:hangingChars="97"/>
        <w:jc w:val="center"/>
        <w:rPr>
          <w:rFonts w:hAnsi="宋体" w:cs="仿宋"/>
          <w:b/>
          <w:color w:val="auto"/>
          <w:szCs w:val="36"/>
          <w:highlight w:val="none"/>
        </w:rPr>
      </w:pPr>
      <w:r>
        <w:rPr>
          <w:rFonts w:hint="eastAsia" w:hAnsi="宋体" w:cs="仿宋"/>
          <w:b/>
          <w:color w:val="auto"/>
          <w:szCs w:val="36"/>
          <w:highlight w:val="none"/>
        </w:rPr>
        <w:t>第二部分</w:t>
      </w:r>
      <w:r>
        <w:rPr>
          <w:rFonts w:hAnsi="宋体" w:cs="仿宋"/>
          <w:b/>
          <w:color w:val="auto"/>
          <w:szCs w:val="36"/>
          <w:highlight w:val="none"/>
        </w:rPr>
        <w:t xml:space="preserve">  </w:t>
      </w:r>
      <w:r>
        <w:rPr>
          <w:rFonts w:hint="eastAsia" w:hAnsi="宋体" w:cs="仿宋"/>
          <w:b/>
          <w:color w:val="auto"/>
          <w:szCs w:val="36"/>
          <w:highlight w:val="none"/>
        </w:rPr>
        <w:t>通用条款</w:t>
      </w:r>
      <w:bookmarkEnd w:id="29"/>
    </w:p>
    <w:p>
      <w:pPr>
        <w:spacing w:line="360" w:lineRule="auto"/>
        <w:jc w:val="center"/>
        <w:rPr>
          <w:rFonts w:ascii="仿宋_GB2312" w:hAnsi="宋体" w:eastAsia="仿宋_GB2312"/>
          <w:b/>
          <w:bCs/>
          <w:color w:val="auto"/>
          <w:sz w:val="24"/>
          <w:szCs w:val="24"/>
          <w:highlight w:val="none"/>
        </w:rPr>
      </w:pPr>
    </w:p>
    <w:p>
      <w:pPr>
        <w:spacing w:line="640" w:lineRule="exact"/>
        <w:outlineLvl w:val="1"/>
        <w:rPr>
          <w:rFonts w:ascii="仿宋" w:hAnsi="仿宋" w:eastAsia="仿宋"/>
          <w:b/>
          <w:bCs/>
          <w:color w:val="auto"/>
          <w:sz w:val="24"/>
          <w:szCs w:val="24"/>
          <w:highlight w:val="none"/>
        </w:rPr>
      </w:pPr>
      <w:bookmarkStart w:id="30" w:name="_Toc3692"/>
      <w:r>
        <w:rPr>
          <w:rFonts w:ascii="仿宋" w:hAnsi="仿宋" w:eastAsia="仿宋" w:cs="仿宋"/>
          <w:b/>
          <w:bCs/>
          <w:color w:val="auto"/>
          <w:sz w:val="24"/>
          <w:szCs w:val="24"/>
          <w:highlight w:val="none"/>
        </w:rPr>
        <w:t xml:space="preserve">1. </w:t>
      </w:r>
      <w:r>
        <w:rPr>
          <w:rFonts w:hint="eastAsia" w:ascii="仿宋" w:hAnsi="仿宋" w:eastAsia="仿宋" w:cs="仿宋"/>
          <w:b/>
          <w:bCs/>
          <w:color w:val="auto"/>
          <w:sz w:val="24"/>
          <w:szCs w:val="24"/>
          <w:highlight w:val="none"/>
        </w:rPr>
        <w:t>定义与解释</w:t>
      </w:r>
      <w:bookmarkEnd w:id="30"/>
    </w:p>
    <w:p>
      <w:pPr>
        <w:spacing w:line="640" w:lineRule="exact"/>
        <w:outlineLvl w:val="2"/>
        <w:rPr>
          <w:rFonts w:ascii="仿宋" w:hAnsi="仿宋" w:eastAsia="仿宋"/>
          <w:color w:val="auto"/>
          <w:sz w:val="24"/>
          <w:szCs w:val="24"/>
          <w:highlight w:val="none"/>
        </w:rPr>
      </w:pPr>
      <w:bookmarkStart w:id="31" w:name="_Toc19829"/>
      <w:r>
        <w:rPr>
          <w:rFonts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rPr>
        <w:t>定义</w:t>
      </w:r>
      <w:bookmarkEnd w:id="31"/>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除根据上下文另有其意义外，组成本合同的全部文件中的下列名词和用语应具有本款所赋予的含义：</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1.1.1 </w:t>
      </w:r>
      <w:r>
        <w:rPr>
          <w:rFonts w:hint="eastAsia" w:ascii="仿宋" w:hAnsi="仿宋" w:eastAsia="仿宋" w:cs="仿宋"/>
          <w:color w:val="auto"/>
          <w:sz w:val="24"/>
          <w:szCs w:val="24"/>
          <w:highlight w:val="none"/>
        </w:rPr>
        <w:t>“工程”是指按照本合同约定实施监理与相关服务的建设工程。</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1.1.2 </w:t>
      </w:r>
      <w:r>
        <w:rPr>
          <w:rFonts w:hint="eastAsia" w:ascii="仿宋" w:hAnsi="仿宋" w:eastAsia="仿宋" w:cs="仿宋"/>
          <w:color w:val="auto"/>
          <w:sz w:val="24"/>
          <w:szCs w:val="24"/>
          <w:highlight w:val="none"/>
        </w:rPr>
        <w:t>“委托人”是指本合同中委托监理与相关服务的一方，及其合法的继承人或受让人。</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1.1.3 </w:t>
      </w:r>
      <w:r>
        <w:rPr>
          <w:rFonts w:hint="eastAsia" w:ascii="仿宋" w:hAnsi="仿宋" w:eastAsia="仿宋" w:cs="仿宋"/>
          <w:color w:val="auto"/>
          <w:sz w:val="24"/>
          <w:szCs w:val="24"/>
          <w:highlight w:val="none"/>
        </w:rPr>
        <w:t>“监理人”是指本合同中提供监理与相关服务的一方，及其合法的继承人。</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1.1.4 </w:t>
      </w:r>
      <w:r>
        <w:rPr>
          <w:rFonts w:hint="eastAsia" w:ascii="仿宋" w:hAnsi="仿宋" w:eastAsia="仿宋" w:cs="仿宋"/>
          <w:color w:val="auto"/>
          <w:sz w:val="24"/>
          <w:szCs w:val="24"/>
          <w:highlight w:val="none"/>
        </w:rPr>
        <w:t>“承包人”是指在工程范围内与委托人签订勘察、设计、维护等有关合同的当事人，及其合法的继承人。</w:t>
      </w:r>
    </w:p>
    <w:p>
      <w:pPr>
        <w:pStyle w:val="13"/>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1.1.5 </w:t>
      </w:r>
      <w:r>
        <w:rPr>
          <w:rFonts w:hint="eastAsia" w:ascii="仿宋" w:hAnsi="仿宋" w:eastAsia="仿宋" w:cs="仿宋"/>
          <w:color w:val="auto"/>
          <w:sz w:val="24"/>
          <w:szCs w:val="24"/>
          <w:highlight w:val="none"/>
        </w:rPr>
        <w:t>“监理”是指监理人受委托人的委托</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依照法律法规、工程建设标准、勘察设计文件及合同，在维护阶段对建设工程质量、进度、造价进行控制，对合同、信息进行管理，对工程建设相关方的关系进行协调，并履行建设工程安全生产管理法定职责的服务活动。</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1.1.6 </w:t>
      </w:r>
      <w:r>
        <w:rPr>
          <w:rFonts w:hint="eastAsia" w:ascii="仿宋" w:hAnsi="仿宋" w:eastAsia="仿宋" w:cs="仿宋"/>
          <w:color w:val="auto"/>
          <w:sz w:val="24"/>
          <w:szCs w:val="24"/>
          <w:highlight w:val="none"/>
        </w:rPr>
        <w:t>“相关服务”是指监理人受委托人的委托</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，按照本合同约定，在勘察、设计、保修等阶段提供的服务活动。</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1.1.7 </w:t>
      </w:r>
      <w:r>
        <w:rPr>
          <w:rFonts w:hint="eastAsia" w:ascii="仿宋" w:hAnsi="仿宋" w:eastAsia="仿宋" w:cs="仿宋"/>
          <w:color w:val="auto"/>
          <w:sz w:val="24"/>
          <w:szCs w:val="24"/>
          <w:highlight w:val="none"/>
        </w:rPr>
        <w:t>“正常工作”指本合同订立时通用条款和专用条款中约定的监理人的工作。</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1.1.8 </w:t>
      </w:r>
      <w:r>
        <w:rPr>
          <w:rFonts w:hint="eastAsia" w:ascii="仿宋" w:hAnsi="仿宋" w:eastAsia="仿宋" w:cs="仿宋"/>
          <w:color w:val="auto"/>
          <w:sz w:val="24"/>
          <w:szCs w:val="24"/>
          <w:highlight w:val="none"/>
        </w:rPr>
        <w:t>“附加工作”是指本合同约定的正常工作以外监理人的工作。</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1.1.9 </w:t>
      </w:r>
      <w:r>
        <w:rPr>
          <w:rFonts w:hint="eastAsia" w:ascii="仿宋" w:hAnsi="仿宋" w:eastAsia="仿宋" w:cs="仿宋"/>
          <w:color w:val="auto"/>
          <w:sz w:val="24"/>
          <w:szCs w:val="24"/>
          <w:highlight w:val="none"/>
        </w:rPr>
        <w:t>“项目监理机构”是指监理人派驻工程负责履行本合同的组织机构。</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1.1.10 </w:t>
      </w:r>
      <w:r>
        <w:rPr>
          <w:rFonts w:hint="eastAsia" w:ascii="仿宋" w:hAnsi="仿宋" w:eastAsia="仿宋" w:cs="仿宋"/>
          <w:color w:val="auto"/>
          <w:sz w:val="24"/>
          <w:szCs w:val="24"/>
          <w:highlight w:val="none"/>
        </w:rPr>
        <w:t>“总监理工程师”是指由监理人的法定代表人书面授权，全面负责履行本合同、主持项目监理机构工作的注册监理工程师。</w:t>
      </w:r>
    </w:p>
    <w:p>
      <w:pPr>
        <w:adjustRightInd w:val="0"/>
        <w:snapToGrid w:val="0"/>
        <w:spacing w:line="640" w:lineRule="exact"/>
        <w:ind w:firstLine="475" w:firstLineChars="198"/>
        <w:rPr>
          <w:rFonts w:ascii="仿宋" w:hAnsi="仿宋" w:eastAsia="仿宋"/>
          <w:color w:val="auto"/>
          <w:sz w:val="24"/>
          <w:szCs w:val="24"/>
          <w:highlight w:val="none"/>
        </w:rPr>
      </w:pPr>
      <w:r>
        <w:rPr>
          <w:rFonts w:ascii="仿宋" w:hAnsi="仿宋" w:eastAsia="仿宋" w:cs="仿宋"/>
          <w:color w:val="auto"/>
          <w:sz w:val="24"/>
          <w:szCs w:val="24"/>
          <w:highlight w:val="none"/>
        </w:rPr>
        <w:t xml:space="preserve">1.1.11 </w:t>
      </w:r>
      <w:r>
        <w:rPr>
          <w:rFonts w:hint="eastAsia" w:ascii="仿宋" w:hAnsi="仿宋" w:eastAsia="仿宋" w:cs="仿宋"/>
          <w:color w:val="auto"/>
          <w:sz w:val="24"/>
          <w:szCs w:val="24"/>
          <w:highlight w:val="none"/>
        </w:rPr>
        <w:t>“酬金”是指监理人履行本合同义务，委托人按照本合同约定给付监理人的金额。</w:t>
      </w:r>
    </w:p>
    <w:p>
      <w:pPr>
        <w:adjustRightInd w:val="0"/>
        <w:snapToGrid w:val="0"/>
        <w:spacing w:line="640" w:lineRule="exact"/>
        <w:ind w:firstLine="320" w:firstLineChars="133"/>
        <w:rPr>
          <w:rFonts w:ascii="仿宋" w:hAnsi="仿宋" w:eastAsia="仿宋"/>
          <w:color w:val="auto"/>
          <w:sz w:val="24"/>
          <w:szCs w:val="24"/>
          <w:highlight w:val="none"/>
        </w:rPr>
      </w:pPr>
      <w:r>
        <w:rPr>
          <w:rFonts w:hint="eastAsia" w:ascii="仿宋" w:hAnsi="仿宋" w:eastAsia="仿宋" w:cs="Arial Unicode MS"/>
          <w:b/>
          <w:bCs/>
          <w:color w:val="auto"/>
          <w:kern w:val="0"/>
          <w:sz w:val="24"/>
          <w:szCs w:val="24"/>
          <w:highlight w:val="none"/>
        </w:rPr>
        <w:t>★</w:t>
      </w:r>
      <w:r>
        <w:rPr>
          <w:rFonts w:ascii="仿宋" w:hAnsi="仿宋" w:eastAsia="仿宋" w:cs="仿宋"/>
          <w:color w:val="auto"/>
          <w:sz w:val="24"/>
          <w:szCs w:val="24"/>
          <w:highlight w:val="none"/>
        </w:rPr>
        <w:t xml:space="preserve">1.1.12 </w:t>
      </w:r>
      <w:r>
        <w:rPr>
          <w:rFonts w:hint="eastAsia" w:ascii="仿宋" w:hAnsi="仿宋" w:eastAsia="仿宋" w:cs="仿宋"/>
          <w:color w:val="auto"/>
          <w:sz w:val="24"/>
          <w:szCs w:val="24"/>
          <w:highlight w:val="none"/>
        </w:rPr>
        <w:t>“正常工作</w:t>
      </w:r>
      <w:r>
        <w:rPr>
          <w:rFonts w:hint="eastAsia" w:ascii="仿宋" w:hAnsi="仿宋" w:eastAsia="仿宋" w:cs="仿宋"/>
          <w:color w:val="auto"/>
          <w:kern w:val="0"/>
          <w:sz w:val="24"/>
          <w:szCs w:val="24"/>
          <w:highlight w:val="none"/>
        </w:rPr>
        <w:t>酬金”</w:t>
      </w:r>
      <w:r>
        <w:rPr>
          <w:rFonts w:hint="eastAsia" w:ascii="仿宋" w:hAnsi="仿宋" w:eastAsia="仿宋" w:cs="仿宋"/>
          <w:color w:val="auto"/>
          <w:sz w:val="24"/>
          <w:szCs w:val="24"/>
          <w:highlight w:val="none"/>
        </w:rPr>
        <w:t>是指监理人完成正常工作，委托人应给付监理人并在协议书中载明的签约</w:t>
      </w:r>
      <w:r>
        <w:rPr>
          <w:rFonts w:hint="eastAsia" w:ascii="仿宋" w:hAnsi="仿宋" w:eastAsia="仿宋" w:cs="仿宋"/>
          <w:color w:val="auto"/>
          <w:kern w:val="0"/>
          <w:sz w:val="24"/>
          <w:szCs w:val="24"/>
          <w:highlight w:val="none"/>
        </w:rPr>
        <w:t>酬金额</w:t>
      </w:r>
      <w:r>
        <w:rPr>
          <w:rFonts w:hint="eastAsia" w:ascii="仿宋" w:hAnsi="仿宋" w:eastAsia="仿宋" w:cs="仿宋"/>
          <w:color w:val="auto"/>
          <w:sz w:val="24"/>
          <w:szCs w:val="24"/>
          <w:highlight w:val="none"/>
        </w:rPr>
        <w:t>。</w:t>
      </w:r>
    </w:p>
    <w:p>
      <w:pPr>
        <w:adjustRightInd w:val="0"/>
        <w:snapToGrid w:val="0"/>
        <w:spacing w:line="640" w:lineRule="exact"/>
        <w:ind w:firstLine="320" w:firstLineChars="133"/>
        <w:rPr>
          <w:rFonts w:ascii="仿宋" w:hAnsi="仿宋" w:eastAsia="仿宋"/>
          <w:color w:val="auto"/>
          <w:sz w:val="24"/>
          <w:szCs w:val="24"/>
          <w:highlight w:val="none"/>
        </w:rPr>
      </w:pPr>
      <w:r>
        <w:rPr>
          <w:rFonts w:hint="eastAsia" w:ascii="仿宋" w:hAnsi="仿宋" w:eastAsia="仿宋" w:cs="Arial Unicode MS"/>
          <w:b/>
          <w:bCs/>
          <w:color w:val="auto"/>
          <w:kern w:val="0"/>
          <w:sz w:val="24"/>
          <w:szCs w:val="24"/>
          <w:highlight w:val="none"/>
        </w:rPr>
        <w:t>★</w:t>
      </w:r>
      <w:r>
        <w:rPr>
          <w:rFonts w:ascii="仿宋" w:hAnsi="仿宋" w:eastAsia="仿宋" w:cs="仿宋"/>
          <w:color w:val="auto"/>
          <w:sz w:val="24"/>
          <w:szCs w:val="24"/>
          <w:highlight w:val="none"/>
        </w:rPr>
        <w:t xml:space="preserve">1.1.13 </w:t>
      </w:r>
      <w:r>
        <w:rPr>
          <w:rFonts w:hint="eastAsia" w:ascii="仿宋" w:hAnsi="仿宋" w:eastAsia="仿宋" w:cs="仿宋"/>
          <w:color w:val="auto"/>
          <w:sz w:val="24"/>
          <w:szCs w:val="24"/>
          <w:highlight w:val="none"/>
        </w:rPr>
        <w:t>“附加工作酬金”是指监理人完成附加工作，委托人应给付监理人的金额。</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1.1.14 </w:t>
      </w:r>
      <w:r>
        <w:rPr>
          <w:rFonts w:hint="eastAsia" w:ascii="仿宋" w:hAnsi="仿宋" w:eastAsia="仿宋" w:cs="仿宋"/>
          <w:color w:val="auto"/>
          <w:sz w:val="24"/>
          <w:szCs w:val="24"/>
          <w:highlight w:val="none"/>
        </w:rPr>
        <w:t>“一方”是指委托人或监理人；“双方”是指委托人和监理人；“第三方”是指除委托人和监理人以外的有关方。</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1.1.15 </w:t>
      </w:r>
      <w:r>
        <w:rPr>
          <w:rFonts w:hint="eastAsia" w:ascii="仿宋" w:hAnsi="仿宋" w:eastAsia="仿宋" w:cs="仿宋"/>
          <w:color w:val="auto"/>
          <w:sz w:val="24"/>
          <w:szCs w:val="24"/>
          <w:highlight w:val="none"/>
        </w:rPr>
        <w:t>“书面形式”是指合同书、信件和数据电文（包括电报、电传、传真、电子数据交换和电子邮件）等可以有形地表现所载内容的形式。</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1.1.16 </w:t>
      </w:r>
      <w:r>
        <w:rPr>
          <w:rFonts w:hint="eastAsia" w:ascii="仿宋" w:hAnsi="仿宋" w:eastAsia="仿宋" w:cs="仿宋"/>
          <w:color w:val="auto"/>
          <w:sz w:val="24"/>
          <w:szCs w:val="24"/>
          <w:highlight w:val="none"/>
        </w:rPr>
        <w:t>“天”是指第一天零时至第二天零时的时间。</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1.1.17</w:t>
      </w:r>
      <w:r>
        <w:rPr>
          <w:rFonts w:hint="eastAsia" w:ascii="仿宋" w:hAnsi="仿宋" w:eastAsia="仿宋" w:cs="仿宋"/>
          <w:color w:val="auto"/>
          <w:sz w:val="24"/>
          <w:szCs w:val="24"/>
          <w:highlight w:val="none"/>
        </w:rPr>
        <w:t>“月”是指按公历从一个月中任何一天开始的一个公历月时间。</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1.1.18</w:t>
      </w:r>
      <w:r>
        <w:rPr>
          <w:rFonts w:hint="eastAsia" w:ascii="仿宋" w:hAnsi="仿宋" w:eastAsia="仿宋" w:cs="仿宋"/>
          <w:color w:val="auto"/>
          <w:kern w:val="0"/>
          <w:sz w:val="24"/>
          <w:szCs w:val="24"/>
          <w:highlight w:val="none"/>
        </w:rPr>
        <w:t>不可抗力是指合同当事人在签订合同时不可预见，在合同履行过程中不可避免且不能克服的自然灾害和社会性突发事件，如地震、海啸、瘟疫、骚乱、戒严、暴动、战争等。</w:t>
      </w:r>
    </w:p>
    <w:p>
      <w:pPr>
        <w:adjustRightInd w:val="0"/>
        <w:snapToGrid w:val="0"/>
        <w:spacing w:line="640" w:lineRule="exact"/>
        <w:rPr>
          <w:rFonts w:ascii="仿宋" w:hAnsi="仿宋" w:eastAsia="仿宋"/>
          <w:color w:val="auto"/>
          <w:sz w:val="24"/>
          <w:szCs w:val="24"/>
          <w:highlight w:val="none"/>
        </w:rPr>
      </w:pPr>
      <w:r>
        <w:rPr>
          <w:rFonts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rPr>
        <w:t>解释</w:t>
      </w:r>
    </w:p>
    <w:p>
      <w:pPr>
        <w:tabs>
          <w:tab w:val="left" w:pos="6140"/>
        </w:tabs>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1.2.1</w:t>
      </w:r>
      <w:r>
        <w:rPr>
          <w:rFonts w:hint="eastAsia" w:ascii="仿宋" w:hAnsi="仿宋" w:eastAsia="仿宋" w:cs="仿宋"/>
          <w:color w:val="auto"/>
          <w:sz w:val="24"/>
          <w:szCs w:val="24"/>
          <w:highlight w:val="none"/>
        </w:rPr>
        <w:t>本合同使用中文书写、解释和说明。如专用条款约定使用两种及以上语言文字时，应以中文为准。</w:t>
      </w:r>
    </w:p>
    <w:p>
      <w:pPr>
        <w:tabs>
          <w:tab w:val="left" w:pos="6140"/>
        </w:tabs>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1.2.2 </w:t>
      </w:r>
      <w:r>
        <w:rPr>
          <w:rFonts w:hint="eastAsia" w:ascii="仿宋" w:hAnsi="仿宋" w:eastAsia="仿宋" w:cs="仿宋"/>
          <w:color w:val="auto"/>
          <w:sz w:val="24"/>
          <w:szCs w:val="24"/>
          <w:highlight w:val="none"/>
        </w:rPr>
        <w:t>组成本合同的下列文件彼此应能相互解释、互为说明。本合同文件的解释顺序如下：</w:t>
      </w:r>
    </w:p>
    <w:p>
      <w:pPr>
        <w:pStyle w:val="47"/>
        <w:spacing w:line="640" w:lineRule="exact"/>
        <w:ind w:firstLine="480" w:firstLineChars="20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履行本合同的相关补充协议（含工程洽商记录、会议纪要、变更、现场签证、索赔和合同价款调整报告等修正文件）；</w:t>
      </w:r>
    </w:p>
    <w:p>
      <w:pPr>
        <w:pStyle w:val="47"/>
        <w:spacing w:line="640" w:lineRule="exact"/>
        <w:ind w:firstLine="480" w:firstLineChars="20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协议书；</w:t>
      </w:r>
    </w:p>
    <w:p>
      <w:pPr>
        <w:tabs>
          <w:tab w:val="left" w:pos="6140"/>
        </w:tabs>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中标通知书（适用于招标工程）或</w:t>
      </w:r>
      <w:r>
        <w:rPr>
          <w:rFonts w:hint="eastAsia" w:ascii="仿宋" w:hAnsi="仿宋" w:eastAsia="仿宋" w:cs="仿宋"/>
          <w:color w:val="auto"/>
          <w:sz w:val="24"/>
          <w:szCs w:val="24"/>
          <w:highlight w:val="none"/>
          <w:lang w:eastAsia="zh-CN"/>
        </w:rPr>
        <w:t>成交通知书</w:t>
      </w:r>
      <w:r>
        <w:rPr>
          <w:rFonts w:hint="eastAsia" w:ascii="仿宋" w:hAnsi="仿宋" w:eastAsia="仿宋" w:cs="仿宋"/>
          <w:color w:val="auto"/>
          <w:sz w:val="24"/>
          <w:szCs w:val="24"/>
          <w:highlight w:val="none"/>
        </w:rPr>
        <w:t>（适用于非招标工程）；</w:t>
      </w:r>
    </w:p>
    <w:p>
      <w:pPr>
        <w:tabs>
          <w:tab w:val="left" w:pos="6140"/>
        </w:tabs>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投标函及投标函附录（适用于招标工程）或服务建议书（适用于非招标工程）；</w:t>
      </w:r>
    </w:p>
    <w:p>
      <w:pPr>
        <w:tabs>
          <w:tab w:val="left" w:pos="6140"/>
        </w:tabs>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专用条款及附件；</w:t>
      </w:r>
    </w:p>
    <w:p>
      <w:pPr>
        <w:tabs>
          <w:tab w:val="left" w:pos="6140"/>
        </w:tabs>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通用条款；</w:t>
      </w:r>
    </w:p>
    <w:p>
      <w:pPr>
        <w:tabs>
          <w:tab w:val="left" w:pos="6140"/>
        </w:tabs>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询比文件（包括补充、修改、澄清的文件、工作量清单及总说明等）；</w:t>
      </w:r>
    </w:p>
    <w:p>
      <w:pPr>
        <w:tabs>
          <w:tab w:val="left" w:pos="6140"/>
        </w:tabs>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 xml:space="preserve"> 专用条款约定的其他文件。</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上述各项合同文件包括合同当事人就该项合同文件所作出的补充和修改，属于同一类内容的文件，应以最新签署的为准。</w:t>
      </w:r>
    </w:p>
    <w:p>
      <w:pPr>
        <w:spacing w:line="640" w:lineRule="exact"/>
        <w:outlineLvl w:val="1"/>
        <w:rPr>
          <w:rFonts w:ascii="仿宋" w:hAnsi="仿宋" w:eastAsia="仿宋"/>
          <w:b/>
          <w:bCs/>
          <w:color w:val="auto"/>
          <w:sz w:val="24"/>
          <w:szCs w:val="24"/>
          <w:highlight w:val="none"/>
        </w:rPr>
      </w:pPr>
      <w:bookmarkStart w:id="32" w:name="_Toc607"/>
      <w:r>
        <w:rPr>
          <w:rFonts w:ascii="仿宋" w:hAnsi="仿宋" w:eastAsia="仿宋" w:cs="仿宋"/>
          <w:b/>
          <w:bCs/>
          <w:color w:val="auto"/>
          <w:sz w:val="24"/>
          <w:szCs w:val="24"/>
          <w:highlight w:val="none"/>
        </w:rPr>
        <w:t xml:space="preserve">2. </w:t>
      </w:r>
      <w:r>
        <w:rPr>
          <w:rFonts w:hint="eastAsia" w:ascii="仿宋" w:hAnsi="仿宋" w:eastAsia="仿宋" w:cs="仿宋"/>
          <w:b/>
          <w:bCs/>
          <w:color w:val="auto"/>
          <w:sz w:val="24"/>
          <w:szCs w:val="24"/>
          <w:highlight w:val="none"/>
        </w:rPr>
        <w:t>监理人的义务</w:t>
      </w:r>
      <w:bookmarkEnd w:id="32"/>
    </w:p>
    <w:p>
      <w:pPr>
        <w:spacing w:line="640" w:lineRule="exact"/>
        <w:outlineLvl w:val="2"/>
        <w:rPr>
          <w:rFonts w:ascii="仿宋" w:hAnsi="仿宋" w:eastAsia="仿宋"/>
          <w:color w:val="auto"/>
          <w:sz w:val="24"/>
          <w:szCs w:val="24"/>
          <w:highlight w:val="none"/>
        </w:rPr>
      </w:pPr>
      <w:bookmarkStart w:id="33" w:name="_Toc8258"/>
      <w:r>
        <w:rPr>
          <w:rFonts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rPr>
        <w:t>监理的范围和工作内容</w:t>
      </w:r>
      <w:bookmarkEnd w:id="33"/>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根据《建设工程质量管理条例》（中华人民共和国建设部令第</w:t>
      </w:r>
      <w:r>
        <w:rPr>
          <w:rFonts w:ascii="仿宋" w:hAnsi="仿宋" w:eastAsia="仿宋" w:cs="仿宋"/>
          <w:color w:val="auto"/>
          <w:sz w:val="24"/>
          <w:szCs w:val="24"/>
          <w:highlight w:val="none"/>
        </w:rPr>
        <w:t>279</w:t>
      </w:r>
      <w:r>
        <w:rPr>
          <w:rFonts w:hint="eastAsia" w:ascii="仿宋" w:hAnsi="仿宋" w:eastAsia="仿宋" w:cs="仿宋"/>
          <w:color w:val="auto"/>
          <w:sz w:val="24"/>
          <w:szCs w:val="24"/>
          <w:highlight w:val="none"/>
        </w:rPr>
        <w:t>号）和《建设工程监理范围和规模标准规定》（中华人民共和国建设部令第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号），按中华人民共和国国家标准</w:t>
      </w:r>
      <w:r>
        <w:rPr>
          <w:rFonts w:ascii="仿宋" w:hAnsi="仿宋" w:eastAsia="仿宋" w:cs="仿宋"/>
          <w:color w:val="auto"/>
          <w:sz w:val="24"/>
          <w:szCs w:val="24"/>
          <w:highlight w:val="none"/>
        </w:rPr>
        <w:t>GB/T50319-2013</w:t>
      </w:r>
      <w:r>
        <w:rPr>
          <w:rFonts w:hint="eastAsia" w:ascii="仿宋" w:hAnsi="仿宋" w:eastAsia="仿宋" w:cs="仿宋"/>
          <w:color w:val="auto"/>
          <w:sz w:val="24"/>
          <w:szCs w:val="24"/>
          <w:highlight w:val="none"/>
        </w:rPr>
        <w:t>《建设工程监理规范》执行。</w:t>
      </w:r>
    </w:p>
    <w:p>
      <w:pPr>
        <w:adjustRightInd w:val="0"/>
        <w:snapToGrid w:val="0"/>
        <w:spacing w:line="640" w:lineRule="exact"/>
        <w:ind w:firstLine="600" w:firstLineChars="25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2.1.1 </w:t>
      </w:r>
      <w:r>
        <w:rPr>
          <w:rFonts w:hint="eastAsia" w:ascii="仿宋" w:hAnsi="仿宋" w:eastAsia="仿宋" w:cs="仿宋"/>
          <w:color w:val="auto"/>
          <w:sz w:val="24"/>
          <w:szCs w:val="24"/>
          <w:highlight w:val="none"/>
        </w:rPr>
        <w:t>监理范围：指维护准备期、维护期、完工结算期、质量保修期全过程监理服务，具体内容在专用条款中约定。</w:t>
      </w:r>
    </w:p>
    <w:p>
      <w:pPr>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2.1.2 </w:t>
      </w:r>
      <w:r>
        <w:rPr>
          <w:rFonts w:hint="eastAsia" w:ascii="仿宋" w:hAnsi="仿宋" w:eastAsia="仿宋" w:cs="仿宋"/>
          <w:color w:val="auto"/>
          <w:sz w:val="24"/>
          <w:szCs w:val="24"/>
          <w:highlight w:val="none"/>
        </w:rPr>
        <w:t>除专用条款另有约定外，监理工作内容</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在维护阶段对建设工程质量、造价、进度进行控制，对合同、信息进行管理，对工程建设相关方的关系进行协调。并履行建设工程安全生产管理法定职责的服务活动，具体内容包括：</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）收到工程设计文件后编制监理规划，并在第一次工地会议</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天前报委托人。根据有关规定和监理工作需要，编制监理实施细则；</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）熟悉工程设计文件，并参加由委托人主持的图纸会审和设计交底会议；</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）参加由委托人主持的第一次工地会议；主持监理例会并根据工程需要主持或参加专题会议；</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审查承包人提交的维护组织设计，重点审查其中的质量安全技术措施、维护扬尘污染防治措施、危险性较大分部分项专项工程维护方案、用工实名管理等专项维护方案是否符合《建设工程质量管理条例》、《建设工程安全生产管理条例》、《广州市房屋建筑和市政基础设施工程质量管理办法》等工程建设强制性标准；</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）按国家、省、市住房城乡建设主管部门发布的有关用工实名制、工人工资支付分账管理办法及规定等文件要求，承包人需将</w:t>
      </w:r>
      <w:r>
        <w:rPr>
          <w:rFonts w:hint="eastAsia" w:ascii="仿宋" w:hAnsi="仿宋" w:eastAsia="仿宋" w:cs="仿宋_GB2312"/>
          <w:color w:val="auto"/>
          <w:sz w:val="24"/>
          <w:szCs w:val="24"/>
          <w:highlight w:val="none"/>
        </w:rPr>
        <w:t>从业人员基本信息、作业工人考勤与工资支付信息和维护进度情况等信息登记建档、建立动态管理台账，并将以上信息报送行政监管部门接受监督管理，监理人需对这些情况进行监督管理。</w:t>
      </w:r>
      <w:r>
        <w:rPr>
          <w:rFonts w:hint="eastAsia" w:ascii="仿宋" w:hAnsi="仿宋" w:eastAsia="仿宋" w:cs="仿宋"/>
          <w:color w:val="auto"/>
          <w:sz w:val="24"/>
          <w:szCs w:val="24"/>
          <w:highlight w:val="none"/>
        </w:rPr>
        <w:t>对为承包人未按规定落实实名管理工作的，发出监理通知单，要求其限期整改。对维护企业逾期未整改的，向委托人和负责该工程监管工作的住房城乡建设主管部门报告。</w:t>
      </w:r>
    </w:p>
    <w:p>
      <w:pPr>
        <w:adjustRightInd w:val="0"/>
        <w:snapToGrid w:val="0"/>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）检查承包人工程质量、安全生产管理制度及组织机构和人员资格；</w:t>
      </w:r>
      <w:r>
        <w:rPr>
          <w:rFonts w:ascii="仿宋" w:hAnsi="仿宋" w:eastAsia="仿宋" w:cs="仿宋"/>
          <w:color w:val="auto"/>
          <w:sz w:val="24"/>
          <w:szCs w:val="24"/>
          <w:highlight w:val="none"/>
        </w:rPr>
        <w:t xml:space="preserve"> </w:t>
      </w:r>
    </w:p>
    <w:p>
      <w:pPr>
        <w:adjustRightInd w:val="0"/>
        <w:snapToGrid w:val="0"/>
        <w:spacing w:line="640" w:lineRule="exact"/>
        <w:rPr>
          <w:rFonts w:ascii="仿宋" w:hAnsi="仿宋" w:eastAsia="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）检查承包人专职安全生产管理人员的配备情况；</w:t>
      </w:r>
    </w:p>
    <w:p>
      <w:pPr>
        <w:adjustRightInd w:val="0"/>
        <w:snapToGrid w:val="0"/>
        <w:spacing w:line="640" w:lineRule="exact"/>
        <w:rPr>
          <w:rFonts w:ascii="仿宋" w:hAnsi="仿宋" w:eastAsia="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）审查承包人提交的维护进度计划，核查承包人对维护进度计划的调整；</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）检查承包人的试验室；</w:t>
      </w:r>
    </w:p>
    <w:p>
      <w:pPr>
        <w:adjustRightInd w:val="0"/>
        <w:snapToGrid w:val="0"/>
        <w:spacing w:line="640" w:lineRule="exact"/>
        <w:rPr>
          <w:rFonts w:ascii="仿宋" w:hAnsi="仿宋" w:eastAsia="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）审核承包人资质条件；</w:t>
      </w:r>
    </w:p>
    <w:p>
      <w:pPr>
        <w:spacing w:line="640" w:lineRule="exact"/>
        <w:rPr>
          <w:rFonts w:ascii="仿宋" w:hAnsi="仿宋" w:eastAsia="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w:t>
      </w:r>
      <w:r>
        <w:rPr>
          <w:rFonts w:hint="eastAsia" w:ascii="仿宋" w:hAnsi="仿宋" w:eastAsia="仿宋" w:cs="仿宋"/>
          <w:color w:val="auto"/>
          <w:sz w:val="24"/>
          <w:szCs w:val="24"/>
          <w:highlight w:val="none"/>
        </w:rPr>
        <w:t>）查验承包人的维护测量放线成果；</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rPr>
        <w:t>）审查工程开工条件，对条件具备的签发开工令；</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）审查承包人报送的工程材料、构配件、设备质量证明文件的有效性和符合性，并按规定对用于工程的材料采取平行检验或见证取样方式进行抽检；</w:t>
      </w:r>
    </w:p>
    <w:p>
      <w:pPr>
        <w:adjustRightInd w:val="0"/>
        <w:snapToGrid w:val="0"/>
        <w:spacing w:line="640" w:lineRule="exact"/>
        <w:ind w:left="-97" w:leftChars="-46"/>
        <w:rPr>
          <w:rFonts w:ascii="仿宋" w:hAnsi="仿宋" w:eastAsia="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）审核承包人提交的工程款支付申请，签发或出具工程款支付证书，并报委托人审核、批准；</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）在巡视、旁站和检验过程中，发现工程质量、维护安全存在事故隐患的，要求承包人整改并报委托人；</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16</w:t>
      </w:r>
      <w:r>
        <w:rPr>
          <w:rFonts w:hint="eastAsia" w:ascii="仿宋" w:hAnsi="仿宋" w:eastAsia="仿宋" w:cs="仿宋"/>
          <w:color w:val="auto"/>
          <w:sz w:val="24"/>
          <w:szCs w:val="24"/>
          <w:highlight w:val="none"/>
        </w:rPr>
        <w:t>）经委托人同意，签发工程暂停令和复工令；</w:t>
      </w:r>
    </w:p>
    <w:p>
      <w:pPr>
        <w:adjustRightInd w:val="0"/>
        <w:snapToGrid w:val="0"/>
        <w:spacing w:line="640" w:lineRule="exact"/>
        <w:rPr>
          <w:rFonts w:ascii="仿宋" w:hAnsi="仿宋" w:eastAsia="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17</w:t>
      </w:r>
      <w:r>
        <w:rPr>
          <w:rFonts w:hint="eastAsia" w:ascii="仿宋" w:hAnsi="仿宋" w:eastAsia="仿宋" w:cs="仿宋"/>
          <w:color w:val="auto"/>
          <w:sz w:val="24"/>
          <w:szCs w:val="24"/>
          <w:highlight w:val="none"/>
        </w:rPr>
        <w:t>）审查承包人提交的采用新材料、新工艺、新技术、新设备的论证材料及相关验收标准；</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18</w:t>
      </w:r>
      <w:r>
        <w:rPr>
          <w:rFonts w:hint="eastAsia" w:ascii="仿宋" w:hAnsi="仿宋" w:eastAsia="仿宋" w:cs="仿宋"/>
          <w:color w:val="auto"/>
          <w:sz w:val="24"/>
          <w:szCs w:val="24"/>
          <w:highlight w:val="none"/>
        </w:rPr>
        <w:t>）验收隐蔽工程、分部分项工程；</w:t>
      </w:r>
    </w:p>
    <w:p>
      <w:pPr>
        <w:adjustRightInd w:val="0"/>
        <w:snapToGrid w:val="0"/>
        <w:spacing w:line="640" w:lineRule="exact"/>
        <w:rPr>
          <w:rFonts w:ascii="仿宋" w:hAnsi="仿宋" w:eastAsia="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19</w:t>
      </w:r>
      <w:r>
        <w:rPr>
          <w:rFonts w:hint="eastAsia" w:ascii="仿宋" w:hAnsi="仿宋" w:eastAsia="仿宋" w:cs="仿宋"/>
          <w:color w:val="auto"/>
          <w:sz w:val="24"/>
          <w:szCs w:val="24"/>
          <w:highlight w:val="none"/>
        </w:rPr>
        <w:t>）审查承包人提交的工程变更申请，协调处理维护进度调整、费用索赔、合同争议等事项；</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20</w:t>
      </w:r>
      <w:r>
        <w:rPr>
          <w:rFonts w:hint="eastAsia" w:ascii="仿宋" w:hAnsi="仿宋" w:eastAsia="仿宋" w:cs="仿宋"/>
          <w:color w:val="auto"/>
          <w:sz w:val="24"/>
          <w:szCs w:val="24"/>
          <w:highlight w:val="none"/>
        </w:rPr>
        <w:t>）审查承包人提交的完工验收申请，编写工程质量评估报告；</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21</w:t>
      </w:r>
      <w:r>
        <w:rPr>
          <w:rFonts w:hint="eastAsia" w:ascii="仿宋" w:hAnsi="仿宋" w:eastAsia="仿宋" w:cs="仿宋"/>
          <w:color w:val="auto"/>
          <w:sz w:val="24"/>
          <w:szCs w:val="24"/>
          <w:highlight w:val="none"/>
        </w:rPr>
        <w:t>）参加工程完工验收，签署完工验收意见；</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22</w:t>
      </w:r>
      <w:r>
        <w:rPr>
          <w:rFonts w:hint="eastAsia" w:ascii="仿宋" w:hAnsi="仿宋" w:eastAsia="仿宋" w:cs="仿宋"/>
          <w:color w:val="auto"/>
          <w:sz w:val="24"/>
          <w:szCs w:val="24"/>
          <w:highlight w:val="none"/>
        </w:rPr>
        <w:t>）审查承包人提交的完工结算申请并报委托人；</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23</w:t>
      </w:r>
      <w:r>
        <w:rPr>
          <w:rFonts w:hint="eastAsia" w:ascii="仿宋" w:hAnsi="仿宋" w:eastAsia="仿宋" w:cs="仿宋"/>
          <w:color w:val="auto"/>
          <w:sz w:val="24"/>
          <w:szCs w:val="24"/>
          <w:highlight w:val="none"/>
        </w:rPr>
        <w:t>）编制、整理工程监理归档文件并报委托人。</w:t>
      </w:r>
    </w:p>
    <w:p>
      <w:pPr>
        <w:spacing w:line="640" w:lineRule="exact"/>
        <w:ind w:left="420" w:leftChars="200" w:firstLine="120" w:firstLineChars="5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2.1.3 </w:t>
      </w:r>
      <w:r>
        <w:rPr>
          <w:rFonts w:hint="eastAsia" w:ascii="仿宋" w:hAnsi="仿宋" w:eastAsia="仿宋" w:cs="仿宋"/>
          <w:color w:val="auto"/>
          <w:sz w:val="24"/>
          <w:szCs w:val="24"/>
          <w:highlight w:val="none"/>
        </w:rPr>
        <w:t>相关服务的范围和内容在附录</w:t>
      </w:r>
      <w:r>
        <w:rPr>
          <w:rFonts w:ascii="仿宋" w:hAnsi="仿宋" w:eastAsia="仿宋" w:cs="仿宋"/>
          <w:color w:val="auto"/>
          <w:sz w:val="24"/>
          <w:szCs w:val="24"/>
          <w:highlight w:val="none"/>
        </w:rPr>
        <w:t>A</w:t>
      </w:r>
      <w:r>
        <w:rPr>
          <w:rFonts w:hint="eastAsia" w:ascii="仿宋" w:hAnsi="仿宋" w:eastAsia="仿宋" w:cs="仿宋"/>
          <w:color w:val="auto"/>
          <w:sz w:val="24"/>
          <w:szCs w:val="24"/>
          <w:highlight w:val="none"/>
        </w:rPr>
        <w:t>中约定。</w:t>
      </w:r>
    </w:p>
    <w:p>
      <w:pPr>
        <w:spacing w:line="640" w:lineRule="exact"/>
        <w:outlineLvl w:val="2"/>
        <w:rPr>
          <w:rFonts w:ascii="仿宋" w:hAnsi="仿宋" w:eastAsia="仿宋"/>
          <w:color w:val="auto"/>
          <w:sz w:val="24"/>
          <w:szCs w:val="24"/>
          <w:highlight w:val="none"/>
        </w:rPr>
      </w:pPr>
      <w:bookmarkStart w:id="34" w:name="_Toc6308"/>
      <w:r>
        <w:rPr>
          <w:rFonts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rPr>
        <w:t>监理与相关服务依据</w:t>
      </w:r>
      <w:bookmarkEnd w:id="34"/>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2.2.1 </w:t>
      </w:r>
      <w:r>
        <w:rPr>
          <w:rFonts w:hint="eastAsia" w:ascii="仿宋" w:hAnsi="仿宋" w:eastAsia="仿宋" w:cs="仿宋"/>
          <w:color w:val="auto"/>
          <w:sz w:val="24"/>
          <w:szCs w:val="24"/>
          <w:highlight w:val="none"/>
        </w:rPr>
        <w:t>监理依据包括：</w:t>
      </w:r>
    </w:p>
    <w:p>
      <w:pPr>
        <w:adjustRightInd w:val="0"/>
        <w:snapToGrid w:val="0"/>
        <w:spacing w:line="640" w:lineRule="exact"/>
        <w:ind w:firstLine="600" w:firstLineChars="25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）适用的法律、行政法规及部门规章；</w:t>
      </w:r>
    </w:p>
    <w:p>
      <w:pPr>
        <w:adjustRightInd w:val="0"/>
        <w:snapToGrid w:val="0"/>
        <w:spacing w:line="640" w:lineRule="exact"/>
        <w:ind w:firstLine="600" w:firstLineChars="25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）与工程有关的标准；</w:t>
      </w:r>
    </w:p>
    <w:p>
      <w:pPr>
        <w:adjustRightInd w:val="0"/>
        <w:snapToGrid w:val="0"/>
        <w:spacing w:line="640" w:lineRule="exact"/>
        <w:ind w:firstLine="600" w:firstLineChars="25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）工程设计及有关文件；</w:t>
      </w:r>
    </w:p>
    <w:p>
      <w:pPr>
        <w:adjustRightInd w:val="0"/>
        <w:snapToGrid w:val="0"/>
        <w:spacing w:line="640" w:lineRule="exact"/>
        <w:ind w:firstLine="600" w:firstLineChars="25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）本合同及委托人与第三方签订的与实施工程有关的其他合同。</w:t>
      </w:r>
    </w:p>
    <w:p>
      <w:pPr>
        <w:spacing w:line="640" w:lineRule="exact"/>
        <w:ind w:left="210" w:leftChars="100"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双方根据工程的行业和地域特点，在专用条款中具体约定监理依据。</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2.2.2 </w:t>
      </w:r>
      <w:r>
        <w:rPr>
          <w:rFonts w:hint="eastAsia" w:ascii="仿宋" w:hAnsi="仿宋" w:eastAsia="仿宋" w:cs="仿宋"/>
          <w:color w:val="auto"/>
          <w:sz w:val="24"/>
          <w:szCs w:val="24"/>
          <w:highlight w:val="none"/>
        </w:rPr>
        <w:t>相关服务依据在专用条款中约定。</w:t>
      </w:r>
    </w:p>
    <w:p>
      <w:pPr>
        <w:spacing w:line="640" w:lineRule="exact"/>
        <w:outlineLvl w:val="2"/>
        <w:rPr>
          <w:rFonts w:ascii="仿宋" w:hAnsi="仿宋" w:eastAsia="仿宋"/>
          <w:color w:val="auto"/>
          <w:sz w:val="24"/>
          <w:szCs w:val="24"/>
          <w:highlight w:val="none"/>
        </w:rPr>
      </w:pPr>
      <w:bookmarkStart w:id="35" w:name="_Toc24971"/>
      <w:r>
        <w:rPr>
          <w:rFonts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rPr>
        <w:t>项目监理机构和人员</w:t>
      </w:r>
      <w:bookmarkEnd w:id="35"/>
    </w:p>
    <w:p>
      <w:pPr>
        <w:adjustRightInd w:val="0"/>
        <w:snapToGrid w:val="0"/>
        <w:spacing w:line="640" w:lineRule="exact"/>
        <w:ind w:firstLine="480" w:firstLineChars="20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 xml:space="preserve">2.3.1 </w:t>
      </w:r>
      <w:r>
        <w:rPr>
          <w:rFonts w:hint="eastAsia" w:ascii="仿宋" w:hAnsi="仿宋" w:eastAsia="仿宋" w:cs="仿宋"/>
          <w:color w:val="auto"/>
          <w:kern w:val="0"/>
          <w:sz w:val="24"/>
          <w:szCs w:val="24"/>
          <w:highlight w:val="none"/>
        </w:rPr>
        <w:t>监理人应按附录</w:t>
      </w:r>
      <w:r>
        <w:rPr>
          <w:rFonts w:ascii="仿宋" w:hAnsi="仿宋" w:eastAsia="仿宋" w:cs="仿宋"/>
          <w:color w:val="auto"/>
          <w:kern w:val="0"/>
          <w:sz w:val="24"/>
          <w:szCs w:val="24"/>
          <w:highlight w:val="none"/>
        </w:rPr>
        <w:t>B-5</w:t>
      </w:r>
      <w:r>
        <w:rPr>
          <w:rFonts w:hint="eastAsia" w:ascii="仿宋" w:hAnsi="仿宋" w:eastAsia="仿宋" w:cs="仿宋"/>
          <w:color w:val="auto"/>
          <w:kern w:val="0"/>
          <w:sz w:val="24"/>
          <w:szCs w:val="24"/>
          <w:highlight w:val="none"/>
        </w:rPr>
        <w:t>中监理人应提供人员名单组建满足工作需要的项目监理机构，按附录</w:t>
      </w:r>
      <w:r>
        <w:rPr>
          <w:rFonts w:ascii="仿宋" w:hAnsi="仿宋" w:eastAsia="仿宋" w:cs="仿宋"/>
          <w:color w:val="auto"/>
          <w:kern w:val="0"/>
          <w:sz w:val="24"/>
          <w:szCs w:val="24"/>
          <w:highlight w:val="none"/>
        </w:rPr>
        <w:t>B-6</w:t>
      </w:r>
      <w:r>
        <w:rPr>
          <w:rFonts w:hint="eastAsia" w:ascii="仿宋" w:hAnsi="仿宋" w:eastAsia="仿宋" w:cs="仿宋"/>
          <w:color w:val="auto"/>
          <w:kern w:val="0"/>
          <w:sz w:val="24"/>
          <w:szCs w:val="24"/>
          <w:highlight w:val="none"/>
        </w:rPr>
        <w:t>配备必要的检测设备。项目监理机构的主要人员应具有相应的资格条件。</w:t>
      </w:r>
    </w:p>
    <w:p>
      <w:pPr>
        <w:adjustRightInd w:val="0"/>
        <w:snapToGrid w:val="0"/>
        <w:spacing w:line="640" w:lineRule="exact"/>
        <w:ind w:firstLine="480" w:firstLineChars="20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2.3.2</w:t>
      </w:r>
      <w:r>
        <w:rPr>
          <w:rFonts w:hint="eastAsia" w:ascii="仿宋" w:hAnsi="仿宋" w:eastAsia="仿宋" w:cs="仿宋"/>
          <w:color w:val="auto"/>
          <w:kern w:val="0"/>
          <w:sz w:val="24"/>
          <w:szCs w:val="24"/>
          <w:highlight w:val="none"/>
        </w:rPr>
        <w:t>本合同履行过程中，总监理工程师及重要岗位监理人员应保持相对稳定，以保证监理工作正常进行。</w:t>
      </w:r>
    </w:p>
    <w:p>
      <w:pPr>
        <w:adjustRightInd w:val="0"/>
        <w:snapToGrid w:val="0"/>
        <w:spacing w:line="640" w:lineRule="exact"/>
        <w:ind w:firstLine="480" w:firstLineChars="20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2.3.3</w:t>
      </w:r>
      <w:r>
        <w:rPr>
          <w:rFonts w:hint="eastAsia" w:ascii="仿宋" w:hAnsi="仿宋" w:eastAsia="仿宋" w:cs="仿宋"/>
          <w:color w:val="auto"/>
          <w:kern w:val="0"/>
          <w:sz w:val="24"/>
          <w:szCs w:val="24"/>
          <w:highlight w:val="none"/>
        </w:rPr>
        <w:t>监理人可根据工程进展和工作需要调整项目监理机构人员。监理人更换总监理工程师时，应提前</w:t>
      </w:r>
      <w:r>
        <w:rPr>
          <w:rFonts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rPr>
        <w:t>天向委托人书面报告，经委托人同意后方可更换；监理人更换项目监理机构其他监理人员，应以相当资格与能力的人员替换，并通知委托人。</w:t>
      </w:r>
    </w:p>
    <w:p>
      <w:pPr>
        <w:adjustRightInd w:val="0"/>
        <w:snapToGrid w:val="0"/>
        <w:spacing w:line="640" w:lineRule="exact"/>
        <w:ind w:firstLine="480" w:firstLineChars="20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 xml:space="preserve">2.3.4 </w:t>
      </w:r>
      <w:r>
        <w:rPr>
          <w:rFonts w:hint="eastAsia" w:ascii="仿宋" w:hAnsi="仿宋" w:eastAsia="仿宋" w:cs="仿宋"/>
          <w:color w:val="auto"/>
          <w:kern w:val="0"/>
          <w:sz w:val="24"/>
          <w:szCs w:val="24"/>
          <w:highlight w:val="none"/>
        </w:rPr>
        <w:t>监理人应及时更换有下列情形之一的监理人员：</w:t>
      </w:r>
    </w:p>
    <w:p>
      <w:pPr>
        <w:adjustRightInd w:val="0"/>
        <w:snapToGrid w:val="0"/>
        <w:spacing w:line="640" w:lineRule="exact"/>
        <w:ind w:firstLine="480" w:firstLineChars="200"/>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）严重过失行为的；</w:t>
      </w:r>
    </w:p>
    <w:p>
      <w:pPr>
        <w:adjustRightInd w:val="0"/>
        <w:snapToGrid w:val="0"/>
        <w:spacing w:line="640" w:lineRule="exact"/>
        <w:ind w:firstLine="480" w:firstLineChars="200"/>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）有违法行为不能履行职责的；</w:t>
      </w:r>
    </w:p>
    <w:p>
      <w:pPr>
        <w:adjustRightInd w:val="0"/>
        <w:snapToGrid w:val="0"/>
        <w:spacing w:line="640" w:lineRule="exact"/>
        <w:ind w:firstLine="480" w:firstLineChars="200"/>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）涉嫌犯罪的；</w:t>
      </w:r>
    </w:p>
    <w:p>
      <w:pPr>
        <w:adjustRightInd w:val="0"/>
        <w:snapToGrid w:val="0"/>
        <w:spacing w:line="640" w:lineRule="exact"/>
        <w:ind w:firstLine="480" w:firstLineChars="200"/>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）不能胜任岗位职责的；</w:t>
      </w:r>
    </w:p>
    <w:p>
      <w:pPr>
        <w:adjustRightInd w:val="0"/>
        <w:snapToGrid w:val="0"/>
        <w:spacing w:line="640" w:lineRule="exact"/>
        <w:ind w:firstLine="480" w:firstLineChars="200"/>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）严重违反职业道德的；</w:t>
      </w:r>
    </w:p>
    <w:p>
      <w:pPr>
        <w:adjustRightInd w:val="0"/>
        <w:snapToGrid w:val="0"/>
        <w:spacing w:line="640" w:lineRule="exact"/>
        <w:ind w:firstLine="480" w:firstLineChars="200"/>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rPr>
        <w:t>）专用条款约定的其他情形。</w:t>
      </w:r>
    </w:p>
    <w:p>
      <w:pPr>
        <w:spacing w:line="640" w:lineRule="exact"/>
        <w:ind w:firstLine="480" w:firstLineChars="20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 xml:space="preserve">2.3.5 </w:t>
      </w:r>
      <w:r>
        <w:rPr>
          <w:rFonts w:hint="eastAsia" w:ascii="仿宋" w:hAnsi="仿宋" w:eastAsia="仿宋" w:cs="仿宋"/>
          <w:color w:val="auto"/>
          <w:kern w:val="0"/>
          <w:sz w:val="24"/>
          <w:szCs w:val="24"/>
          <w:highlight w:val="none"/>
        </w:rPr>
        <w:t>委托人可要求监理人更换不能胜任本职工作的项目监理机构人员。</w:t>
      </w:r>
    </w:p>
    <w:p>
      <w:pPr>
        <w:tabs>
          <w:tab w:val="left" w:pos="309"/>
        </w:tabs>
        <w:spacing w:line="640" w:lineRule="exact"/>
        <w:outlineLvl w:val="2"/>
        <w:rPr>
          <w:rFonts w:ascii="仿宋" w:hAnsi="仿宋" w:eastAsia="仿宋"/>
          <w:color w:val="auto"/>
          <w:sz w:val="24"/>
          <w:szCs w:val="24"/>
          <w:highlight w:val="none"/>
        </w:rPr>
      </w:pPr>
      <w:bookmarkStart w:id="36" w:name="_Toc14373"/>
      <w:r>
        <w:rPr>
          <w:rFonts w:ascii="仿宋" w:hAnsi="仿宋" w:eastAsia="仿宋" w:cs="仿宋"/>
          <w:color w:val="auto"/>
          <w:sz w:val="24"/>
          <w:szCs w:val="24"/>
          <w:highlight w:val="none"/>
        </w:rPr>
        <w:t xml:space="preserve">2.4 </w:t>
      </w:r>
      <w:r>
        <w:rPr>
          <w:rFonts w:hint="eastAsia" w:ascii="仿宋" w:hAnsi="仿宋" w:eastAsia="仿宋" w:cs="仿宋"/>
          <w:color w:val="auto"/>
          <w:sz w:val="24"/>
          <w:szCs w:val="24"/>
          <w:highlight w:val="none"/>
        </w:rPr>
        <w:t>履行职责</w:t>
      </w:r>
      <w:bookmarkEnd w:id="36"/>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kern w:val="0"/>
          <w:sz w:val="24"/>
          <w:szCs w:val="24"/>
          <w:highlight w:val="none"/>
        </w:rPr>
        <w:t>监理人应遵循职业道德准则和行为规范，严格按照法律法规、工程建设有关标准及本合同履行职责。</w:t>
      </w:r>
    </w:p>
    <w:p>
      <w:pPr>
        <w:adjustRightInd w:val="0"/>
        <w:snapToGrid w:val="0"/>
        <w:spacing w:line="640" w:lineRule="exact"/>
        <w:ind w:firstLine="480" w:firstLineChars="20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 xml:space="preserve">2.4.1 </w:t>
      </w:r>
      <w:r>
        <w:rPr>
          <w:rFonts w:hint="eastAsia" w:ascii="仿宋" w:hAnsi="仿宋" w:eastAsia="仿宋" w:cs="仿宋"/>
          <w:color w:val="auto"/>
          <w:kern w:val="0"/>
          <w:sz w:val="24"/>
          <w:szCs w:val="24"/>
          <w:highlight w:val="none"/>
        </w:rPr>
        <w:t>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640" w:lineRule="exact"/>
        <w:ind w:firstLine="480" w:firstLineChars="20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 xml:space="preserve">2.4.2 </w:t>
      </w:r>
      <w:r>
        <w:rPr>
          <w:rFonts w:hint="eastAsia" w:ascii="仿宋" w:hAnsi="仿宋" w:eastAsia="仿宋" w:cs="仿宋"/>
          <w:color w:val="auto"/>
          <w:kern w:val="0"/>
          <w:sz w:val="24"/>
          <w:szCs w:val="24"/>
          <w:highlight w:val="none"/>
        </w:rPr>
        <w:t>当委托人与承包人之间的合同争议提交仲裁机构仲裁或人民法院审理时，监理人应提供必要的证明资料。</w:t>
      </w:r>
    </w:p>
    <w:p>
      <w:pPr>
        <w:adjustRightInd w:val="0"/>
        <w:snapToGrid w:val="0"/>
        <w:spacing w:line="640" w:lineRule="exact"/>
        <w:ind w:firstLine="320" w:firstLineChars="133"/>
        <w:rPr>
          <w:rFonts w:ascii="仿宋" w:hAnsi="仿宋" w:eastAsia="仿宋"/>
          <w:color w:val="auto"/>
          <w:kern w:val="0"/>
          <w:sz w:val="24"/>
          <w:szCs w:val="24"/>
          <w:highlight w:val="none"/>
        </w:rPr>
      </w:pPr>
      <w:r>
        <w:rPr>
          <w:rFonts w:hint="eastAsia" w:ascii="仿宋" w:hAnsi="仿宋" w:eastAsia="仿宋" w:cs="Arial Unicode MS"/>
          <w:b/>
          <w:bCs/>
          <w:color w:val="auto"/>
          <w:kern w:val="0"/>
          <w:sz w:val="24"/>
          <w:szCs w:val="24"/>
          <w:highlight w:val="none"/>
        </w:rPr>
        <w:t>★</w:t>
      </w:r>
      <w:r>
        <w:rPr>
          <w:rFonts w:ascii="仿宋" w:hAnsi="仿宋" w:eastAsia="仿宋" w:cs="仿宋"/>
          <w:color w:val="auto"/>
          <w:kern w:val="0"/>
          <w:sz w:val="24"/>
          <w:szCs w:val="24"/>
          <w:highlight w:val="none"/>
        </w:rPr>
        <w:t xml:space="preserve">2.4.3 </w:t>
      </w:r>
      <w:r>
        <w:rPr>
          <w:rFonts w:hint="eastAsia" w:ascii="仿宋" w:hAnsi="仿宋" w:eastAsia="仿宋" w:cs="仿宋"/>
          <w:color w:val="auto"/>
          <w:kern w:val="0"/>
          <w:sz w:val="24"/>
          <w:szCs w:val="24"/>
          <w:highlight w:val="none"/>
        </w:rPr>
        <w:t>监理人应在专用条款约定的授权范围内，处理委托人与承包人所签订合同的变更事宜。如果变更超过授权范围，应以书面形式报委托人批准。</w:t>
      </w:r>
    </w:p>
    <w:p>
      <w:pPr>
        <w:adjustRightInd w:val="0"/>
        <w:snapToGrid w:val="0"/>
        <w:spacing w:line="640" w:lineRule="exact"/>
        <w:ind w:firstLine="480" w:firstLineChars="200"/>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在紧急情况下，为了保护财产和人身安全，监理人所发出的指令未能事先报委托人批准时，应在发出指令后的</w:t>
      </w:r>
      <w:r>
        <w:rPr>
          <w:rFonts w:ascii="仿宋" w:hAnsi="仿宋" w:eastAsia="仿宋" w:cs="仿宋"/>
          <w:color w:val="auto"/>
          <w:kern w:val="0"/>
          <w:sz w:val="24"/>
          <w:szCs w:val="24"/>
          <w:highlight w:val="none"/>
        </w:rPr>
        <w:t>24</w:t>
      </w:r>
      <w:r>
        <w:rPr>
          <w:rFonts w:hint="eastAsia" w:ascii="仿宋" w:hAnsi="仿宋" w:eastAsia="仿宋" w:cs="仿宋"/>
          <w:color w:val="auto"/>
          <w:kern w:val="0"/>
          <w:sz w:val="24"/>
          <w:szCs w:val="24"/>
          <w:highlight w:val="none"/>
        </w:rPr>
        <w:t>小时内以书面形式报委托人。</w:t>
      </w:r>
    </w:p>
    <w:p>
      <w:pPr>
        <w:spacing w:line="640" w:lineRule="exact"/>
        <w:ind w:firstLine="480" w:firstLineChars="20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2.4.4</w:t>
      </w:r>
      <w:r>
        <w:rPr>
          <w:rFonts w:hint="eastAsia" w:ascii="仿宋" w:hAnsi="仿宋" w:eastAsia="仿宋" w:cs="仿宋"/>
          <w:color w:val="auto"/>
          <w:kern w:val="0"/>
          <w:sz w:val="24"/>
          <w:szCs w:val="24"/>
          <w:highlight w:val="none"/>
        </w:rPr>
        <w:t>监理人发现工程承包人的人员不能胜任本职工作的，应将此情况及时反映给发包人，并建议工程承包人予以调换。</w:t>
      </w:r>
    </w:p>
    <w:p>
      <w:pPr>
        <w:spacing w:line="640" w:lineRule="exact"/>
        <w:outlineLvl w:val="2"/>
        <w:rPr>
          <w:rFonts w:ascii="仿宋" w:hAnsi="仿宋" w:eastAsia="仿宋"/>
          <w:color w:val="auto"/>
          <w:sz w:val="24"/>
          <w:szCs w:val="24"/>
          <w:highlight w:val="none"/>
        </w:rPr>
      </w:pPr>
      <w:bookmarkStart w:id="37" w:name="_Toc2586"/>
      <w:r>
        <w:rPr>
          <w:rFonts w:ascii="仿宋" w:hAnsi="仿宋" w:eastAsia="仿宋" w:cs="仿宋"/>
          <w:color w:val="auto"/>
          <w:sz w:val="24"/>
          <w:szCs w:val="24"/>
          <w:highlight w:val="none"/>
        </w:rPr>
        <w:t xml:space="preserve">2.5 </w:t>
      </w:r>
      <w:r>
        <w:rPr>
          <w:rFonts w:hint="eastAsia" w:ascii="仿宋" w:hAnsi="仿宋" w:eastAsia="仿宋" w:cs="仿宋"/>
          <w:color w:val="auto"/>
          <w:sz w:val="24"/>
          <w:szCs w:val="24"/>
          <w:highlight w:val="none"/>
        </w:rPr>
        <w:t>提交报告</w:t>
      </w:r>
      <w:bookmarkEnd w:id="37"/>
    </w:p>
    <w:p>
      <w:pPr>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监理人应按专用条款约定的种类、时间和份数向委托人提交监理与相关服务的报告。</w:t>
      </w:r>
    </w:p>
    <w:p>
      <w:pPr>
        <w:spacing w:line="640" w:lineRule="exact"/>
        <w:outlineLvl w:val="2"/>
        <w:rPr>
          <w:rFonts w:ascii="仿宋" w:hAnsi="仿宋" w:eastAsia="仿宋"/>
          <w:color w:val="auto"/>
          <w:sz w:val="24"/>
          <w:szCs w:val="24"/>
          <w:highlight w:val="none"/>
        </w:rPr>
      </w:pPr>
      <w:bookmarkStart w:id="38" w:name="_Toc5599"/>
      <w:r>
        <w:rPr>
          <w:rFonts w:ascii="仿宋" w:hAnsi="仿宋" w:eastAsia="仿宋" w:cs="仿宋"/>
          <w:color w:val="auto"/>
          <w:sz w:val="24"/>
          <w:szCs w:val="24"/>
          <w:highlight w:val="none"/>
        </w:rPr>
        <w:t xml:space="preserve">2.6 </w:t>
      </w:r>
      <w:r>
        <w:rPr>
          <w:rFonts w:hint="eastAsia" w:ascii="仿宋" w:hAnsi="仿宋" w:eastAsia="仿宋" w:cs="仿宋"/>
          <w:color w:val="auto"/>
          <w:sz w:val="24"/>
          <w:szCs w:val="24"/>
          <w:highlight w:val="none"/>
        </w:rPr>
        <w:t>文件资料</w:t>
      </w:r>
      <w:bookmarkEnd w:id="38"/>
    </w:p>
    <w:p>
      <w:pPr>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kern w:val="0"/>
          <w:sz w:val="24"/>
          <w:szCs w:val="24"/>
          <w:highlight w:val="none"/>
        </w:rPr>
        <w:t>在本合同履行期内，监理人应在现场保留工作所用的图纸、报告及记录监理工</w:t>
      </w:r>
      <w:r>
        <w:rPr>
          <w:rFonts w:hint="eastAsia" w:ascii="仿宋" w:hAnsi="仿宋" w:eastAsia="仿宋" w:cs="仿宋"/>
          <w:color w:val="auto"/>
          <w:sz w:val="24"/>
          <w:szCs w:val="24"/>
          <w:highlight w:val="none"/>
        </w:rPr>
        <w:t>作的相关文件。工程完工后，应当按照档案管理规定将监理有关文件归档。</w:t>
      </w:r>
    </w:p>
    <w:p>
      <w:pPr>
        <w:spacing w:line="640" w:lineRule="exact"/>
        <w:outlineLvl w:val="2"/>
        <w:rPr>
          <w:rFonts w:ascii="仿宋" w:hAnsi="仿宋" w:eastAsia="仿宋"/>
          <w:color w:val="auto"/>
          <w:sz w:val="24"/>
          <w:szCs w:val="24"/>
          <w:highlight w:val="none"/>
        </w:rPr>
      </w:pPr>
      <w:bookmarkStart w:id="39" w:name="_Toc9429"/>
      <w:r>
        <w:rPr>
          <w:rFonts w:ascii="仿宋" w:hAnsi="仿宋" w:eastAsia="仿宋" w:cs="仿宋"/>
          <w:color w:val="auto"/>
          <w:sz w:val="24"/>
          <w:szCs w:val="24"/>
          <w:highlight w:val="none"/>
        </w:rPr>
        <w:t xml:space="preserve">2.7 </w:t>
      </w:r>
      <w:r>
        <w:rPr>
          <w:rFonts w:hint="eastAsia" w:ascii="仿宋" w:hAnsi="仿宋" w:eastAsia="仿宋" w:cs="仿宋"/>
          <w:color w:val="auto"/>
          <w:sz w:val="24"/>
          <w:szCs w:val="24"/>
          <w:highlight w:val="none"/>
        </w:rPr>
        <w:t>使用委托人的财产</w:t>
      </w:r>
      <w:bookmarkEnd w:id="39"/>
    </w:p>
    <w:p>
      <w:pPr>
        <w:spacing w:line="640" w:lineRule="exact"/>
        <w:ind w:firstLine="480" w:firstLineChars="200"/>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监理人无偿使用附录</w:t>
      </w:r>
      <w:r>
        <w:rPr>
          <w:rFonts w:ascii="仿宋" w:hAnsi="仿宋" w:eastAsia="仿宋" w:cs="仿宋"/>
          <w:color w:val="auto"/>
          <w:kern w:val="0"/>
          <w:sz w:val="24"/>
          <w:szCs w:val="24"/>
          <w:highlight w:val="none"/>
        </w:rPr>
        <w:t>B</w:t>
      </w:r>
      <w:r>
        <w:rPr>
          <w:rFonts w:hint="eastAsia" w:ascii="仿宋" w:hAnsi="仿宋" w:eastAsia="仿宋" w:cs="仿宋"/>
          <w:color w:val="auto"/>
          <w:kern w:val="0"/>
          <w:sz w:val="24"/>
          <w:szCs w:val="24"/>
          <w:highlight w:val="none"/>
        </w:rPr>
        <w:t>中由委托人派遣的人员和提供的房屋、资料、设备。除专用条款另有约定外，委托人提供的房屋、设备属于委托人的财产，监理人应妥善使用和保管，在本合同终止时将这些房屋、设备的清单提交委托人，并按专用条款约定的时间和方式移交。</w:t>
      </w:r>
    </w:p>
    <w:p>
      <w:pPr>
        <w:spacing w:line="640" w:lineRule="exact"/>
        <w:outlineLvl w:val="2"/>
        <w:rPr>
          <w:rFonts w:ascii="仿宋" w:hAnsi="仿宋" w:eastAsia="仿宋"/>
          <w:color w:val="auto"/>
          <w:sz w:val="24"/>
          <w:szCs w:val="24"/>
          <w:highlight w:val="none"/>
        </w:rPr>
      </w:pPr>
      <w:bookmarkStart w:id="40" w:name="_Toc31639"/>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履约担保</w:t>
      </w:r>
      <w:bookmarkEnd w:id="40"/>
    </w:p>
    <w:p>
      <w:pPr>
        <w:spacing w:line="640" w:lineRule="exact"/>
        <w:ind w:firstLine="600" w:firstLineChars="250"/>
        <w:rPr>
          <w:rFonts w:ascii="仿宋" w:hAnsi="仿宋" w:eastAsia="仿宋"/>
          <w:color w:val="auto"/>
          <w:sz w:val="24"/>
          <w:szCs w:val="24"/>
          <w:highlight w:val="none"/>
        </w:rPr>
      </w:pPr>
      <w:r>
        <w:rPr>
          <w:rFonts w:hint="eastAsia" w:ascii="仿宋" w:hAnsi="仿宋" w:eastAsia="仿宋" w:cs="仿宋"/>
          <w:color w:val="auto"/>
          <w:sz w:val="24"/>
          <w:szCs w:val="24"/>
          <w:highlight w:val="none"/>
        </w:rPr>
        <w:t>双方可在专用条款中约定履约保函、履约保证保险的具体内容。</w:t>
      </w:r>
    </w:p>
    <w:p>
      <w:pPr>
        <w:spacing w:line="640" w:lineRule="exact"/>
        <w:ind w:firstLine="600" w:firstLineChars="250"/>
        <w:rPr>
          <w:rFonts w:ascii="仿宋" w:hAnsi="仿宋" w:eastAsia="仿宋"/>
          <w:color w:val="auto"/>
          <w:sz w:val="24"/>
          <w:szCs w:val="24"/>
          <w:highlight w:val="none"/>
        </w:rPr>
      </w:pPr>
      <w:r>
        <w:rPr>
          <w:rFonts w:hint="eastAsia" w:ascii="仿宋" w:hAnsi="仿宋" w:eastAsia="仿宋" w:cs="仿宋"/>
          <w:color w:val="auto"/>
          <w:sz w:val="24"/>
          <w:szCs w:val="24"/>
          <w:highlight w:val="none"/>
        </w:rPr>
        <w:t>应委托人的需求，要求监理人在合同签订期间向委托人提交银行金融机构出具的履约保函或保险机构出具的履约保证保险。如果监理人日后未能在维护监理期内按合同约定完成其所监理的工作内容，则委托人可根据责任情况与监理人按违约责任条款的约定确认违约金，可从履约保函、履约保证保险中扣除。</w:t>
      </w:r>
    </w:p>
    <w:p>
      <w:pPr>
        <w:spacing w:line="640" w:lineRule="exact"/>
        <w:outlineLvl w:val="1"/>
        <w:rPr>
          <w:rFonts w:ascii="仿宋" w:hAnsi="仿宋" w:eastAsia="仿宋"/>
          <w:b/>
          <w:bCs/>
          <w:color w:val="auto"/>
          <w:sz w:val="24"/>
          <w:szCs w:val="24"/>
          <w:highlight w:val="none"/>
        </w:rPr>
      </w:pPr>
      <w:bookmarkStart w:id="41" w:name="_Toc23826"/>
      <w:r>
        <w:rPr>
          <w:rFonts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rPr>
        <w:t>．委托人的义务</w:t>
      </w:r>
      <w:bookmarkEnd w:id="41"/>
    </w:p>
    <w:p>
      <w:pPr>
        <w:spacing w:line="640" w:lineRule="exact"/>
        <w:outlineLvl w:val="2"/>
        <w:rPr>
          <w:rFonts w:ascii="仿宋" w:hAnsi="仿宋" w:eastAsia="仿宋"/>
          <w:color w:val="auto"/>
          <w:sz w:val="24"/>
          <w:szCs w:val="24"/>
          <w:highlight w:val="none"/>
        </w:rPr>
      </w:pPr>
      <w:bookmarkStart w:id="42" w:name="_Toc30026"/>
      <w:r>
        <w:rPr>
          <w:rFonts w:ascii="仿宋" w:hAnsi="仿宋" w:eastAsia="仿宋" w:cs="仿宋"/>
          <w:color w:val="auto"/>
          <w:sz w:val="24"/>
          <w:szCs w:val="24"/>
          <w:highlight w:val="none"/>
        </w:rPr>
        <w:t xml:space="preserve">3.1 </w:t>
      </w:r>
      <w:r>
        <w:rPr>
          <w:rFonts w:hint="eastAsia" w:ascii="仿宋" w:hAnsi="仿宋" w:eastAsia="仿宋" w:cs="仿宋"/>
          <w:color w:val="auto"/>
          <w:sz w:val="24"/>
          <w:szCs w:val="24"/>
          <w:highlight w:val="none"/>
        </w:rPr>
        <w:t>告知</w:t>
      </w:r>
      <w:bookmarkEnd w:id="42"/>
    </w:p>
    <w:p>
      <w:pPr>
        <w:spacing w:line="640" w:lineRule="exact"/>
        <w:ind w:firstLine="480" w:firstLineChars="200"/>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委托人应在委托人与承包人签订的合同中明确监理人、总监理工程师和授予项目监理机构的权限。如有变更，应及时通知承包人。</w:t>
      </w:r>
    </w:p>
    <w:p>
      <w:pPr>
        <w:spacing w:line="640" w:lineRule="exact"/>
        <w:outlineLvl w:val="2"/>
        <w:rPr>
          <w:rFonts w:ascii="仿宋" w:hAnsi="仿宋" w:eastAsia="仿宋"/>
          <w:color w:val="auto"/>
          <w:sz w:val="24"/>
          <w:szCs w:val="24"/>
          <w:highlight w:val="none"/>
        </w:rPr>
      </w:pPr>
      <w:bookmarkStart w:id="43" w:name="_Toc27866"/>
      <w:r>
        <w:rPr>
          <w:rFonts w:hint="eastAsia" w:ascii="仿宋" w:hAnsi="仿宋" w:eastAsia="仿宋" w:cs="Arial Unicode MS"/>
          <w:b/>
          <w:bCs/>
          <w:color w:val="auto"/>
          <w:kern w:val="0"/>
          <w:sz w:val="24"/>
          <w:szCs w:val="24"/>
          <w:highlight w:val="none"/>
        </w:rPr>
        <w:t>★</w:t>
      </w:r>
      <w:r>
        <w:rPr>
          <w:rFonts w:ascii="仿宋" w:hAnsi="仿宋" w:eastAsia="仿宋" w:cs="仿宋"/>
          <w:color w:val="auto"/>
          <w:sz w:val="24"/>
          <w:szCs w:val="24"/>
          <w:highlight w:val="none"/>
        </w:rPr>
        <w:t xml:space="preserve">3.2 </w:t>
      </w:r>
      <w:r>
        <w:rPr>
          <w:rFonts w:hint="eastAsia" w:ascii="仿宋" w:hAnsi="仿宋" w:eastAsia="仿宋" w:cs="仿宋"/>
          <w:color w:val="auto"/>
          <w:sz w:val="24"/>
          <w:szCs w:val="24"/>
          <w:highlight w:val="none"/>
        </w:rPr>
        <w:t>提供资料</w:t>
      </w:r>
      <w:bookmarkEnd w:id="43"/>
    </w:p>
    <w:p>
      <w:pPr>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kern w:val="0"/>
          <w:sz w:val="24"/>
          <w:szCs w:val="24"/>
          <w:highlight w:val="none"/>
        </w:rPr>
        <w:t>委托人应按照附录</w:t>
      </w:r>
      <w:r>
        <w:rPr>
          <w:rFonts w:ascii="仿宋" w:hAnsi="仿宋" w:eastAsia="仿宋" w:cs="仿宋"/>
          <w:color w:val="auto"/>
          <w:kern w:val="0"/>
          <w:sz w:val="24"/>
          <w:szCs w:val="24"/>
          <w:highlight w:val="none"/>
        </w:rPr>
        <w:t>B</w:t>
      </w:r>
      <w:r>
        <w:rPr>
          <w:rFonts w:hint="eastAsia" w:ascii="仿宋" w:hAnsi="仿宋" w:eastAsia="仿宋" w:cs="仿宋"/>
          <w:color w:val="auto"/>
          <w:kern w:val="0"/>
          <w:sz w:val="24"/>
          <w:szCs w:val="24"/>
          <w:highlight w:val="none"/>
        </w:rPr>
        <w:t>约定，无偿向监理人提供工程有关的资料。</w:t>
      </w:r>
      <w:r>
        <w:rPr>
          <w:rFonts w:hint="eastAsia" w:ascii="仿宋" w:hAnsi="仿宋" w:eastAsia="仿宋" w:cs="仿宋"/>
          <w:color w:val="auto"/>
          <w:sz w:val="24"/>
          <w:szCs w:val="24"/>
          <w:highlight w:val="none"/>
        </w:rPr>
        <w:t>在本合同履行过程中，委托人应及时向监理人提供最新的与工程有关的资料。</w:t>
      </w:r>
    </w:p>
    <w:p>
      <w:pPr>
        <w:spacing w:line="640" w:lineRule="exact"/>
        <w:outlineLvl w:val="2"/>
        <w:rPr>
          <w:rFonts w:ascii="仿宋" w:hAnsi="仿宋" w:eastAsia="仿宋"/>
          <w:color w:val="auto"/>
          <w:sz w:val="24"/>
          <w:szCs w:val="24"/>
          <w:highlight w:val="none"/>
        </w:rPr>
      </w:pPr>
      <w:bookmarkStart w:id="44" w:name="_Toc8944"/>
      <w:r>
        <w:rPr>
          <w:rFonts w:hint="eastAsia" w:ascii="仿宋" w:hAnsi="仿宋" w:eastAsia="仿宋" w:cs="Arial Unicode MS"/>
          <w:b/>
          <w:bCs/>
          <w:color w:val="auto"/>
          <w:kern w:val="0"/>
          <w:sz w:val="24"/>
          <w:szCs w:val="24"/>
          <w:highlight w:val="none"/>
        </w:rPr>
        <w:t>★</w:t>
      </w:r>
      <w:r>
        <w:rPr>
          <w:rFonts w:ascii="仿宋" w:hAnsi="仿宋" w:eastAsia="仿宋" w:cs="仿宋"/>
          <w:color w:val="auto"/>
          <w:sz w:val="24"/>
          <w:szCs w:val="24"/>
          <w:highlight w:val="none"/>
        </w:rPr>
        <w:t xml:space="preserve">3.3 </w:t>
      </w:r>
      <w:r>
        <w:rPr>
          <w:rFonts w:hint="eastAsia" w:ascii="仿宋" w:hAnsi="仿宋" w:eastAsia="仿宋" w:cs="仿宋"/>
          <w:color w:val="auto"/>
          <w:sz w:val="24"/>
          <w:szCs w:val="24"/>
          <w:highlight w:val="none"/>
        </w:rPr>
        <w:t>提供工作条件</w:t>
      </w:r>
      <w:bookmarkEnd w:id="44"/>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委托人应为监理人完成监理与相关服务提供必要的条件。</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kern w:val="0"/>
          <w:sz w:val="24"/>
          <w:szCs w:val="24"/>
          <w:highlight w:val="none"/>
        </w:rPr>
        <w:t xml:space="preserve">3.3.1 </w:t>
      </w:r>
      <w:r>
        <w:rPr>
          <w:rFonts w:hint="eastAsia" w:ascii="仿宋" w:hAnsi="仿宋" w:eastAsia="仿宋" w:cs="仿宋"/>
          <w:color w:val="auto"/>
          <w:sz w:val="24"/>
          <w:szCs w:val="24"/>
          <w:highlight w:val="none"/>
        </w:rPr>
        <w:t>委托人应按照附录</w:t>
      </w:r>
      <w:r>
        <w:rPr>
          <w:rFonts w:ascii="仿宋" w:hAnsi="仿宋" w:eastAsia="仿宋" w:cs="仿宋"/>
          <w:color w:val="auto"/>
          <w:sz w:val="24"/>
          <w:szCs w:val="24"/>
          <w:highlight w:val="none"/>
        </w:rPr>
        <w:t>B</w:t>
      </w:r>
      <w:r>
        <w:rPr>
          <w:rFonts w:hint="eastAsia" w:ascii="仿宋" w:hAnsi="仿宋" w:eastAsia="仿宋" w:cs="仿宋"/>
          <w:color w:val="auto"/>
          <w:sz w:val="24"/>
          <w:szCs w:val="24"/>
          <w:highlight w:val="none"/>
        </w:rPr>
        <w:t>约定，派遣相应的人员，提供房屋、设备，供监理人</w:t>
      </w:r>
      <w:r>
        <w:rPr>
          <w:rFonts w:hint="eastAsia" w:ascii="仿宋" w:hAnsi="仿宋" w:eastAsia="仿宋" w:cs="仿宋"/>
          <w:color w:val="auto"/>
          <w:kern w:val="0"/>
          <w:sz w:val="24"/>
          <w:szCs w:val="24"/>
          <w:highlight w:val="none"/>
        </w:rPr>
        <w:t>无偿</w:t>
      </w:r>
      <w:r>
        <w:rPr>
          <w:rFonts w:hint="eastAsia" w:ascii="仿宋" w:hAnsi="仿宋" w:eastAsia="仿宋" w:cs="仿宋"/>
          <w:color w:val="auto"/>
          <w:sz w:val="24"/>
          <w:szCs w:val="24"/>
          <w:highlight w:val="none"/>
        </w:rPr>
        <w:t>使用。</w:t>
      </w:r>
    </w:p>
    <w:p>
      <w:pPr>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kern w:val="0"/>
          <w:sz w:val="24"/>
          <w:szCs w:val="24"/>
          <w:highlight w:val="none"/>
        </w:rPr>
        <w:t xml:space="preserve">3.3.2 </w:t>
      </w:r>
      <w:r>
        <w:rPr>
          <w:rFonts w:hint="eastAsia" w:ascii="仿宋" w:hAnsi="仿宋" w:eastAsia="仿宋" w:cs="仿宋"/>
          <w:color w:val="auto"/>
          <w:sz w:val="24"/>
          <w:szCs w:val="24"/>
          <w:highlight w:val="none"/>
        </w:rPr>
        <w:t>委托人应负责协调工程建设中所有外部关系，为监理人履行本合同提供必要的外部条件。</w:t>
      </w:r>
    </w:p>
    <w:p>
      <w:pPr>
        <w:spacing w:line="640" w:lineRule="exact"/>
        <w:outlineLvl w:val="2"/>
        <w:rPr>
          <w:rFonts w:ascii="仿宋" w:hAnsi="仿宋" w:eastAsia="仿宋"/>
          <w:color w:val="auto"/>
          <w:sz w:val="24"/>
          <w:szCs w:val="24"/>
          <w:highlight w:val="none"/>
        </w:rPr>
      </w:pPr>
      <w:bookmarkStart w:id="45" w:name="_Toc21005"/>
      <w:r>
        <w:rPr>
          <w:rFonts w:ascii="仿宋" w:hAnsi="仿宋" w:eastAsia="仿宋" w:cs="仿宋"/>
          <w:color w:val="auto"/>
          <w:sz w:val="24"/>
          <w:szCs w:val="24"/>
          <w:highlight w:val="none"/>
        </w:rPr>
        <w:t xml:space="preserve">3.4 </w:t>
      </w:r>
      <w:r>
        <w:rPr>
          <w:rFonts w:hint="eastAsia" w:ascii="仿宋" w:hAnsi="仿宋" w:eastAsia="仿宋" w:cs="仿宋"/>
          <w:color w:val="auto"/>
          <w:sz w:val="24"/>
          <w:szCs w:val="24"/>
          <w:highlight w:val="none"/>
        </w:rPr>
        <w:t>委托人代表</w:t>
      </w:r>
      <w:bookmarkEnd w:id="45"/>
    </w:p>
    <w:p>
      <w:pPr>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委托人应授权一名熟悉工程情况的代表，负责与监理人联系。委托人应在双方签订本合同后</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天内，将委托人代表的姓名和职责书面告知监理人。当委托人更换委托人代表时，应提前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天通知监理人。</w:t>
      </w:r>
    </w:p>
    <w:p>
      <w:pPr>
        <w:spacing w:line="640" w:lineRule="exact"/>
        <w:outlineLvl w:val="2"/>
        <w:rPr>
          <w:rFonts w:ascii="仿宋" w:hAnsi="仿宋" w:eastAsia="仿宋"/>
          <w:color w:val="auto"/>
          <w:sz w:val="24"/>
          <w:szCs w:val="24"/>
          <w:highlight w:val="none"/>
        </w:rPr>
      </w:pPr>
      <w:bookmarkStart w:id="46" w:name="_Toc6541"/>
      <w:r>
        <w:rPr>
          <w:rFonts w:ascii="仿宋" w:hAnsi="仿宋" w:eastAsia="仿宋" w:cs="仿宋"/>
          <w:color w:val="auto"/>
          <w:sz w:val="24"/>
          <w:szCs w:val="24"/>
          <w:highlight w:val="none"/>
        </w:rPr>
        <w:t xml:space="preserve">3.5 </w:t>
      </w:r>
      <w:r>
        <w:rPr>
          <w:rFonts w:hint="eastAsia" w:ascii="仿宋" w:hAnsi="仿宋" w:eastAsia="仿宋" w:cs="仿宋"/>
          <w:color w:val="auto"/>
          <w:sz w:val="24"/>
          <w:szCs w:val="24"/>
          <w:highlight w:val="none"/>
        </w:rPr>
        <w:t>委托人意见或要求</w:t>
      </w:r>
      <w:bookmarkEnd w:id="46"/>
    </w:p>
    <w:p>
      <w:pPr>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在本合同约定的监理与相关服务工作范围内，委托人对承包人的任何意见或要求应通知监理人，由监理人向承包人发出相应指令。</w:t>
      </w:r>
    </w:p>
    <w:p>
      <w:pPr>
        <w:spacing w:line="640" w:lineRule="exact"/>
        <w:outlineLvl w:val="2"/>
        <w:rPr>
          <w:rFonts w:ascii="仿宋" w:hAnsi="仿宋" w:eastAsia="仿宋"/>
          <w:color w:val="auto"/>
          <w:sz w:val="24"/>
          <w:szCs w:val="24"/>
          <w:highlight w:val="none"/>
        </w:rPr>
      </w:pPr>
      <w:bookmarkStart w:id="47" w:name="_Toc10679"/>
      <w:r>
        <w:rPr>
          <w:rFonts w:ascii="仿宋" w:hAnsi="仿宋" w:eastAsia="仿宋" w:cs="仿宋"/>
          <w:color w:val="auto"/>
          <w:sz w:val="24"/>
          <w:szCs w:val="24"/>
          <w:highlight w:val="none"/>
        </w:rPr>
        <w:t xml:space="preserve">3.6 </w:t>
      </w:r>
      <w:r>
        <w:rPr>
          <w:rFonts w:hint="eastAsia" w:ascii="仿宋" w:hAnsi="仿宋" w:eastAsia="仿宋" w:cs="仿宋"/>
          <w:color w:val="auto"/>
          <w:sz w:val="24"/>
          <w:szCs w:val="24"/>
          <w:highlight w:val="none"/>
        </w:rPr>
        <w:t>答复</w:t>
      </w:r>
      <w:bookmarkEnd w:id="47"/>
    </w:p>
    <w:p>
      <w:pPr>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委托人应在专用条款约定的时间内，对监理人以书面形式提交并要求作出决定的事宜，给予书面答复。逾期未答复的，视为委托人认可。</w:t>
      </w:r>
    </w:p>
    <w:p>
      <w:pPr>
        <w:spacing w:line="640" w:lineRule="exact"/>
        <w:outlineLvl w:val="2"/>
        <w:rPr>
          <w:rFonts w:ascii="仿宋" w:hAnsi="仿宋" w:eastAsia="仿宋"/>
          <w:color w:val="auto"/>
          <w:sz w:val="24"/>
          <w:szCs w:val="24"/>
          <w:highlight w:val="none"/>
        </w:rPr>
      </w:pPr>
      <w:bookmarkStart w:id="48" w:name="_Toc21931"/>
      <w:r>
        <w:rPr>
          <w:rFonts w:ascii="仿宋" w:hAnsi="仿宋" w:eastAsia="仿宋" w:cs="仿宋"/>
          <w:color w:val="auto"/>
          <w:sz w:val="24"/>
          <w:szCs w:val="24"/>
          <w:highlight w:val="none"/>
        </w:rPr>
        <w:t xml:space="preserve">3.7 </w:t>
      </w:r>
      <w:r>
        <w:rPr>
          <w:rFonts w:hint="eastAsia" w:ascii="仿宋" w:hAnsi="仿宋" w:eastAsia="仿宋" w:cs="仿宋"/>
          <w:color w:val="auto"/>
          <w:sz w:val="24"/>
          <w:szCs w:val="24"/>
          <w:highlight w:val="none"/>
        </w:rPr>
        <w:t>支付</w:t>
      </w:r>
      <w:bookmarkEnd w:id="48"/>
    </w:p>
    <w:p>
      <w:pPr>
        <w:spacing w:line="640" w:lineRule="exact"/>
        <w:ind w:left="210" w:leftChars="100"/>
        <w:outlineLvl w:val="2"/>
        <w:rPr>
          <w:rFonts w:ascii="仿宋" w:hAnsi="仿宋" w:eastAsia="仿宋"/>
          <w:color w:val="auto"/>
          <w:sz w:val="24"/>
          <w:szCs w:val="24"/>
          <w:highlight w:val="none"/>
        </w:rPr>
      </w:pPr>
      <w:r>
        <w:rPr>
          <w:rFonts w:ascii="仿宋" w:hAnsi="仿宋" w:eastAsia="仿宋" w:cs="仿宋"/>
          <w:color w:val="auto"/>
          <w:sz w:val="24"/>
          <w:szCs w:val="24"/>
          <w:highlight w:val="none"/>
        </w:rPr>
        <w:t xml:space="preserve">   </w:t>
      </w:r>
      <w:bookmarkStart w:id="49" w:name="_Toc5628164"/>
      <w:bookmarkStart w:id="50" w:name="_Toc19237"/>
      <w:r>
        <w:rPr>
          <w:rFonts w:hint="eastAsia" w:ascii="仿宋" w:hAnsi="仿宋" w:eastAsia="仿宋" w:cs="仿宋"/>
          <w:color w:val="auto"/>
          <w:sz w:val="24"/>
          <w:szCs w:val="24"/>
          <w:highlight w:val="none"/>
        </w:rPr>
        <w:t>委托人应按本合同约定，向监理人支付酬金。如委托人未能按期支付酬金，监理人应及时报告住房城乡建设主管部门。</w:t>
      </w:r>
      <w:bookmarkEnd w:id="49"/>
      <w:bookmarkEnd w:id="50"/>
    </w:p>
    <w:p>
      <w:pPr>
        <w:spacing w:line="640" w:lineRule="exact"/>
        <w:outlineLvl w:val="2"/>
        <w:rPr>
          <w:rFonts w:ascii="仿宋" w:hAnsi="仿宋" w:eastAsia="仿宋"/>
          <w:color w:val="auto"/>
          <w:sz w:val="24"/>
          <w:szCs w:val="24"/>
          <w:highlight w:val="none"/>
        </w:rPr>
      </w:pPr>
      <w:bookmarkStart w:id="51" w:name="_Toc4778"/>
      <w:r>
        <w:rPr>
          <w:rFonts w:ascii="仿宋" w:hAnsi="仿宋" w:eastAsia="仿宋" w:cs="仿宋"/>
          <w:color w:val="auto"/>
          <w:sz w:val="24"/>
          <w:szCs w:val="24"/>
          <w:highlight w:val="none"/>
        </w:rPr>
        <w:t xml:space="preserve">3.8  </w:t>
      </w:r>
      <w:r>
        <w:rPr>
          <w:rFonts w:hint="eastAsia" w:ascii="仿宋" w:hAnsi="仿宋" w:eastAsia="仿宋" w:cs="仿宋"/>
          <w:color w:val="auto"/>
          <w:sz w:val="24"/>
          <w:szCs w:val="24"/>
          <w:highlight w:val="none"/>
        </w:rPr>
        <w:t>支付担保</w:t>
      </w:r>
      <w:bookmarkEnd w:id="51"/>
    </w:p>
    <w:p>
      <w:pPr>
        <w:snapToGrid w:val="0"/>
        <w:spacing w:line="640" w:lineRule="exact"/>
        <w:ind w:firstLine="120" w:firstLineChars="50"/>
        <w:rPr>
          <w:rFonts w:ascii="仿宋" w:hAnsi="仿宋" w:eastAsia="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监理人按照要求提交了履约担保，委托人应向承包人提交与履约担保等值的支付担保，支付担保采用支付保函、支付保证保险的形式。</w:t>
      </w:r>
    </w:p>
    <w:p>
      <w:pPr>
        <w:spacing w:line="640" w:lineRule="exact"/>
        <w:outlineLvl w:val="1"/>
        <w:rPr>
          <w:rFonts w:ascii="仿宋" w:hAnsi="仿宋" w:eastAsia="仿宋"/>
          <w:b/>
          <w:bCs/>
          <w:color w:val="auto"/>
          <w:sz w:val="24"/>
          <w:szCs w:val="24"/>
          <w:highlight w:val="none"/>
        </w:rPr>
      </w:pPr>
      <w:bookmarkStart w:id="52" w:name="_Toc18544"/>
      <w:r>
        <w:rPr>
          <w:rFonts w:ascii="仿宋" w:hAnsi="仿宋" w:eastAsia="仿宋" w:cs="仿宋"/>
          <w:b/>
          <w:bCs/>
          <w:color w:val="auto"/>
          <w:sz w:val="24"/>
          <w:szCs w:val="24"/>
          <w:highlight w:val="none"/>
        </w:rPr>
        <w:t xml:space="preserve">4. </w:t>
      </w:r>
      <w:r>
        <w:rPr>
          <w:rFonts w:hint="eastAsia" w:ascii="仿宋" w:hAnsi="仿宋" w:eastAsia="仿宋" w:cs="仿宋"/>
          <w:b/>
          <w:bCs/>
          <w:color w:val="auto"/>
          <w:sz w:val="24"/>
          <w:szCs w:val="24"/>
          <w:highlight w:val="none"/>
        </w:rPr>
        <w:t>违约责任</w:t>
      </w:r>
      <w:bookmarkEnd w:id="52"/>
    </w:p>
    <w:p>
      <w:pPr>
        <w:spacing w:line="640" w:lineRule="exact"/>
        <w:outlineLvl w:val="2"/>
        <w:rPr>
          <w:rFonts w:ascii="仿宋" w:hAnsi="仿宋" w:eastAsia="仿宋"/>
          <w:color w:val="auto"/>
          <w:sz w:val="24"/>
          <w:szCs w:val="24"/>
          <w:highlight w:val="none"/>
        </w:rPr>
      </w:pPr>
      <w:bookmarkStart w:id="53" w:name="_Toc13709"/>
      <w:r>
        <w:rPr>
          <w:rFonts w:ascii="仿宋" w:hAnsi="仿宋" w:eastAsia="仿宋" w:cs="仿宋"/>
          <w:color w:val="auto"/>
          <w:sz w:val="24"/>
          <w:szCs w:val="24"/>
          <w:highlight w:val="none"/>
        </w:rPr>
        <w:t xml:space="preserve">4.1 </w:t>
      </w:r>
      <w:r>
        <w:rPr>
          <w:rFonts w:hint="eastAsia" w:ascii="仿宋" w:hAnsi="仿宋" w:eastAsia="仿宋" w:cs="仿宋"/>
          <w:color w:val="auto"/>
          <w:sz w:val="24"/>
          <w:szCs w:val="24"/>
          <w:highlight w:val="none"/>
        </w:rPr>
        <w:t>监理人的违约责任</w:t>
      </w:r>
      <w:bookmarkEnd w:id="53"/>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kern w:val="0"/>
          <w:sz w:val="24"/>
          <w:szCs w:val="24"/>
          <w:highlight w:val="none"/>
        </w:rPr>
        <w:t>监理人未履行本合同义务的，应承担相应的责任。</w:t>
      </w:r>
    </w:p>
    <w:p>
      <w:pPr>
        <w:adjustRightInd w:val="0"/>
        <w:snapToGrid w:val="0"/>
        <w:spacing w:line="640" w:lineRule="exact"/>
        <w:ind w:firstLine="320" w:firstLineChars="133"/>
        <w:rPr>
          <w:rFonts w:ascii="仿宋" w:hAnsi="仿宋" w:eastAsia="仿宋"/>
          <w:color w:val="auto"/>
          <w:kern w:val="0"/>
          <w:sz w:val="24"/>
          <w:szCs w:val="24"/>
          <w:highlight w:val="none"/>
        </w:rPr>
      </w:pPr>
      <w:r>
        <w:rPr>
          <w:rFonts w:hint="eastAsia" w:ascii="仿宋" w:hAnsi="仿宋" w:eastAsia="仿宋" w:cs="Arial Unicode MS"/>
          <w:b/>
          <w:bCs/>
          <w:color w:val="auto"/>
          <w:kern w:val="0"/>
          <w:sz w:val="24"/>
          <w:szCs w:val="24"/>
          <w:highlight w:val="none"/>
        </w:rPr>
        <w:t>★</w:t>
      </w:r>
      <w:r>
        <w:rPr>
          <w:rFonts w:ascii="仿宋" w:hAnsi="仿宋" w:eastAsia="仿宋" w:cs="仿宋"/>
          <w:color w:val="auto"/>
          <w:kern w:val="0"/>
          <w:sz w:val="24"/>
          <w:szCs w:val="24"/>
          <w:highlight w:val="none"/>
        </w:rPr>
        <w:t xml:space="preserve">4.1.1 </w:t>
      </w:r>
      <w:r>
        <w:rPr>
          <w:rFonts w:hint="eastAsia" w:ascii="仿宋" w:hAnsi="仿宋" w:eastAsia="仿宋" w:cs="仿宋"/>
          <w:color w:val="auto"/>
          <w:kern w:val="0"/>
          <w:sz w:val="24"/>
          <w:szCs w:val="24"/>
          <w:highlight w:val="none"/>
        </w:rPr>
        <w:t>因监理人违反本合同约定</w:t>
      </w:r>
      <w:r>
        <w:rPr>
          <w:rFonts w:hint="eastAsia" w:ascii="仿宋" w:hAnsi="仿宋" w:eastAsia="仿宋" w:cs="仿宋"/>
          <w:color w:val="auto"/>
          <w:sz w:val="24"/>
          <w:szCs w:val="24"/>
          <w:highlight w:val="none"/>
        </w:rPr>
        <w:t>给委托人造成损失的，监理人应当赔偿委托人损失</w:t>
      </w:r>
      <w:r>
        <w:rPr>
          <w:rFonts w:hint="eastAsia" w:ascii="仿宋" w:hAnsi="仿宋" w:eastAsia="仿宋" w:cs="仿宋"/>
          <w:color w:val="auto"/>
          <w:kern w:val="0"/>
          <w:sz w:val="24"/>
          <w:szCs w:val="24"/>
          <w:highlight w:val="none"/>
        </w:rPr>
        <w:t>。赔偿金额的确定方法在专用条款中约定。监理人承担部分赔偿责任的，其承担赔偿金额由双方协商确定。</w:t>
      </w:r>
    </w:p>
    <w:p>
      <w:pPr>
        <w:spacing w:line="640" w:lineRule="exact"/>
        <w:ind w:firstLine="480" w:firstLineChars="20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 xml:space="preserve">4.1.2 </w:t>
      </w:r>
      <w:r>
        <w:rPr>
          <w:rFonts w:hint="eastAsia" w:ascii="仿宋" w:hAnsi="仿宋" w:eastAsia="仿宋" w:cs="仿宋"/>
          <w:color w:val="auto"/>
          <w:kern w:val="0"/>
          <w:sz w:val="24"/>
          <w:szCs w:val="24"/>
          <w:highlight w:val="none"/>
        </w:rPr>
        <w:t>监理人向委托人的索赔不成立时，监理人应赔偿委托人由此发生的费用。</w:t>
      </w:r>
    </w:p>
    <w:p>
      <w:pPr>
        <w:spacing w:line="640" w:lineRule="exact"/>
        <w:outlineLvl w:val="2"/>
        <w:rPr>
          <w:rFonts w:ascii="仿宋" w:hAnsi="仿宋" w:eastAsia="仿宋"/>
          <w:color w:val="auto"/>
          <w:sz w:val="24"/>
          <w:szCs w:val="24"/>
          <w:highlight w:val="none"/>
        </w:rPr>
      </w:pPr>
      <w:bookmarkStart w:id="54" w:name="_Toc26781"/>
      <w:r>
        <w:rPr>
          <w:rFonts w:ascii="仿宋" w:hAnsi="仿宋" w:eastAsia="仿宋" w:cs="仿宋"/>
          <w:color w:val="auto"/>
          <w:sz w:val="24"/>
          <w:szCs w:val="24"/>
          <w:highlight w:val="none"/>
        </w:rPr>
        <w:t xml:space="preserve">4.2 </w:t>
      </w:r>
      <w:r>
        <w:rPr>
          <w:rFonts w:hint="eastAsia" w:ascii="仿宋" w:hAnsi="仿宋" w:eastAsia="仿宋" w:cs="仿宋"/>
          <w:color w:val="auto"/>
          <w:sz w:val="24"/>
          <w:szCs w:val="24"/>
          <w:highlight w:val="none"/>
        </w:rPr>
        <w:t>委托人的违约责任</w:t>
      </w:r>
      <w:bookmarkEnd w:id="54"/>
    </w:p>
    <w:p>
      <w:pPr>
        <w:adjustRightInd w:val="0"/>
        <w:snapToGrid w:val="0"/>
        <w:spacing w:line="640" w:lineRule="exact"/>
        <w:ind w:firstLine="480" w:firstLineChars="200"/>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委托人未履行本合同义务的，应承担相应的责任。</w:t>
      </w:r>
    </w:p>
    <w:p>
      <w:pPr>
        <w:adjustRightInd w:val="0"/>
        <w:snapToGrid w:val="0"/>
        <w:spacing w:line="640" w:lineRule="exact"/>
        <w:ind w:firstLine="320" w:firstLineChars="133"/>
        <w:rPr>
          <w:rFonts w:ascii="仿宋" w:hAnsi="仿宋" w:eastAsia="仿宋"/>
          <w:color w:val="auto"/>
          <w:kern w:val="0"/>
          <w:sz w:val="24"/>
          <w:szCs w:val="24"/>
          <w:highlight w:val="none"/>
        </w:rPr>
      </w:pPr>
      <w:r>
        <w:rPr>
          <w:rFonts w:hint="eastAsia" w:ascii="仿宋" w:hAnsi="仿宋" w:eastAsia="仿宋" w:cs="Arial Unicode MS"/>
          <w:b/>
          <w:bCs/>
          <w:color w:val="auto"/>
          <w:kern w:val="0"/>
          <w:sz w:val="24"/>
          <w:szCs w:val="24"/>
          <w:highlight w:val="none"/>
        </w:rPr>
        <w:t>★</w:t>
      </w:r>
      <w:r>
        <w:rPr>
          <w:rFonts w:ascii="仿宋" w:hAnsi="仿宋" w:eastAsia="仿宋" w:cs="仿宋"/>
          <w:color w:val="auto"/>
          <w:kern w:val="0"/>
          <w:sz w:val="24"/>
          <w:szCs w:val="24"/>
          <w:highlight w:val="none"/>
        </w:rPr>
        <w:t xml:space="preserve">4.2.1 </w:t>
      </w:r>
      <w:r>
        <w:rPr>
          <w:rFonts w:hint="eastAsia" w:ascii="仿宋" w:hAnsi="仿宋" w:eastAsia="仿宋" w:cs="仿宋"/>
          <w:color w:val="auto"/>
          <w:kern w:val="0"/>
          <w:sz w:val="24"/>
          <w:szCs w:val="24"/>
          <w:highlight w:val="none"/>
        </w:rPr>
        <w:t>委托人违反本合同约定造成监理人损失的，委托人应予以赔偿。赔偿金额的确定方法在专用条款中约定。</w:t>
      </w:r>
    </w:p>
    <w:p>
      <w:pPr>
        <w:adjustRightInd w:val="0"/>
        <w:snapToGrid w:val="0"/>
        <w:spacing w:line="640" w:lineRule="exact"/>
        <w:ind w:firstLine="480" w:firstLineChars="20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 xml:space="preserve">4.2.2 </w:t>
      </w:r>
      <w:r>
        <w:rPr>
          <w:rFonts w:hint="eastAsia" w:ascii="仿宋" w:hAnsi="仿宋" w:eastAsia="仿宋" w:cs="仿宋"/>
          <w:color w:val="auto"/>
          <w:kern w:val="0"/>
          <w:sz w:val="24"/>
          <w:szCs w:val="24"/>
          <w:highlight w:val="none"/>
        </w:rPr>
        <w:t>委托人向监理人的索赔不成立时，委托人应赔偿监理人由此发生的费用。</w:t>
      </w:r>
    </w:p>
    <w:p>
      <w:pPr>
        <w:spacing w:line="640" w:lineRule="exact"/>
        <w:ind w:firstLine="320" w:firstLineChars="133"/>
        <w:rPr>
          <w:rFonts w:ascii="仿宋" w:hAnsi="仿宋" w:eastAsia="仿宋"/>
          <w:color w:val="auto"/>
          <w:kern w:val="0"/>
          <w:sz w:val="24"/>
          <w:szCs w:val="24"/>
          <w:highlight w:val="none"/>
        </w:rPr>
      </w:pPr>
      <w:r>
        <w:rPr>
          <w:rFonts w:hint="eastAsia" w:ascii="仿宋" w:hAnsi="仿宋" w:eastAsia="仿宋" w:cs="Arial Unicode MS"/>
          <w:b/>
          <w:bCs/>
          <w:color w:val="auto"/>
          <w:kern w:val="0"/>
          <w:sz w:val="24"/>
          <w:szCs w:val="24"/>
          <w:highlight w:val="none"/>
        </w:rPr>
        <w:t>★</w:t>
      </w:r>
      <w:r>
        <w:rPr>
          <w:rFonts w:ascii="仿宋" w:hAnsi="仿宋" w:eastAsia="仿宋" w:cs="仿宋"/>
          <w:color w:val="auto"/>
          <w:sz w:val="24"/>
          <w:szCs w:val="24"/>
          <w:highlight w:val="none"/>
        </w:rPr>
        <w:t xml:space="preserve">4.2.3 </w:t>
      </w:r>
      <w:r>
        <w:rPr>
          <w:rFonts w:hint="eastAsia" w:ascii="仿宋" w:hAnsi="仿宋" w:eastAsia="仿宋" w:cs="仿宋"/>
          <w:color w:val="auto"/>
          <w:kern w:val="0"/>
          <w:sz w:val="24"/>
          <w:szCs w:val="24"/>
          <w:highlight w:val="none"/>
        </w:rPr>
        <w:t>委托人未能按期支付</w:t>
      </w:r>
      <w:r>
        <w:rPr>
          <w:rFonts w:hint="eastAsia" w:ascii="仿宋" w:hAnsi="仿宋" w:eastAsia="仿宋" w:cs="仿宋"/>
          <w:color w:val="auto"/>
          <w:sz w:val="24"/>
          <w:szCs w:val="24"/>
          <w:highlight w:val="none"/>
        </w:rPr>
        <w:t>酬金</w:t>
      </w:r>
      <w:r>
        <w:rPr>
          <w:rFonts w:hint="eastAsia" w:ascii="仿宋" w:hAnsi="仿宋" w:eastAsia="仿宋" w:cs="仿宋"/>
          <w:color w:val="auto"/>
          <w:kern w:val="0"/>
          <w:sz w:val="24"/>
          <w:szCs w:val="24"/>
          <w:highlight w:val="none"/>
        </w:rPr>
        <w:t>超过</w:t>
      </w:r>
      <w:r>
        <w:rPr>
          <w:rFonts w:ascii="仿宋" w:hAnsi="仿宋" w:eastAsia="仿宋" w:cs="仿宋"/>
          <w:color w:val="auto"/>
          <w:kern w:val="0"/>
          <w:sz w:val="24"/>
          <w:szCs w:val="24"/>
          <w:highlight w:val="none"/>
        </w:rPr>
        <w:t>28</w:t>
      </w:r>
      <w:r>
        <w:rPr>
          <w:rFonts w:hint="eastAsia" w:ascii="仿宋" w:hAnsi="仿宋" w:eastAsia="仿宋" w:cs="仿宋"/>
          <w:color w:val="auto"/>
          <w:kern w:val="0"/>
          <w:sz w:val="24"/>
          <w:szCs w:val="24"/>
          <w:highlight w:val="none"/>
        </w:rPr>
        <w:t>天，应按专用条款约定支付逾期付款利息。</w:t>
      </w:r>
    </w:p>
    <w:p>
      <w:pPr>
        <w:spacing w:line="640" w:lineRule="exact"/>
        <w:outlineLvl w:val="2"/>
        <w:rPr>
          <w:rFonts w:ascii="仿宋" w:hAnsi="仿宋" w:eastAsia="仿宋"/>
          <w:color w:val="auto"/>
          <w:sz w:val="24"/>
          <w:szCs w:val="24"/>
          <w:highlight w:val="none"/>
        </w:rPr>
      </w:pPr>
      <w:bookmarkStart w:id="55" w:name="_Toc12072"/>
      <w:r>
        <w:rPr>
          <w:rFonts w:ascii="仿宋" w:hAnsi="仿宋" w:eastAsia="仿宋" w:cs="仿宋"/>
          <w:color w:val="auto"/>
          <w:sz w:val="24"/>
          <w:szCs w:val="24"/>
          <w:highlight w:val="none"/>
        </w:rPr>
        <w:t xml:space="preserve">4.3 </w:t>
      </w:r>
      <w:r>
        <w:rPr>
          <w:rFonts w:hint="eastAsia" w:ascii="仿宋" w:hAnsi="仿宋" w:eastAsia="仿宋" w:cs="仿宋"/>
          <w:color w:val="auto"/>
          <w:sz w:val="24"/>
          <w:szCs w:val="24"/>
          <w:highlight w:val="none"/>
        </w:rPr>
        <w:t>除外责任</w:t>
      </w:r>
      <w:bookmarkEnd w:id="55"/>
    </w:p>
    <w:p>
      <w:pPr>
        <w:adjustRightInd w:val="0"/>
        <w:snapToGrid w:val="0"/>
        <w:spacing w:line="640" w:lineRule="exact"/>
        <w:ind w:firstLine="480" w:firstLineChars="200"/>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因非监理人的原因，且监理人无过错，发生工程质量事故、安全事故、工期延误等造成的损失，监理人不承担赔偿责任。</w:t>
      </w:r>
    </w:p>
    <w:p>
      <w:pPr>
        <w:snapToGrid w:val="0"/>
        <w:spacing w:line="640" w:lineRule="exact"/>
        <w:ind w:firstLine="480" w:firstLineChars="200"/>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因不可抗力导致本合同全部或部分不能履行时，双方各自承担其因此而造成的损失、损害。</w:t>
      </w:r>
    </w:p>
    <w:p>
      <w:pPr>
        <w:spacing w:line="640" w:lineRule="exact"/>
        <w:outlineLvl w:val="1"/>
        <w:rPr>
          <w:rFonts w:ascii="仿宋" w:hAnsi="仿宋" w:eastAsia="仿宋"/>
          <w:b/>
          <w:bCs/>
          <w:color w:val="auto"/>
          <w:sz w:val="24"/>
          <w:szCs w:val="24"/>
          <w:highlight w:val="none"/>
        </w:rPr>
      </w:pPr>
      <w:bookmarkStart w:id="56" w:name="_Toc3972"/>
      <w:r>
        <w:rPr>
          <w:rFonts w:hint="eastAsia" w:ascii="仿宋" w:hAnsi="仿宋" w:eastAsia="仿宋" w:cs="Arial Unicode MS"/>
          <w:b/>
          <w:bCs/>
          <w:color w:val="auto"/>
          <w:kern w:val="0"/>
          <w:sz w:val="24"/>
          <w:szCs w:val="24"/>
          <w:highlight w:val="none"/>
        </w:rPr>
        <w:t>★</w:t>
      </w:r>
      <w:r>
        <w:rPr>
          <w:rFonts w:ascii="仿宋" w:hAnsi="仿宋" w:eastAsia="仿宋" w:cs="仿宋"/>
          <w:b/>
          <w:bCs/>
          <w:color w:val="auto"/>
          <w:sz w:val="24"/>
          <w:szCs w:val="24"/>
          <w:highlight w:val="none"/>
        </w:rPr>
        <w:t xml:space="preserve">5. </w:t>
      </w:r>
      <w:r>
        <w:rPr>
          <w:rFonts w:hint="eastAsia" w:ascii="仿宋" w:hAnsi="仿宋" w:eastAsia="仿宋" w:cs="仿宋"/>
          <w:b/>
          <w:bCs/>
          <w:color w:val="auto"/>
          <w:sz w:val="24"/>
          <w:szCs w:val="24"/>
          <w:highlight w:val="none"/>
        </w:rPr>
        <w:t>支付</w:t>
      </w:r>
      <w:bookmarkEnd w:id="56"/>
    </w:p>
    <w:p>
      <w:pPr>
        <w:spacing w:line="640" w:lineRule="exact"/>
        <w:outlineLvl w:val="2"/>
        <w:rPr>
          <w:rFonts w:ascii="仿宋" w:hAnsi="仿宋" w:eastAsia="仿宋"/>
          <w:color w:val="auto"/>
          <w:sz w:val="24"/>
          <w:szCs w:val="24"/>
          <w:highlight w:val="none"/>
        </w:rPr>
      </w:pPr>
      <w:bookmarkStart w:id="57" w:name="_Toc6373"/>
      <w:r>
        <w:rPr>
          <w:rFonts w:ascii="仿宋" w:hAnsi="仿宋" w:eastAsia="仿宋" w:cs="仿宋"/>
          <w:color w:val="auto"/>
          <w:sz w:val="24"/>
          <w:szCs w:val="24"/>
          <w:highlight w:val="none"/>
        </w:rPr>
        <w:t xml:space="preserve">5.1 </w:t>
      </w:r>
      <w:r>
        <w:rPr>
          <w:rFonts w:hint="eastAsia" w:ascii="仿宋" w:hAnsi="仿宋" w:eastAsia="仿宋" w:cs="仿宋"/>
          <w:color w:val="auto"/>
          <w:sz w:val="24"/>
          <w:szCs w:val="24"/>
          <w:highlight w:val="none"/>
        </w:rPr>
        <w:t>支付货币</w:t>
      </w:r>
      <w:bookmarkEnd w:id="57"/>
    </w:p>
    <w:p>
      <w:pPr>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除专用条款另有约定外，酬金均以人民币支付。涉及外币支付的，所采用的货币种类、比例和汇率在专用条款中约定。</w:t>
      </w:r>
    </w:p>
    <w:p>
      <w:pPr>
        <w:spacing w:line="640" w:lineRule="exact"/>
        <w:outlineLvl w:val="2"/>
        <w:rPr>
          <w:rFonts w:ascii="仿宋" w:hAnsi="仿宋" w:eastAsia="仿宋"/>
          <w:color w:val="auto"/>
          <w:sz w:val="24"/>
          <w:szCs w:val="24"/>
          <w:highlight w:val="none"/>
        </w:rPr>
      </w:pPr>
      <w:bookmarkStart w:id="58" w:name="_Toc27158"/>
      <w:r>
        <w:rPr>
          <w:rFonts w:ascii="仿宋" w:hAnsi="仿宋" w:eastAsia="仿宋" w:cs="仿宋"/>
          <w:color w:val="auto"/>
          <w:sz w:val="24"/>
          <w:szCs w:val="24"/>
          <w:highlight w:val="none"/>
        </w:rPr>
        <w:t xml:space="preserve">5.2 </w:t>
      </w:r>
      <w:r>
        <w:rPr>
          <w:rFonts w:hint="eastAsia" w:ascii="仿宋" w:hAnsi="仿宋" w:eastAsia="仿宋" w:cs="仿宋"/>
          <w:color w:val="auto"/>
          <w:sz w:val="24"/>
          <w:szCs w:val="24"/>
          <w:highlight w:val="none"/>
        </w:rPr>
        <w:t>支付申请</w:t>
      </w:r>
      <w:bookmarkEnd w:id="58"/>
    </w:p>
    <w:p>
      <w:pPr>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监理人应在本合同约定的每次应付款时间的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天前，向委托人提交支付申请书。支付申请书应当说明当期应付款总额，并列出当期应支付的款项及其金额。</w:t>
      </w:r>
    </w:p>
    <w:p>
      <w:pPr>
        <w:spacing w:line="640" w:lineRule="exact"/>
        <w:outlineLvl w:val="2"/>
        <w:rPr>
          <w:rFonts w:ascii="仿宋" w:hAnsi="仿宋" w:eastAsia="仿宋"/>
          <w:color w:val="auto"/>
          <w:sz w:val="24"/>
          <w:szCs w:val="24"/>
          <w:highlight w:val="none"/>
        </w:rPr>
      </w:pPr>
      <w:bookmarkStart w:id="59" w:name="_Toc10354"/>
      <w:r>
        <w:rPr>
          <w:rFonts w:hint="eastAsia" w:ascii="仿宋" w:hAnsi="仿宋" w:eastAsia="仿宋" w:cs="Arial Unicode MS"/>
          <w:b/>
          <w:bCs/>
          <w:color w:val="auto"/>
          <w:kern w:val="0"/>
          <w:sz w:val="24"/>
          <w:szCs w:val="24"/>
          <w:highlight w:val="none"/>
        </w:rPr>
        <w:t>★</w:t>
      </w:r>
      <w:r>
        <w:rPr>
          <w:rFonts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rPr>
        <w:t>支付酬金</w:t>
      </w:r>
      <w:bookmarkEnd w:id="59"/>
    </w:p>
    <w:p>
      <w:pPr>
        <w:snapToGrid w:val="0"/>
        <w:spacing w:line="640" w:lineRule="exact"/>
        <w:ind w:firstLine="480"/>
        <w:rPr>
          <w:rFonts w:ascii="仿宋" w:hAnsi="仿宋" w:eastAsia="仿宋"/>
          <w:color w:val="auto"/>
          <w:sz w:val="24"/>
          <w:szCs w:val="24"/>
          <w:highlight w:val="none"/>
        </w:rPr>
      </w:pPr>
      <w:r>
        <w:rPr>
          <w:rFonts w:hint="eastAsia" w:ascii="仿宋" w:hAnsi="仿宋" w:eastAsia="仿宋" w:cs="仿宋"/>
          <w:color w:val="auto"/>
          <w:sz w:val="24"/>
          <w:szCs w:val="24"/>
          <w:highlight w:val="none"/>
        </w:rPr>
        <w:t>支付的酬金包括正常工作酬金、附加工作酬金、合理化建议奖励金额及费用。</w:t>
      </w:r>
    </w:p>
    <w:p>
      <w:pPr>
        <w:spacing w:line="640" w:lineRule="exact"/>
        <w:outlineLvl w:val="2"/>
        <w:rPr>
          <w:rFonts w:ascii="仿宋" w:hAnsi="仿宋" w:eastAsia="仿宋"/>
          <w:color w:val="auto"/>
          <w:sz w:val="24"/>
          <w:szCs w:val="24"/>
          <w:highlight w:val="none"/>
        </w:rPr>
      </w:pPr>
      <w:bookmarkStart w:id="60" w:name="_Toc10692"/>
      <w:r>
        <w:rPr>
          <w:rFonts w:ascii="仿宋" w:hAnsi="仿宋" w:eastAsia="仿宋" w:cs="仿宋"/>
          <w:color w:val="auto"/>
          <w:sz w:val="24"/>
          <w:szCs w:val="24"/>
          <w:highlight w:val="none"/>
        </w:rPr>
        <w:t xml:space="preserve">5.4 </w:t>
      </w:r>
      <w:r>
        <w:rPr>
          <w:rFonts w:hint="eastAsia" w:ascii="仿宋" w:hAnsi="仿宋" w:eastAsia="仿宋" w:cs="仿宋"/>
          <w:color w:val="auto"/>
          <w:sz w:val="24"/>
          <w:szCs w:val="24"/>
          <w:highlight w:val="none"/>
        </w:rPr>
        <w:t>有争议部分的付款</w:t>
      </w:r>
      <w:bookmarkEnd w:id="60"/>
    </w:p>
    <w:p>
      <w:pPr>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委托人对监理人提交的支付申请书有异议时，应当在收到监理人提交的支付申请书后</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天内，以书面形式向监理人发出异议通知。无异议部分的款项应按期支付，有异议部分的款项按第</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条约定办理。</w:t>
      </w:r>
    </w:p>
    <w:p>
      <w:pPr>
        <w:spacing w:line="640" w:lineRule="exact"/>
        <w:outlineLvl w:val="1"/>
        <w:rPr>
          <w:rFonts w:ascii="仿宋" w:hAnsi="仿宋" w:eastAsia="仿宋"/>
          <w:b/>
          <w:bCs/>
          <w:color w:val="auto"/>
          <w:sz w:val="24"/>
          <w:szCs w:val="24"/>
          <w:highlight w:val="none"/>
        </w:rPr>
      </w:pPr>
      <w:bookmarkStart w:id="61" w:name="_Toc14867"/>
      <w:r>
        <w:rPr>
          <w:rFonts w:ascii="仿宋" w:hAnsi="仿宋" w:eastAsia="仿宋" w:cs="仿宋"/>
          <w:b/>
          <w:bCs/>
          <w:color w:val="auto"/>
          <w:sz w:val="24"/>
          <w:szCs w:val="24"/>
          <w:highlight w:val="none"/>
        </w:rPr>
        <w:t xml:space="preserve">6. </w:t>
      </w:r>
      <w:r>
        <w:rPr>
          <w:rFonts w:hint="eastAsia" w:ascii="仿宋" w:hAnsi="仿宋" w:eastAsia="仿宋" w:cs="仿宋"/>
          <w:b/>
          <w:bCs/>
          <w:color w:val="auto"/>
          <w:sz w:val="24"/>
          <w:szCs w:val="24"/>
          <w:highlight w:val="none"/>
        </w:rPr>
        <w:t>合同生效、变更、暂停、解除与终止</w:t>
      </w:r>
      <w:bookmarkEnd w:id="61"/>
    </w:p>
    <w:p>
      <w:pPr>
        <w:spacing w:line="640" w:lineRule="exact"/>
        <w:outlineLvl w:val="2"/>
        <w:rPr>
          <w:rFonts w:ascii="仿宋" w:hAnsi="仿宋" w:eastAsia="仿宋"/>
          <w:color w:val="auto"/>
          <w:sz w:val="24"/>
          <w:szCs w:val="24"/>
          <w:highlight w:val="none"/>
        </w:rPr>
      </w:pPr>
      <w:bookmarkStart w:id="62" w:name="_Toc12294"/>
      <w:r>
        <w:rPr>
          <w:rFonts w:ascii="仿宋" w:hAnsi="仿宋" w:eastAsia="仿宋" w:cs="仿宋"/>
          <w:color w:val="auto"/>
          <w:sz w:val="24"/>
          <w:szCs w:val="24"/>
          <w:highlight w:val="none"/>
        </w:rPr>
        <w:t>6.1</w:t>
      </w:r>
      <w:r>
        <w:rPr>
          <w:rFonts w:hint="eastAsia" w:ascii="仿宋" w:hAnsi="仿宋" w:eastAsia="仿宋" w:cs="仿宋"/>
          <w:color w:val="auto"/>
          <w:sz w:val="24"/>
          <w:szCs w:val="24"/>
          <w:highlight w:val="none"/>
        </w:rPr>
        <w:t>生效</w:t>
      </w:r>
      <w:bookmarkEnd w:id="62"/>
    </w:p>
    <w:p>
      <w:pPr>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除法律另有规定或者专用条款另有约定外，委托人和监理人的法定代表人或其授权代理人在协议书上签字并盖单位章后本合同生效。</w:t>
      </w:r>
    </w:p>
    <w:p>
      <w:pPr>
        <w:spacing w:line="640" w:lineRule="exact"/>
        <w:outlineLvl w:val="2"/>
        <w:rPr>
          <w:rFonts w:ascii="仿宋" w:hAnsi="仿宋" w:eastAsia="仿宋"/>
          <w:color w:val="auto"/>
          <w:sz w:val="24"/>
          <w:szCs w:val="24"/>
          <w:highlight w:val="none"/>
        </w:rPr>
      </w:pPr>
      <w:bookmarkStart w:id="63" w:name="_Toc28282"/>
      <w:r>
        <w:rPr>
          <w:rFonts w:hint="eastAsia" w:ascii="仿宋" w:hAnsi="仿宋" w:eastAsia="仿宋" w:cs="Arial Unicode MS"/>
          <w:b/>
          <w:bCs/>
          <w:color w:val="auto"/>
          <w:kern w:val="0"/>
          <w:sz w:val="24"/>
          <w:szCs w:val="24"/>
          <w:highlight w:val="none"/>
        </w:rPr>
        <w:t>★</w:t>
      </w:r>
      <w:r>
        <w:rPr>
          <w:rFonts w:ascii="仿宋" w:hAnsi="仿宋" w:eastAsia="仿宋" w:cs="仿宋"/>
          <w:color w:val="auto"/>
          <w:sz w:val="24"/>
          <w:szCs w:val="24"/>
          <w:highlight w:val="none"/>
        </w:rPr>
        <w:t>6.2</w:t>
      </w:r>
      <w:r>
        <w:rPr>
          <w:rFonts w:hint="eastAsia" w:ascii="仿宋" w:hAnsi="仿宋" w:eastAsia="仿宋" w:cs="仿宋"/>
          <w:color w:val="auto"/>
          <w:sz w:val="24"/>
          <w:szCs w:val="24"/>
          <w:highlight w:val="none"/>
        </w:rPr>
        <w:t>变更</w:t>
      </w:r>
      <w:bookmarkEnd w:id="63"/>
    </w:p>
    <w:p>
      <w:pPr>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6.2.1 </w:t>
      </w:r>
      <w:r>
        <w:rPr>
          <w:rFonts w:hint="eastAsia" w:ascii="仿宋" w:hAnsi="仿宋" w:eastAsia="仿宋" w:cs="仿宋"/>
          <w:color w:val="auto"/>
          <w:sz w:val="24"/>
          <w:szCs w:val="24"/>
          <w:highlight w:val="none"/>
        </w:rPr>
        <w:t>任何一方提出变更请求时，双方经协商一致后可进行变更。</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6.2.2</w:t>
      </w:r>
      <w:r>
        <w:rPr>
          <w:rFonts w:hint="eastAsia" w:ascii="仿宋" w:hAnsi="仿宋" w:eastAsia="仿宋" w:cs="仿宋"/>
          <w:color w:val="auto"/>
          <w:sz w:val="24"/>
          <w:szCs w:val="24"/>
          <w:highlight w:val="none"/>
        </w:rPr>
        <w:t>除不可抗力外，因非监理人原因导致监理人履行合同期限延长、内容增加时，监理人应当将此情况与可能产生的影响及时通知委托人。增加的监理工作时间、工作内容应视为附加工作。附加工作酬金的确定方法在专用条款中约定。</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6.2.3</w:t>
      </w:r>
      <w:r>
        <w:rPr>
          <w:rFonts w:hint="eastAsia" w:ascii="仿宋" w:hAnsi="仿宋" w:eastAsia="仿宋" w:cs="仿宋"/>
          <w:color w:val="auto"/>
          <w:sz w:val="24"/>
          <w:szCs w:val="24"/>
          <w:highlight w:val="none"/>
        </w:rPr>
        <w:t>合同生效后，如果实际情况发生变化使得监理人不能完成全部或部分工作时，监理人应立即通知委托人。除不可抗力外，其善后工作以及恢复服务的准备工作应为附加工作，附加工作酬金的确定方法在专用条款中约定。监理人用于恢复服务的准备时间不应超过</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w:t>
      </w:r>
    </w:p>
    <w:p>
      <w:pPr>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6.2.4</w:t>
      </w:r>
      <w:r>
        <w:rPr>
          <w:rFonts w:hint="eastAsia" w:ascii="仿宋" w:hAnsi="仿宋" w:eastAsia="仿宋" w:cs="仿宋"/>
          <w:color w:val="auto"/>
          <w:sz w:val="24"/>
          <w:szCs w:val="24"/>
          <w:highlight w:val="none"/>
        </w:rPr>
        <w:t>合同签订后，遇有与工程相关的法律法规、标准颁布或修订的，双方应遵照执行。由此引起监理与相关服务的范围、时间、酬金变化的，双方应通过协商进行相应调整。</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6.2.5 </w:t>
      </w:r>
      <w:r>
        <w:rPr>
          <w:rFonts w:hint="eastAsia" w:ascii="仿宋" w:hAnsi="仿宋" w:eastAsia="仿宋" w:cs="仿宋"/>
          <w:color w:val="auto"/>
          <w:sz w:val="24"/>
          <w:szCs w:val="24"/>
          <w:highlight w:val="none"/>
        </w:rPr>
        <w:t>因非监理人原因造成工程概算投资额或建筑安装工程费增加时，正常工作酬金应作相应调整。调整方法在专用条款中约定。</w:t>
      </w:r>
    </w:p>
    <w:p>
      <w:pPr>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6.2.6 </w:t>
      </w:r>
      <w:r>
        <w:rPr>
          <w:rFonts w:hint="eastAsia" w:ascii="仿宋" w:hAnsi="仿宋" w:eastAsia="仿宋" w:cs="仿宋"/>
          <w:color w:val="auto"/>
          <w:sz w:val="24"/>
          <w:szCs w:val="24"/>
          <w:highlight w:val="none"/>
        </w:rPr>
        <w:t>因工程规模、监理范围的变化导致监理人的正常工作量减少时，正常工作酬金应作相应调整。调整方法在专用条款中约定。</w:t>
      </w:r>
    </w:p>
    <w:p>
      <w:pPr>
        <w:spacing w:line="640" w:lineRule="exact"/>
        <w:outlineLvl w:val="2"/>
        <w:rPr>
          <w:rFonts w:ascii="仿宋" w:hAnsi="仿宋" w:eastAsia="仿宋"/>
          <w:color w:val="auto"/>
          <w:sz w:val="24"/>
          <w:szCs w:val="24"/>
          <w:highlight w:val="none"/>
        </w:rPr>
      </w:pPr>
      <w:bookmarkStart w:id="64" w:name="_Toc21348"/>
      <w:r>
        <w:rPr>
          <w:rFonts w:hint="eastAsia" w:ascii="仿宋" w:hAnsi="仿宋" w:eastAsia="仿宋" w:cs="Arial Unicode MS"/>
          <w:b/>
          <w:bCs/>
          <w:color w:val="auto"/>
          <w:kern w:val="0"/>
          <w:sz w:val="24"/>
          <w:szCs w:val="24"/>
          <w:highlight w:val="none"/>
        </w:rPr>
        <w:t>★</w:t>
      </w:r>
      <w:r>
        <w:rPr>
          <w:rFonts w:ascii="仿宋" w:hAnsi="仿宋" w:eastAsia="仿宋" w:cs="仿宋"/>
          <w:color w:val="auto"/>
          <w:sz w:val="24"/>
          <w:szCs w:val="24"/>
          <w:highlight w:val="none"/>
        </w:rPr>
        <w:t xml:space="preserve">6.3 </w:t>
      </w:r>
      <w:r>
        <w:rPr>
          <w:rFonts w:hint="eastAsia" w:ascii="仿宋" w:hAnsi="仿宋" w:eastAsia="仿宋" w:cs="仿宋"/>
          <w:color w:val="auto"/>
          <w:sz w:val="24"/>
          <w:szCs w:val="24"/>
          <w:highlight w:val="none"/>
        </w:rPr>
        <w:t>暂停与解除</w:t>
      </w:r>
      <w:bookmarkEnd w:id="64"/>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除双方协商一致可以解除本合同外，当一方无正当理由未履行本合同约定的义务时，另一方可以根据本合同约定暂停履行本合同直至解除本合同。</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6.3.1 </w:t>
      </w:r>
      <w:r>
        <w:rPr>
          <w:rFonts w:hint="eastAsia" w:ascii="仿宋" w:hAnsi="仿宋" w:eastAsia="仿宋" w:cs="仿宋"/>
          <w:color w:val="auto"/>
          <w:sz w:val="24"/>
          <w:szCs w:val="24"/>
          <w:highlight w:val="none"/>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因解除本合同或解除监理人的部分义务导致监理人遭受的损失，除依法可以免除责任的情况外，应由委托人予以补偿，补偿金额由双方协商确定。</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解除本合同的协议必须采取书面形式，协议未达成之前，本合同仍然有效。</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6.3.2 </w:t>
      </w:r>
      <w:r>
        <w:rPr>
          <w:rFonts w:hint="eastAsia" w:ascii="仿宋" w:hAnsi="仿宋" w:eastAsia="仿宋" w:cs="仿宋"/>
          <w:color w:val="auto"/>
          <w:sz w:val="24"/>
          <w:szCs w:val="24"/>
          <w:highlight w:val="none"/>
        </w:rPr>
        <w:t>在本合同有效期内，因非监理人的原因导致工程维护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暂停部分监理与相关服务时间超过</w:t>
      </w:r>
      <w:r>
        <w:rPr>
          <w:rFonts w:ascii="仿宋" w:hAnsi="仿宋" w:eastAsia="仿宋" w:cs="仿宋"/>
          <w:color w:val="auto"/>
          <w:sz w:val="24"/>
          <w:szCs w:val="24"/>
          <w:highlight w:val="none"/>
        </w:rPr>
        <w:t>182</w:t>
      </w:r>
      <w:r>
        <w:rPr>
          <w:rFonts w:hint="eastAsia" w:ascii="仿宋" w:hAnsi="仿宋" w:eastAsia="仿宋" w:cs="仿宋"/>
          <w:color w:val="auto"/>
          <w:sz w:val="24"/>
          <w:szCs w:val="24"/>
          <w:highlight w:val="none"/>
        </w:rPr>
        <w:t>天，监理人可发出解除本合同约定的该部分义务的通知；暂停全部工作时间超过</w:t>
      </w:r>
      <w:r>
        <w:rPr>
          <w:rFonts w:ascii="仿宋" w:hAnsi="仿宋" w:eastAsia="仿宋" w:cs="仿宋"/>
          <w:color w:val="auto"/>
          <w:sz w:val="24"/>
          <w:szCs w:val="24"/>
          <w:highlight w:val="none"/>
        </w:rPr>
        <w:t>182</w:t>
      </w:r>
      <w:r>
        <w:rPr>
          <w:rFonts w:hint="eastAsia" w:ascii="仿宋" w:hAnsi="仿宋" w:eastAsia="仿宋" w:cs="仿宋"/>
          <w:color w:val="auto"/>
          <w:sz w:val="24"/>
          <w:szCs w:val="24"/>
          <w:highlight w:val="none"/>
        </w:rPr>
        <w:t>天，监理人可发出解除本合同的通知，本合同自通知到达委托人时解除。委托人应将监理与相关服务</w:t>
      </w:r>
      <w:r>
        <w:rPr>
          <w:rFonts w:hint="eastAsia" w:ascii="仿宋" w:hAnsi="仿宋" w:eastAsia="仿宋" w:cs="仿宋"/>
          <w:color w:val="auto"/>
          <w:kern w:val="0"/>
          <w:sz w:val="24"/>
          <w:szCs w:val="24"/>
          <w:highlight w:val="none"/>
        </w:rPr>
        <w:t>的</w:t>
      </w:r>
      <w:r>
        <w:rPr>
          <w:rFonts w:hint="eastAsia" w:ascii="仿宋" w:hAnsi="仿宋" w:eastAsia="仿宋" w:cs="仿宋"/>
          <w:color w:val="auto"/>
          <w:sz w:val="24"/>
          <w:szCs w:val="24"/>
          <w:highlight w:val="none"/>
        </w:rPr>
        <w:t>酬金支付至本合同解除日，且应承担第</w:t>
      </w:r>
      <w:r>
        <w:rPr>
          <w:rFonts w:ascii="仿宋" w:hAnsi="仿宋" w:eastAsia="仿宋" w:cs="仿宋"/>
          <w:color w:val="auto"/>
          <w:sz w:val="24"/>
          <w:szCs w:val="24"/>
          <w:highlight w:val="none"/>
        </w:rPr>
        <w:t>4.2</w:t>
      </w:r>
      <w:r>
        <w:rPr>
          <w:rFonts w:hint="eastAsia" w:ascii="仿宋" w:hAnsi="仿宋" w:eastAsia="仿宋" w:cs="仿宋"/>
          <w:color w:val="auto"/>
          <w:sz w:val="24"/>
          <w:szCs w:val="24"/>
          <w:highlight w:val="none"/>
        </w:rPr>
        <w:t>款约定的责任。</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6.3.3 </w:t>
      </w:r>
      <w:r>
        <w:rPr>
          <w:rFonts w:hint="eastAsia" w:ascii="仿宋" w:hAnsi="仿宋" w:eastAsia="仿宋" w:cs="仿宋"/>
          <w:color w:val="auto"/>
          <w:sz w:val="24"/>
          <w:szCs w:val="24"/>
          <w:highlight w:val="none"/>
        </w:rPr>
        <w:t>当监理人无正当理由未履行本合同约定的义务时，委托人应通知监理人限期改正。若委托人在监理人接到通知后的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天内未收到监理人书面形式的合理解释，则可在</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天内发出解除本合同的通知，自通知到达监理人时本合同解除。委托人应将监理与相关服务</w:t>
      </w:r>
      <w:r>
        <w:rPr>
          <w:rFonts w:hint="eastAsia" w:ascii="仿宋" w:hAnsi="仿宋" w:eastAsia="仿宋" w:cs="仿宋"/>
          <w:color w:val="auto"/>
          <w:kern w:val="0"/>
          <w:sz w:val="24"/>
          <w:szCs w:val="24"/>
          <w:highlight w:val="none"/>
        </w:rPr>
        <w:t>的</w:t>
      </w:r>
      <w:r>
        <w:rPr>
          <w:rFonts w:hint="eastAsia" w:ascii="仿宋" w:hAnsi="仿宋" w:eastAsia="仿宋" w:cs="仿宋"/>
          <w:color w:val="auto"/>
          <w:sz w:val="24"/>
          <w:szCs w:val="24"/>
          <w:highlight w:val="none"/>
        </w:rPr>
        <w:t>酬金支付至</w:t>
      </w:r>
      <w:r>
        <w:rPr>
          <w:rFonts w:hint="eastAsia" w:ascii="仿宋" w:hAnsi="仿宋" w:eastAsia="仿宋" w:cs="仿宋"/>
          <w:color w:val="auto"/>
          <w:kern w:val="0"/>
          <w:sz w:val="24"/>
          <w:szCs w:val="24"/>
          <w:highlight w:val="none"/>
        </w:rPr>
        <w:t>限期改正通知到达监理人之日</w:t>
      </w:r>
      <w:r>
        <w:rPr>
          <w:rFonts w:hint="eastAsia" w:ascii="仿宋" w:hAnsi="仿宋" w:eastAsia="仿宋" w:cs="仿宋"/>
          <w:color w:val="auto"/>
          <w:sz w:val="24"/>
          <w:szCs w:val="24"/>
          <w:highlight w:val="none"/>
        </w:rPr>
        <w:t>，同时监理人应承担第</w:t>
      </w:r>
      <w:r>
        <w:rPr>
          <w:rFonts w:ascii="仿宋" w:hAnsi="仿宋" w:eastAsia="仿宋" w:cs="仿宋"/>
          <w:color w:val="auto"/>
          <w:sz w:val="24"/>
          <w:szCs w:val="24"/>
          <w:highlight w:val="none"/>
        </w:rPr>
        <w:t>4.1</w:t>
      </w:r>
      <w:r>
        <w:rPr>
          <w:rFonts w:hint="eastAsia" w:ascii="仿宋" w:hAnsi="仿宋" w:eastAsia="仿宋" w:cs="仿宋"/>
          <w:color w:val="auto"/>
          <w:sz w:val="24"/>
          <w:szCs w:val="24"/>
          <w:highlight w:val="none"/>
        </w:rPr>
        <w:t>款约定的责任。</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6.3.4 </w:t>
      </w:r>
      <w:r>
        <w:rPr>
          <w:rFonts w:hint="eastAsia" w:ascii="仿宋" w:hAnsi="仿宋" w:eastAsia="仿宋" w:cs="仿宋"/>
          <w:color w:val="auto"/>
          <w:sz w:val="24"/>
          <w:szCs w:val="24"/>
          <w:highlight w:val="none"/>
        </w:rPr>
        <w:t>监理人在专用条款</w:t>
      </w:r>
      <w:r>
        <w:rPr>
          <w:rFonts w:ascii="仿宋" w:hAnsi="仿宋" w:eastAsia="仿宋" w:cs="仿宋"/>
          <w:color w:val="auto"/>
          <w:sz w:val="24"/>
          <w:szCs w:val="24"/>
          <w:highlight w:val="none"/>
        </w:rPr>
        <w:t>5.3</w:t>
      </w:r>
      <w:r>
        <w:rPr>
          <w:rFonts w:hint="eastAsia" w:ascii="仿宋" w:hAnsi="仿宋" w:eastAsia="仿宋" w:cs="仿宋"/>
          <w:color w:val="auto"/>
          <w:sz w:val="24"/>
          <w:szCs w:val="24"/>
          <w:highlight w:val="none"/>
        </w:rPr>
        <w:t>中约定的支付之日起</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天后仍未收到委托人按本合同约定应付的款项，可向委托人发出催付通知。委托人接到通知</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天后仍未支付或未提出监理人可以接受的延期支付安排，监理人可向委托人发出暂停工作的通知并可自行暂停全部或部分工作。暂停工作后</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天内监理人仍未获得委托人应付酬金或委托人的合理答复，监理人可向委托人发出解除本合同的通知，自通知到达委托人时本合同解除。委托人应承担第</w:t>
      </w:r>
      <w:r>
        <w:rPr>
          <w:rFonts w:ascii="仿宋" w:hAnsi="仿宋" w:eastAsia="仿宋" w:cs="仿宋"/>
          <w:color w:val="auto"/>
          <w:sz w:val="24"/>
          <w:szCs w:val="24"/>
          <w:highlight w:val="none"/>
        </w:rPr>
        <w:t>4.2.3</w:t>
      </w:r>
      <w:r>
        <w:rPr>
          <w:rFonts w:hint="eastAsia" w:ascii="仿宋" w:hAnsi="仿宋" w:eastAsia="仿宋" w:cs="仿宋"/>
          <w:color w:val="auto"/>
          <w:sz w:val="24"/>
          <w:szCs w:val="24"/>
          <w:highlight w:val="none"/>
        </w:rPr>
        <w:t>款约定的责任。</w:t>
      </w:r>
    </w:p>
    <w:p>
      <w:pPr>
        <w:snapToGrid w:val="0"/>
        <w:spacing w:line="640" w:lineRule="exact"/>
        <w:ind w:firstLine="480" w:firstLineChars="200"/>
        <w:rPr>
          <w:rFonts w:ascii="仿宋" w:hAnsi="仿宋" w:eastAsia="仿宋"/>
          <w:color w:val="auto"/>
          <w:kern w:val="0"/>
          <w:sz w:val="24"/>
          <w:szCs w:val="24"/>
          <w:highlight w:val="none"/>
        </w:rPr>
      </w:pPr>
      <w:r>
        <w:rPr>
          <w:rFonts w:ascii="仿宋" w:hAnsi="仿宋" w:eastAsia="仿宋" w:cs="仿宋"/>
          <w:color w:val="auto"/>
          <w:sz w:val="24"/>
          <w:szCs w:val="24"/>
          <w:highlight w:val="none"/>
        </w:rPr>
        <w:t xml:space="preserve">6.3.5 </w:t>
      </w:r>
      <w:r>
        <w:rPr>
          <w:rFonts w:hint="eastAsia" w:ascii="仿宋" w:hAnsi="仿宋" w:eastAsia="仿宋" w:cs="仿宋"/>
          <w:color w:val="auto"/>
          <w:sz w:val="24"/>
          <w:szCs w:val="24"/>
          <w:highlight w:val="none"/>
        </w:rPr>
        <w:t>因不可抗力致使本合同部分或全部不能履行时，一方应立即通知另一方，可暂停或解除本合同。</w:t>
      </w:r>
    </w:p>
    <w:p>
      <w:pPr>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6.3.6 </w:t>
      </w:r>
      <w:r>
        <w:rPr>
          <w:rFonts w:hint="eastAsia" w:ascii="仿宋" w:hAnsi="仿宋" w:eastAsia="仿宋" w:cs="仿宋"/>
          <w:color w:val="auto"/>
          <w:sz w:val="24"/>
          <w:szCs w:val="24"/>
          <w:highlight w:val="none"/>
        </w:rPr>
        <w:t>本合同解除后，本合同约定的有关结算、清理、争议解决方式的条件仍然有效。</w:t>
      </w:r>
    </w:p>
    <w:p>
      <w:pPr>
        <w:spacing w:line="640" w:lineRule="exact"/>
        <w:outlineLvl w:val="2"/>
        <w:rPr>
          <w:rFonts w:ascii="仿宋" w:hAnsi="仿宋" w:eastAsia="仿宋"/>
          <w:color w:val="auto"/>
          <w:sz w:val="24"/>
          <w:szCs w:val="24"/>
          <w:highlight w:val="none"/>
        </w:rPr>
      </w:pPr>
      <w:bookmarkStart w:id="65" w:name="_Toc71"/>
      <w:r>
        <w:rPr>
          <w:rFonts w:ascii="仿宋" w:hAnsi="仿宋" w:eastAsia="仿宋" w:cs="仿宋"/>
          <w:color w:val="auto"/>
          <w:sz w:val="24"/>
          <w:szCs w:val="24"/>
          <w:highlight w:val="none"/>
        </w:rPr>
        <w:t xml:space="preserve">6.4 </w:t>
      </w:r>
      <w:r>
        <w:rPr>
          <w:rFonts w:hint="eastAsia" w:ascii="仿宋" w:hAnsi="仿宋" w:eastAsia="仿宋" w:cs="仿宋"/>
          <w:color w:val="auto"/>
          <w:sz w:val="24"/>
          <w:szCs w:val="24"/>
          <w:highlight w:val="none"/>
        </w:rPr>
        <w:t>终止</w:t>
      </w:r>
      <w:bookmarkEnd w:id="65"/>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以下条件全部满足时，本合同即告终止：</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）监理人完成本合同约定的全部工作；</w:t>
      </w:r>
    </w:p>
    <w:p>
      <w:pPr>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）委托人与监理人结清并支付全部酬金。</w:t>
      </w:r>
    </w:p>
    <w:p>
      <w:pPr>
        <w:spacing w:line="640" w:lineRule="exact"/>
        <w:outlineLvl w:val="1"/>
        <w:rPr>
          <w:rFonts w:ascii="仿宋" w:hAnsi="仿宋" w:eastAsia="仿宋"/>
          <w:b/>
          <w:bCs/>
          <w:color w:val="auto"/>
          <w:sz w:val="24"/>
          <w:szCs w:val="24"/>
          <w:highlight w:val="none"/>
        </w:rPr>
      </w:pPr>
      <w:bookmarkStart w:id="66" w:name="_Toc29031"/>
      <w:r>
        <w:rPr>
          <w:rFonts w:ascii="仿宋" w:hAnsi="仿宋" w:eastAsia="仿宋" w:cs="仿宋"/>
          <w:b/>
          <w:bCs/>
          <w:color w:val="auto"/>
          <w:sz w:val="24"/>
          <w:szCs w:val="24"/>
          <w:highlight w:val="none"/>
        </w:rPr>
        <w:t xml:space="preserve">7. </w:t>
      </w:r>
      <w:r>
        <w:rPr>
          <w:rFonts w:hint="eastAsia" w:ascii="仿宋" w:hAnsi="仿宋" w:eastAsia="仿宋" w:cs="仿宋"/>
          <w:b/>
          <w:bCs/>
          <w:color w:val="auto"/>
          <w:sz w:val="24"/>
          <w:szCs w:val="24"/>
          <w:highlight w:val="none"/>
        </w:rPr>
        <w:t>争议解决</w:t>
      </w:r>
      <w:bookmarkEnd w:id="66"/>
    </w:p>
    <w:p>
      <w:pPr>
        <w:spacing w:line="640" w:lineRule="exact"/>
        <w:outlineLvl w:val="2"/>
        <w:rPr>
          <w:rFonts w:ascii="仿宋" w:hAnsi="仿宋" w:eastAsia="仿宋"/>
          <w:color w:val="auto"/>
          <w:sz w:val="24"/>
          <w:szCs w:val="24"/>
          <w:highlight w:val="none"/>
        </w:rPr>
      </w:pPr>
      <w:bookmarkStart w:id="67" w:name="_Toc22177"/>
      <w:r>
        <w:rPr>
          <w:rFonts w:ascii="仿宋" w:hAnsi="仿宋" w:eastAsia="仿宋" w:cs="仿宋"/>
          <w:color w:val="auto"/>
          <w:sz w:val="24"/>
          <w:szCs w:val="24"/>
          <w:highlight w:val="none"/>
        </w:rPr>
        <w:t>7.1</w:t>
      </w:r>
      <w:r>
        <w:rPr>
          <w:rFonts w:hint="eastAsia" w:ascii="仿宋" w:hAnsi="仿宋" w:eastAsia="仿宋" w:cs="仿宋"/>
          <w:color w:val="auto"/>
          <w:sz w:val="24"/>
          <w:szCs w:val="24"/>
          <w:highlight w:val="none"/>
        </w:rPr>
        <w:t>协商</w:t>
      </w:r>
      <w:bookmarkEnd w:id="67"/>
    </w:p>
    <w:p>
      <w:pPr>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双方应本着诚信原则协商解决彼此间的争议。</w:t>
      </w:r>
    </w:p>
    <w:p>
      <w:pPr>
        <w:spacing w:line="640" w:lineRule="exact"/>
        <w:outlineLvl w:val="2"/>
        <w:rPr>
          <w:rFonts w:ascii="仿宋" w:hAnsi="仿宋" w:eastAsia="仿宋"/>
          <w:color w:val="auto"/>
          <w:sz w:val="24"/>
          <w:szCs w:val="24"/>
          <w:highlight w:val="none"/>
        </w:rPr>
      </w:pPr>
      <w:bookmarkStart w:id="68" w:name="_Toc23891"/>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调解</w:t>
      </w:r>
      <w:bookmarkEnd w:id="68"/>
    </w:p>
    <w:p>
      <w:pPr>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如果双方不能在</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天内或双方商定的其他时间内解决本合同争议，可以将其提交给专用条款约定的或事后达成协议的调解人进行调解。</w:t>
      </w:r>
    </w:p>
    <w:p>
      <w:pPr>
        <w:spacing w:line="640" w:lineRule="exact"/>
        <w:outlineLvl w:val="2"/>
        <w:rPr>
          <w:rFonts w:ascii="仿宋" w:hAnsi="仿宋" w:eastAsia="仿宋"/>
          <w:color w:val="auto"/>
          <w:sz w:val="24"/>
          <w:szCs w:val="24"/>
          <w:highlight w:val="none"/>
        </w:rPr>
      </w:pPr>
      <w:bookmarkStart w:id="69" w:name="_Toc17803"/>
      <w:r>
        <w:rPr>
          <w:rFonts w:ascii="仿宋" w:hAnsi="仿宋" w:eastAsia="仿宋" w:cs="仿宋"/>
          <w:color w:val="auto"/>
          <w:sz w:val="24"/>
          <w:szCs w:val="24"/>
          <w:highlight w:val="none"/>
        </w:rPr>
        <w:t>7.3</w:t>
      </w:r>
      <w:r>
        <w:rPr>
          <w:rFonts w:hint="eastAsia" w:ascii="仿宋" w:hAnsi="仿宋" w:eastAsia="仿宋" w:cs="仿宋"/>
          <w:color w:val="auto"/>
          <w:sz w:val="24"/>
          <w:szCs w:val="24"/>
          <w:highlight w:val="none"/>
        </w:rPr>
        <w:t>仲裁或诉讼</w:t>
      </w:r>
      <w:bookmarkEnd w:id="69"/>
    </w:p>
    <w:p>
      <w:pPr>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双方均有权不经调解直接向专用条款约定的仲裁机构申请仲裁或向有管辖权的人民法院提起诉讼。</w:t>
      </w:r>
    </w:p>
    <w:p>
      <w:pPr>
        <w:spacing w:line="640" w:lineRule="exact"/>
        <w:outlineLvl w:val="1"/>
        <w:rPr>
          <w:rFonts w:ascii="仿宋" w:hAnsi="仿宋" w:eastAsia="仿宋"/>
          <w:b/>
          <w:bCs/>
          <w:color w:val="auto"/>
          <w:sz w:val="24"/>
          <w:szCs w:val="24"/>
          <w:highlight w:val="none"/>
        </w:rPr>
      </w:pPr>
      <w:bookmarkStart w:id="70" w:name="_Toc31148"/>
      <w:r>
        <w:rPr>
          <w:rFonts w:ascii="仿宋" w:hAnsi="仿宋" w:eastAsia="仿宋" w:cs="仿宋"/>
          <w:b/>
          <w:bCs/>
          <w:color w:val="auto"/>
          <w:sz w:val="24"/>
          <w:szCs w:val="24"/>
          <w:highlight w:val="none"/>
        </w:rPr>
        <w:t xml:space="preserve">8. </w:t>
      </w:r>
      <w:r>
        <w:rPr>
          <w:rFonts w:hint="eastAsia" w:ascii="仿宋" w:hAnsi="仿宋" w:eastAsia="仿宋" w:cs="仿宋"/>
          <w:b/>
          <w:bCs/>
          <w:color w:val="auto"/>
          <w:sz w:val="24"/>
          <w:szCs w:val="24"/>
          <w:highlight w:val="none"/>
        </w:rPr>
        <w:t>其他</w:t>
      </w:r>
      <w:bookmarkEnd w:id="70"/>
    </w:p>
    <w:p>
      <w:pPr>
        <w:spacing w:line="640" w:lineRule="exact"/>
        <w:outlineLvl w:val="2"/>
        <w:rPr>
          <w:rFonts w:ascii="仿宋" w:hAnsi="仿宋" w:eastAsia="仿宋"/>
          <w:color w:val="auto"/>
          <w:sz w:val="24"/>
          <w:szCs w:val="24"/>
          <w:highlight w:val="none"/>
        </w:rPr>
      </w:pPr>
      <w:bookmarkStart w:id="71" w:name="_Toc12763"/>
      <w:r>
        <w:rPr>
          <w:rFonts w:ascii="仿宋" w:hAnsi="仿宋" w:eastAsia="仿宋" w:cs="仿宋"/>
          <w:color w:val="auto"/>
          <w:sz w:val="24"/>
          <w:szCs w:val="24"/>
          <w:highlight w:val="none"/>
        </w:rPr>
        <w:t xml:space="preserve">8.1 </w:t>
      </w:r>
      <w:r>
        <w:rPr>
          <w:rFonts w:hint="eastAsia" w:ascii="仿宋" w:hAnsi="仿宋" w:eastAsia="仿宋" w:cs="仿宋"/>
          <w:color w:val="auto"/>
          <w:sz w:val="24"/>
          <w:szCs w:val="24"/>
          <w:highlight w:val="none"/>
        </w:rPr>
        <w:t>外出考察费用</w:t>
      </w:r>
      <w:bookmarkEnd w:id="71"/>
    </w:p>
    <w:p>
      <w:pPr>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经委托人同意，监理人员外出考察发生的费用由委托人审核后支付。</w:t>
      </w:r>
    </w:p>
    <w:p>
      <w:pPr>
        <w:spacing w:line="640" w:lineRule="exact"/>
        <w:outlineLvl w:val="2"/>
        <w:rPr>
          <w:rFonts w:ascii="仿宋" w:hAnsi="仿宋" w:eastAsia="仿宋"/>
          <w:color w:val="auto"/>
          <w:sz w:val="24"/>
          <w:szCs w:val="24"/>
          <w:highlight w:val="none"/>
        </w:rPr>
      </w:pPr>
      <w:bookmarkStart w:id="72" w:name="_Toc31432"/>
      <w:r>
        <w:rPr>
          <w:rFonts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rPr>
        <w:t>检测费用</w:t>
      </w:r>
      <w:bookmarkEnd w:id="72"/>
    </w:p>
    <w:p>
      <w:pPr>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委托人要求监理人进行的材料和设备检测所发生的费用，由委托人支付，支付时间在专用条款中约定。</w:t>
      </w:r>
    </w:p>
    <w:p>
      <w:pPr>
        <w:spacing w:line="640" w:lineRule="exact"/>
        <w:outlineLvl w:val="2"/>
        <w:rPr>
          <w:rFonts w:ascii="仿宋" w:hAnsi="仿宋" w:eastAsia="仿宋"/>
          <w:color w:val="auto"/>
          <w:sz w:val="24"/>
          <w:szCs w:val="24"/>
          <w:highlight w:val="none"/>
        </w:rPr>
      </w:pPr>
      <w:bookmarkStart w:id="73" w:name="_Toc15876"/>
      <w:r>
        <w:rPr>
          <w:rFonts w:ascii="仿宋" w:hAnsi="仿宋" w:eastAsia="仿宋" w:cs="仿宋"/>
          <w:color w:val="auto"/>
          <w:sz w:val="24"/>
          <w:szCs w:val="24"/>
          <w:highlight w:val="none"/>
        </w:rPr>
        <w:t xml:space="preserve">8.3 </w:t>
      </w:r>
      <w:r>
        <w:rPr>
          <w:rFonts w:hint="eastAsia" w:ascii="仿宋" w:hAnsi="仿宋" w:eastAsia="仿宋" w:cs="仿宋"/>
          <w:color w:val="auto"/>
          <w:sz w:val="24"/>
          <w:szCs w:val="24"/>
          <w:highlight w:val="none"/>
        </w:rPr>
        <w:t>咨询费用</w:t>
      </w:r>
      <w:bookmarkEnd w:id="73"/>
    </w:p>
    <w:p>
      <w:pPr>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经委托人同意，根据工程需要由监理人组织的相关咨询论证会以及聘请相关专家等发生的费用由委托人支付，支付时间在专用条款中约定。</w:t>
      </w:r>
    </w:p>
    <w:p>
      <w:pPr>
        <w:spacing w:line="640" w:lineRule="exact"/>
        <w:outlineLvl w:val="2"/>
        <w:rPr>
          <w:rFonts w:ascii="仿宋" w:hAnsi="仿宋" w:eastAsia="仿宋"/>
          <w:color w:val="auto"/>
          <w:sz w:val="24"/>
          <w:szCs w:val="24"/>
          <w:highlight w:val="none"/>
        </w:rPr>
      </w:pPr>
      <w:bookmarkStart w:id="74" w:name="_Toc761"/>
      <w:r>
        <w:rPr>
          <w:rFonts w:ascii="仿宋" w:hAnsi="仿宋" w:eastAsia="仿宋" w:cs="仿宋"/>
          <w:color w:val="auto"/>
          <w:sz w:val="24"/>
          <w:szCs w:val="24"/>
          <w:highlight w:val="none"/>
        </w:rPr>
        <w:t xml:space="preserve">8.4 </w:t>
      </w:r>
      <w:r>
        <w:rPr>
          <w:rFonts w:hint="eastAsia" w:ascii="仿宋" w:hAnsi="仿宋" w:eastAsia="仿宋" w:cs="仿宋"/>
          <w:color w:val="auto"/>
          <w:sz w:val="24"/>
          <w:szCs w:val="24"/>
          <w:highlight w:val="none"/>
        </w:rPr>
        <w:t>奖励</w:t>
      </w:r>
      <w:bookmarkEnd w:id="74"/>
    </w:p>
    <w:p>
      <w:pPr>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监理人在服务过程中提出的合理化建议，使委托人获得经济效益的，双方在专用条款中约定奖励金额的确定方法。奖励金额在合理化建议被采纳后，与最近一期的正常工作酬金同期支付。</w:t>
      </w:r>
    </w:p>
    <w:p>
      <w:pPr>
        <w:spacing w:line="640" w:lineRule="exact"/>
        <w:outlineLvl w:val="2"/>
        <w:rPr>
          <w:rFonts w:ascii="仿宋" w:hAnsi="仿宋" w:eastAsia="仿宋"/>
          <w:color w:val="auto"/>
          <w:sz w:val="24"/>
          <w:szCs w:val="24"/>
          <w:highlight w:val="none"/>
        </w:rPr>
      </w:pPr>
      <w:bookmarkStart w:id="75" w:name="_Toc3598"/>
      <w:r>
        <w:rPr>
          <w:rFonts w:ascii="仿宋" w:hAnsi="仿宋" w:eastAsia="仿宋" w:cs="仿宋"/>
          <w:color w:val="auto"/>
          <w:sz w:val="24"/>
          <w:szCs w:val="24"/>
          <w:highlight w:val="none"/>
        </w:rPr>
        <w:t xml:space="preserve">8.5 </w:t>
      </w:r>
      <w:r>
        <w:rPr>
          <w:rFonts w:hint="eastAsia" w:ascii="仿宋" w:hAnsi="仿宋" w:eastAsia="仿宋" w:cs="仿宋"/>
          <w:color w:val="auto"/>
          <w:sz w:val="24"/>
          <w:szCs w:val="24"/>
          <w:highlight w:val="none"/>
        </w:rPr>
        <w:t>守法诚信</w:t>
      </w:r>
      <w:bookmarkEnd w:id="75"/>
    </w:p>
    <w:p>
      <w:pPr>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监理人及其工作人员不得从与实施工程有关的第三方处获得任何经济利益。</w:t>
      </w:r>
    </w:p>
    <w:p>
      <w:pPr>
        <w:spacing w:line="640" w:lineRule="exact"/>
        <w:outlineLvl w:val="2"/>
        <w:rPr>
          <w:rFonts w:ascii="仿宋" w:hAnsi="仿宋" w:eastAsia="仿宋"/>
          <w:color w:val="auto"/>
          <w:sz w:val="24"/>
          <w:szCs w:val="24"/>
          <w:highlight w:val="none"/>
        </w:rPr>
      </w:pPr>
      <w:bookmarkStart w:id="76" w:name="_Toc3358"/>
      <w:r>
        <w:rPr>
          <w:rFonts w:ascii="仿宋" w:hAnsi="仿宋" w:eastAsia="仿宋" w:cs="仿宋"/>
          <w:color w:val="auto"/>
          <w:sz w:val="24"/>
          <w:szCs w:val="24"/>
          <w:highlight w:val="none"/>
        </w:rPr>
        <w:t xml:space="preserve">8.6 </w:t>
      </w:r>
      <w:r>
        <w:rPr>
          <w:rFonts w:hint="eastAsia" w:ascii="仿宋" w:hAnsi="仿宋" w:eastAsia="仿宋" w:cs="仿宋"/>
          <w:color w:val="auto"/>
          <w:sz w:val="24"/>
          <w:szCs w:val="24"/>
          <w:highlight w:val="none"/>
        </w:rPr>
        <w:t>保密</w:t>
      </w:r>
      <w:bookmarkEnd w:id="76"/>
    </w:p>
    <w:p>
      <w:pPr>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双方不得泄露对方申明的保密资料，亦不得泄露与实施工程有关的第三方所提供的保密资料，保密事项在专用条款中约定。</w:t>
      </w:r>
    </w:p>
    <w:p>
      <w:pPr>
        <w:spacing w:line="640" w:lineRule="exact"/>
        <w:outlineLvl w:val="2"/>
        <w:rPr>
          <w:rFonts w:ascii="仿宋" w:hAnsi="仿宋" w:eastAsia="仿宋"/>
          <w:color w:val="auto"/>
          <w:sz w:val="24"/>
          <w:szCs w:val="24"/>
          <w:highlight w:val="none"/>
        </w:rPr>
      </w:pPr>
      <w:bookmarkStart w:id="77" w:name="_Toc25716"/>
      <w:r>
        <w:rPr>
          <w:rFonts w:ascii="仿宋" w:hAnsi="仿宋" w:eastAsia="仿宋" w:cs="仿宋"/>
          <w:color w:val="auto"/>
          <w:sz w:val="24"/>
          <w:szCs w:val="24"/>
          <w:highlight w:val="none"/>
        </w:rPr>
        <w:t xml:space="preserve">8.7 </w:t>
      </w:r>
      <w:r>
        <w:rPr>
          <w:rFonts w:hint="eastAsia" w:ascii="仿宋" w:hAnsi="仿宋" w:eastAsia="仿宋" w:cs="仿宋"/>
          <w:color w:val="auto"/>
          <w:sz w:val="24"/>
          <w:szCs w:val="24"/>
          <w:highlight w:val="none"/>
        </w:rPr>
        <w:t>通知</w:t>
      </w:r>
      <w:bookmarkEnd w:id="77"/>
    </w:p>
    <w:p>
      <w:pPr>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本合同涉及的通知均应当采用书面形式，并在送达对方时生效，收件人应书面签收。</w:t>
      </w:r>
    </w:p>
    <w:p>
      <w:pPr>
        <w:spacing w:line="640" w:lineRule="exact"/>
        <w:outlineLvl w:val="2"/>
        <w:rPr>
          <w:rFonts w:ascii="仿宋" w:hAnsi="仿宋" w:eastAsia="仿宋"/>
          <w:color w:val="auto"/>
          <w:sz w:val="24"/>
          <w:szCs w:val="24"/>
          <w:highlight w:val="none"/>
        </w:rPr>
      </w:pPr>
      <w:bookmarkStart w:id="78" w:name="_Toc147"/>
      <w:r>
        <w:rPr>
          <w:rFonts w:ascii="仿宋" w:hAnsi="仿宋" w:eastAsia="仿宋" w:cs="仿宋"/>
          <w:color w:val="auto"/>
          <w:sz w:val="24"/>
          <w:szCs w:val="24"/>
          <w:highlight w:val="none"/>
        </w:rPr>
        <w:t xml:space="preserve">8.8 </w:t>
      </w:r>
      <w:r>
        <w:rPr>
          <w:rFonts w:hint="eastAsia" w:ascii="仿宋" w:hAnsi="仿宋" w:eastAsia="仿宋" w:cs="仿宋"/>
          <w:color w:val="auto"/>
          <w:sz w:val="24"/>
          <w:szCs w:val="24"/>
          <w:highlight w:val="none"/>
        </w:rPr>
        <w:t>著作权</w:t>
      </w:r>
      <w:bookmarkEnd w:id="78"/>
    </w:p>
    <w:p>
      <w:pPr>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合同涉及的著作权的归属由双方在专用条款另行约定。</w:t>
      </w:r>
    </w:p>
    <w:p>
      <w:pPr>
        <w:spacing w:line="640" w:lineRule="exact"/>
        <w:outlineLvl w:val="2"/>
        <w:rPr>
          <w:rFonts w:ascii="仿宋" w:hAnsi="仿宋" w:eastAsia="仿宋"/>
          <w:color w:val="auto"/>
          <w:sz w:val="24"/>
          <w:szCs w:val="24"/>
          <w:highlight w:val="none"/>
        </w:rPr>
      </w:pPr>
      <w:bookmarkStart w:id="79" w:name="_Toc9916"/>
      <w:r>
        <w:rPr>
          <w:rFonts w:ascii="仿宋" w:hAnsi="仿宋" w:eastAsia="仿宋" w:cs="仿宋"/>
          <w:color w:val="auto"/>
          <w:sz w:val="24"/>
          <w:szCs w:val="24"/>
          <w:highlight w:val="none"/>
        </w:rPr>
        <w:t>8.9</w:t>
      </w:r>
      <w:r>
        <w:rPr>
          <w:rFonts w:hint="eastAsia" w:ascii="仿宋" w:hAnsi="仿宋" w:eastAsia="仿宋" w:cs="仿宋"/>
          <w:color w:val="auto"/>
          <w:sz w:val="24"/>
          <w:szCs w:val="24"/>
          <w:highlight w:val="none"/>
        </w:rPr>
        <w:t>工程获奖奖励</w:t>
      </w:r>
      <w:bookmarkEnd w:id="79"/>
    </w:p>
    <w:p>
      <w:pPr>
        <w:snapToGrid w:val="0"/>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根据工程获得的不同级别的质量或管理奖项，按次数给予监理人一定的奖励。</w:t>
      </w:r>
    </w:p>
    <w:p>
      <w:pPr>
        <w:snapToGrid w:val="0"/>
        <w:spacing w:line="640" w:lineRule="exact"/>
        <w:rPr>
          <w:rFonts w:hint="eastAsia" w:ascii="仿宋" w:hAnsi="仿宋" w:eastAsia="仿宋" w:cs="仿宋"/>
          <w:color w:val="auto"/>
          <w:sz w:val="24"/>
          <w:szCs w:val="24"/>
          <w:highlight w:val="none"/>
        </w:rPr>
      </w:pPr>
    </w:p>
    <w:p>
      <w:pPr>
        <w:snapToGrid w:val="0"/>
        <w:spacing w:line="640" w:lineRule="exact"/>
        <w:rPr>
          <w:rFonts w:hint="eastAsia" w:ascii="仿宋" w:hAnsi="仿宋" w:eastAsia="仿宋" w:cs="仿宋"/>
          <w:color w:val="auto"/>
          <w:sz w:val="24"/>
          <w:szCs w:val="24"/>
          <w:highlight w:val="none"/>
        </w:rPr>
      </w:pPr>
    </w:p>
    <w:p>
      <w:pPr>
        <w:snapToGrid w:val="0"/>
        <w:spacing w:line="640" w:lineRule="exact"/>
        <w:rPr>
          <w:rFonts w:hint="eastAsia" w:ascii="仿宋" w:hAnsi="仿宋" w:eastAsia="仿宋" w:cs="仿宋"/>
          <w:color w:val="auto"/>
          <w:sz w:val="24"/>
          <w:szCs w:val="24"/>
          <w:highlight w:val="none"/>
        </w:rPr>
      </w:pPr>
    </w:p>
    <w:p>
      <w:pPr>
        <w:snapToGrid w:val="0"/>
        <w:spacing w:line="640" w:lineRule="exact"/>
        <w:rPr>
          <w:rFonts w:hint="eastAsia" w:ascii="仿宋" w:hAnsi="仿宋" w:eastAsia="仿宋" w:cs="仿宋"/>
          <w:color w:val="auto"/>
          <w:sz w:val="24"/>
          <w:szCs w:val="24"/>
          <w:highlight w:val="none"/>
        </w:rPr>
      </w:pPr>
    </w:p>
    <w:p>
      <w:pPr>
        <w:snapToGrid w:val="0"/>
        <w:spacing w:line="640" w:lineRule="exact"/>
        <w:rPr>
          <w:rFonts w:hint="eastAsia" w:ascii="仿宋" w:hAnsi="仿宋" w:eastAsia="仿宋" w:cs="仿宋"/>
          <w:color w:val="auto"/>
          <w:sz w:val="24"/>
          <w:szCs w:val="24"/>
          <w:highlight w:val="none"/>
        </w:rPr>
      </w:pPr>
    </w:p>
    <w:p>
      <w:pPr>
        <w:snapToGrid w:val="0"/>
        <w:spacing w:line="640" w:lineRule="exact"/>
        <w:rPr>
          <w:rFonts w:hint="eastAsia" w:ascii="仿宋" w:hAnsi="仿宋" w:eastAsia="仿宋" w:cs="仿宋"/>
          <w:color w:val="auto"/>
          <w:sz w:val="24"/>
          <w:szCs w:val="24"/>
          <w:highlight w:val="none"/>
        </w:rPr>
      </w:pPr>
    </w:p>
    <w:p>
      <w:pPr>
        <w:snapToGrid w:val="0"/>
        <w:spacing w:line="640" w:lineRule="exact"/>
        <w:rPr>
          <w:rFonts w:hint="eastAsia" w:ascii="仿宋" w:hAnsi="仿宋" w:eastAsia="仿宋" w:cs="仿宋"/>
          <w:color w:val="auto"/>
          <w:sz w:val="24"/>
          <w:szCs w:val="24"/>
          <w:highlight w:val="none"/>
        </w:rPr>
      </w:pPr>
    </w:p>
    <w:p>
      <w:pPr>
        <w:snapToGrid w:val="0"/>
        <w:spacing w:line="640" w:lineRule="exact"/>
        <w:rPr>
          <w:rFonts w:hint="eastAsia" w:ascii="仿宋" w:hAnsi="仿宋" w:eastAsia="仿宋" w:cs="仿宋"/>
          <w:color w:val="auto"/>
          <w:sz w:val="24"/>
          <w:szCs w:val="24"/>
          <w:highlight w:val="none"/>
        </w:rPr>
      </w:pPr>
    </w:p>
    <w:p>
      <w:pPr>
        <w:snapToGrid w:val="0"/>
        <w:spacing w:line="640" w:lineRule="exact"/>
        <w:rPr>
          <w:rFonts w:hint="eastAsia" w:ascii="仿宋" w:hAnsi="仿宋" w:eastAsia="仿宋" w:cs="仿宋"/>
          <w:color w:val="auto"/>
          <w:sz w:val="24"/>
          <w:szCs w:val="24"/>
          <w:highlight w:val="none"/>
        </w:rPr>
      </w:pPr>
    </w:p>
    <w:p>
      <w:pPr>
        <w:snapToGrid w:val="0"/>
        <w:spacing w:line="640" w:lineRule="exact"/>
        <w:rPr>
          <w:rFonts w:hint="eastAsia" w:ascii="仿宋" w:hAnsi="仿宋" w:eastAsia="仿宋" w:cs="仿宋"/>
          <w:color w:val="auto"/>
          <w:sz w:val="24"/>
          <w:szCs w:val="24"/>
          <w:highlight w:val="none"/>
        </w:rPr>
      </w:pPr>
    </w:p>
    <w:p>
      <w:pPr>
        <w:snapToGrid w:val="0"/>
        <w:spacing w:line="640" w:lineRule="exact"/>
        <w:rPr>
          <w:rFonts w:hint="eastAsia" w:ascii="仿宋" w:hAnsi="仿宋" w:eastAsia="仿宋" w:cs="仿宋"/>
          <w:color w:val="auto"/>
          <w:sz w:val="24"/>
          <w:szCs w:val="24"/>
          <w:highlight w:val="none"/>
        </w:rPr>
      </w:pPr>
    </w:p>
    <w:p>
      <w:pPr>
        <w:snapToGrid w:val="0"/>
        <w:spacing w:line="640" w:lineRule="exact"/>
        <w:rPr>
          <w:rFonts w:hint="eastAsia" w:ascii="仿宋" w:hAnsi="仿宋" w:eastAsia="仿宋" w:cs="仿宋"/>
          <w:color w:val="auto"/>
          <w:sz w:val="24"/>
          <w:szCs w:val="24"/>
          <w:highlight w:val="none"/>
        </w:rPr>
      </w:pPr>
    </w:p>
    <w:p>
      <w:pPr>
        <w:pStyle w:val="3"/>
        <w:tabs>
          <w:tab w:val="left" w:pos="420"/>
        </w:tabs>
        <w:ind w:left="433" w:leftChars="206" w:firstLine="177" w:firstLineChars="49"/>
        <w:jc w:val="center"/>
        <w:rPr>
          <w:rFonts w:hAnsi="宋体"/>
          <w:b/>
          <w:color w:val="auto"/>
          <w:szCs w:val="36"/>
          <w:highlight w:val="none"/>
        </w:rPr>
      </w:pPr>
      <w:bookmarkStart w:id="80" w:name="_Toc25057"/>
      <w:r>
        <w:rPr>
          <w:rFonts w:hint="eastAsia" w:hAnsi="宋体"/>
          <w:b/>
          <w:color w:val="auto"/>
          <w:szCs w:val="36"/>
          <w:highlight w:val="none"/>
        </w:rPr>
        <w:t>第三部分</w:t>
      </w:r>
      <w:r>
        <w:rPr>
          <w:rFonts w:hAnsi="宋体"/>
          <w:b/>
          <w:color w:val="auto"/>
          <w:szCs w:val="36"/>
          <w:highlight w:val="none"/>
        </w:rPr>
        <w:t xml:space="preserve">  </w:t>
      </w:r>
      <w:r>
        <w:rPr>
          <w:rFonts w:hint="eastAsia" w:hAnsi="宋体"/>
          <w:b/>
          <w:color w:val="auto"/>
          <w:szCs w:val="36"/>
          <w:highlight w:val="none"/>
        </w:rPr>
        <w:t>专用条款</w:t>
      </w:r>
      <w:bookmarkEnd w:id="80"/>
    </w:p>
    <w:p>
      <w:pPr>
        <w:spacing w:line="360" w:lineRule="auto"/>
        <w:jc w:val="center"/>
        <w:rPr>
          <w:rFonts w:ascii="仿宋_GB2312" w:hAnsi="宋体" w:eastAsia="仿宋_GB2312"/>
          <w:b/>
          <w:bCs/>
          <w:color w:val="auto"/>
          <w:sz w:val="24"/>
          <w:szCs w:val="24"/>
          <w:highlight w:val="none"/>
        </w:rPr>
      </w:pPr>
    </w:p>
    <w:p>
      <w:pPr>
        <w:spacing w:line="640" w:lineRule="exact"/>
        <w:outlineLvl w:val="1"/>
        <w:rPr>
          <w:rFonts w:ascii="仿宋" w:hAnsi="仿宋" w:eastAsia="仿宋"/>
          <w:b/>
          <w:bCs/>
          <w:color w:val="auto"/>
          <w:sz w:val="24"/>
          <w:szCs w:val="24"/>
          <w:highlight w:val="none"/>
        </w:rPr>
      </w:pPr>
      <w:bookmarkStart w:id="81" w:name="_Toc4100"/>
      <w:r>
        <w:rPr>
          <w:rFonts w:ascii="仿宋" w:hAnsi="仿宋" w:eastAsia="仿宋" w:cs="仿宋"/>
          <w:b/>
          <w:bCs/>
          <w:color w:val="auto"/>
          <w:sz w:val="24"/>
          <w:szCs w:val="24"/>
          <w:highlight w:val="none"/>
        </w:rPr>
        <w:t xml:space="preserve">1. </w:t>
      </w:r>
      <w:r>
        <w:rPr>
          <w:rFonts w:hint="eastAsia" w:ascii="仿宋" w:hAnsi="仿宋" w:eastAsia="仿宋" w:cs="仿宋"/>
          <w:b/>
          <w:bCs/>
          <w:color w:val="auto"/>
          <w:sz w:val="24"/>
          <w:szCs w:val="24"/>
          <w:highlight w:val="none"/>
        </w:rPr>
        <w:t>定义与解释</w:t>
      </w:r>
      <w:bookmarkEnd w:id="81"/>
    </w:p>
    <w:p>
      <w:pPr>
        <w:spacing w:line="640" w:lineRule="exact"/>
        <w:ind w:left="210" w:leftChars="100"/>
        <w:outlineLvl w:val="2"/>
        <w:rPr>
          <w:rFonts w:ascii="仿宋" w:hAnsi="仿宋" w:eastAsia="仿宋"/>
          <w:color w:val="auto"/>
          <w:sz w:val="24"/>
          <w:szCs w:val="24"/>
          <w:highlight w:val="none"/>
        </w:rPr>
      </w:pPr>
      <w:bookmarkStart w:id="82" w:name="_Toc28054"/>
      <w:r>
        <w:rPr>
          <w:rFonts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rPr>
        <w:t>解释</w:t>
      </w:r>
      <w:bookmarkEnd w:id="82"/>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1.2.1 </w:t>
      </w:r>
      <w:r>
        <w:rPr>
          <w:rFonts w:hint="eastAsia" w:ascii="仿宋" w:hAnsi="仿宋" w:eastAsia="仿宋" w:cs="仿宋"/>
          <w:color w:val="auto"/>
          <w:sz w:val="24"/>
          <w:szCs w:val="24"/>
          <w:highlight w:val="none"/>
        </w:rPr>
        <w:t>本合同文件除使用中文外，还可用</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adjustRightInd w:val="0"/>
        <w:snapToGrid w:val="0"/>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1.2.2 </w:t>
      </w:r>
      <w:r>
        <w:rPr>
          <w:rFonts w:hint="eastAsia" w:ascii="仿宋" w:hAnsi="仿宋" w:eastAsia="仿宋" w:cs="仿宋"/>
          <w:color w:val="auto"/>
          <w:sz w:val="24"/>
          <w:szCs w:val="24"/>
          <w:highlight w:val="none"/>
        </w:rPr>
        <w:t>其他文件：</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640" w:lineRule="exact"/>
        <w:outlineLvl w:val="1"/>
        <w:rPr>
          <w:rFonts w:ascii="仿宋" w:hAnsi="仿宋" w:eastAsia="仿宋"/>
          <w:b/>
          <w:bCs/>
          <w:color w:val="auto"/>
          <w:sz w:val="24"/>
          <w:szCs w:val="24"/>
          <w:highlight w:val="none"/>
        </w:rPr>
      </w:pPr>
      <w:bookmarkStart w:id="83" w:name="_Toc18658"/>
      <w:r>
        <w:rPr>
          <w:rFonts w:ascii="仿宋" w:hAnsi="仿宋" w:eastAsia="仿宋" w:cs="仿宋"/>
          <w:b/>
          <w:bCs/>
          <w:color w:val="auto"/>
          <w:sz w:val="24"/>
          <w:szCs w:val="24"/>
          <w:highlight w:val="none"/>
        </w:rPr>
        <w:t xml:space="preserve">2. </w:t>
      </w:r>
      <w:r>
        <w:rPr>
          <w:rFonts w:hint="eastAsia" w:ascii="仿宋" w:hAnsi="仿宋" w:eastAsia="仿宋" w:cs="仿宋"/>
          <w:b/>
          <w:bCs/>
          <w:color w:val="auto"/>
          <w:sz w:val="24"/>
          <w:szCs w:val="24"/>
          <w:highlight w:val="none"/>
        </w:rPr>
        <w:t>监理人义务</w:t>
      </w:r>
      <w:bookmarkEnd w:id="83"/>
    </w:p>
    <w:p>
      <w:pPr>
        <w:spacing w:line="640" w:lineRule="exact"/>
        <w:outlineLvl w:val="2"/>
        <w:rPr>
          <w:rFonts w:ascii="仿宋" w:hAnsi="仿宋" w:eastAsia="仿宋"/>
          <w:color w:val="auto"/>
          <w:sz w:val="24"/>
          <w:szCs w:val="24"/>
          <w:highlight w:val="none"/>
        </w:rPr>
      </w:pPr>
      <w:bookmarkStart w:id="84" w:name="_Toc5929"/>
      <w:r>
        <w:rPr>
          <w:rFonts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rPr>
        <w:t>监理的范围和内容</w:t>
      </w:r>
      <w:bookmarkEnd w:id="84"/>
    </w:p>
    <w:p>
      <w:pPr>
        <w:pStyle w:val="8"/>
        <w:spacing w:line="360" w:lineRule="auto"/>
        <w:rPr>
          <w:rFonts w:hint="eastAsia" w:ascii="仿宋" w:hAnsi="仿宋" w:eastAsia="仿宋" w:cs="仿宋"/>
          <w:color w:val="auto"/>
          <w:kern w:val="2"/>
          <w:sz w:val="24"/>
          <w:szCs w:val="22"/>
          <w:highlight w:val="none"/>
        </w:rPr>
      </w:pPr>
      <w:r>
        <w:rPr>
          <w:rFonts w:hint="eastAsia" w:ascii="仿宋" w:hAnsi="仿宋" w:eastAsia="仿宋" w:cs="仿宋"/>
          <w:color w:val="auto"/>
          <w:kern w:val="2"/>
          <w:sz w:val="24"/>
          <w:szCs w:val="22"/>
          <w:highlight w:val="none"/>
        </w:rPr>
        <w:t>2.1.1 监理范围包括：</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准备阶段、施工阶段、工程收尾阶段及工程质量保修阶段的质量控制、安全生产监督管理、投资控制、进度控制、合同管理、信息管理、组织协调等监理工作。包括但不限于项目施工阶段所有与本工程有关的安全、质量、文明施工、环保、资料、工程量审核、进度、投资控制、检验监测、监督巡查、相关上报信息资料的审核，审核每期送审的工程结算、做好每期支付的资料整理和审核工作、对应的台账及相关协调工作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注：建设工程勘察、设计、维护、保修等阶段监理与相关服务的具体内容执行国家、行业相关规范、规定。</w:t>
      </w:r>
    </w:p>
    <w:p>
      <w:pPr>
        <w:spacing w:line="360" w:lineRule="auto"/>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2.1.2 </w:t>
      </w:r>
      <w:bookmarkStart w:id="85" w:name="_Hlk18082911"/>
      <w:r>
        <w:rPr>
          <w:rFonts w:hint="eastAsia" w:ascii="仿宋" w:hAnsi="仿宋" w:eastAsia="仿宋" w:cs="仿宋"/>
          <w:color w:val="auto"/>
          <w:sz w:val="24"/>
          <w:szCs w:val="24"/>
          <w:highlight w:val="none"/>
        </w:rPr>
        <w:t>监理工作内容还包括：</w:t>
      </w:r>
    </w:p>
    <w:bookmarkEnd w:id="85"/>
    <w:p>
      <w:pPr>
        <w:spacing w:line="360" w:lineRule="auto"/>
        <w:ind w:firstLine="480" w:firstLineChars="200"/>
        <w:rPr>
          <w:rFonts w:hint="eastAsia" w:ascii="仿宋" w:hAnsi="仿宋" w:eastAsia="仿宋" w:cs="仿宋"/>
          <w:color w:val="auto"/>
          <w:sz w:val="24"/>
          <w:highlight w:val="none"/>
        </w:rPr>
      </w:pPr>
      <w:bookmarkStart w:id="86" w:name="_Toc5953"/>
      <w:r>
        <w:rPr>
          <w:rFonts w:hint="eastAsia" w:ascii="仿宋" w:hAnsi="仿宋" w:eastAsia="仿宋" w:cs="仿宋"/>
          <w:color w:val="auto"/>
          <w:sz w:val="24"/>
          <w:highlight w:val="none"/>
        </w:rPr>
        <w:t>1、监理人作为委托人的顾问，在执行和遵守国家有关建设法规的前提下，维护委托人的正当权益，在受委托的监理业务范围内，向委托人负责。</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2、确认承包人选择的分包人。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3、审查由承包人编制，并经承包人的技术部门审批盖章的施工组织设计、施工方案及施工进度计划，并监督检查及实施；协助审批各单项工程开工报告，参与技术交底和施工图纸会审。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4、审查承包人及委托人提供的材料和清单及其所列的规格与质量。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督促承包人严格执行合同和严格按照国家技术规范、标准、地方建筑安装规程以及设计图纸文件的要求进行施工、安装，并检查其实施情况；核查施工过程中的主要部位、环节以及隐蔽工程的施工验收签证，控制工程质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对用于本工程的主要材料、构件的出厂合格证、材质化验单等进行核定。如发现不实之处，有权责成承包人对材质进行再化验（并指定化验单位），防止不合格材质、构件等用于本工程。化验合格者，化验费用由委托人支付，不合格者，化验费用由承包人支付。</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检查本工程采用的主要设备及关键材料是否符合设计文件或标书所规定的厂家、型号、规格、数量以及质量标准，在承包人或委托人订货前，视乎需要并经委托人同意可对生产厂家进行了解考察，但所发生的差旅费用由采购方负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8、根据《荔湾区2023年树木保护和复壮工程合同》的规定，及承包人所作的工程进度计划，签收检查承包人填报的旬、月、季等报表。随时提出监理意见，控制工程进度计划。</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9、关于重大的设计修改和技术洽商，除提出监理意见之外，应征得委托人及设计人的意见，并由设计人进行修改。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10、根据施工承发包合同的规定和定额精神，负责现场施工图预算、包干系数和包干范围外的技术经济签证，控制建造成本。</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11、审查承包人的预算、结算和修改、变更工程的预结算。</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12、根据建筑安装工程承包合同的规定，对工程质量和数量进行核实，签发工程进度审核意见，通知委托人拨付工程款。工程竣工后，审查工程结算价款。</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13、监督检查工程的文明施工及安全防护措施，若发生安全施工时，迅速采取措施，减少事故对工程的影响，事后配合有关部门查明事故原因，恢复施工生产。</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14、根据承包人提出的阶段、部位、环节、各系统的分段工程检验、验收以及整体工程竣工验收申请报告，负责组织初验，签署由承包人提出的全部工程竣工验收报告，参加委托人组织的最终验收。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15、根据有关文件规定，督促检查承包人完成各阶段及全套竣工图的工作和整理各种必须归档的资料，交委托人归档。</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16、协助、主持、审理工程各种出现的质量事故的处理，提出处理意见，所发生的费用有责任当事人负担。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17、检查工程状况，鉴定只问题责任，保修期内督促承包人进行保修。</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18、定期组织主持现场工程协调会议，负责组织和协调各承包人的配合安排。</w:t>
      </w:r>
    </w:p>
    <w:p>
      <w:pPr>
        <w:spacing w:line="640" w:lineRule="exact"/>
        <w:outlineLvl w:val="2"/>
        <w:rPr>
          <w:rFonts w:ascii="仿宋" w:hAnsi="仿宋" w:eastAsia="仿宋"/>
          <w:color w:val="auto"/>
          <w:sz w:val="24"/>
          <w:szCs w:val="24"/>
          <w:highlight w:val="none"/>
        </w:rPr>
      </w:pPr>
      <w:r>
        <w:rPr>
          <w:rFonts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rPr>
        <w:t>监理与相关服务依据</w:t>
      </w:r>
      <w:bookmarkEnd w:id="86"/>
    </w:p>
    <w:p>
      <w:pPr>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2.2.1 </w:t>
      </w:r>
      <w:r>
        <w:rPr>
          <w:rFonts w:hint="eastAsia" w:ascii="仿宋" w:hAnsi="仿宋" w:eastAsia="仿宋" w:cs="仿宋"/>
          <w:color w:val="auto"/>
          <w:sz w:val="24"/>
          <w:szCs w:val="24"/>
          <w:highlight w:val="none"/>
        </w:rPr>
        <w:t>监理依据包括：</w:t>
      </w:r>
    </w:p>
    <w:p>
      <w:pPr>
        <w:spacing w:line="360" w:lineRule="auto"/>
        <w:ind w:firstLine="480" w:firstLineChars="200"/>
        <w:rPr>
          <w:rFonts w:hint="eastAsia" w:ascii="仿宋" w:hAnsi="仿宋" w:eastAsia="仿宋" w:cs="仿宋"/>
          <w:color w:val="auto"/>
          <w:sz w:val="24"/>
          <w:szCs w:val="24"/>
          <w:highlight w:val="none"/>
        </w:rPr>
      </w:pPr>
      <w:bookmarkStart w:id="87" w:name="_Hlk18082948"/>
      <w:r>
        <w:rPr>
          <w:rFonts w:hint="eastAsia" w:ascii="仿宋" w:hAnsi="仿宋" w:eastAsia="仿宋" w:cs="仿宋"/>
          <w:color w:val="auto"/>
          <w:sz w:val="24"/>
          <w:szCs w:val="24"/>
          <w:highlight w:val="none"/>
        </w:rPr>
        <w:t>1．《中华人民共和国建筑法》、《建设工程监理规范》（GB/T50319-2013）以及国家工程建设法律、法规、除此以外的有关政策规定，主管部门批准的建设计划、规划、设计、询比文件。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2．委托人与设计、承建单位签订的合同或协议。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3．建设工程监理合同。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4．经批准的维护图纸、方案及说明（如有）。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5．国家和地方现行的建筑工程质量评定标准及维护验收规范。</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6．当地建设行政主管部门的有关法规和通知等。</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7．委托人发出的指令。</w:t>
      </w:r>
    </w:p>
    <w:bookmarkEnd w:id="87"/>
    <w:p>
      <w:pPr>
        <w:adjustRightInd w:val="0"/>
        <w:snapToGrid w:val="0"/>
        <w:spacing w:line="640" w:lineRule="exact"/>
        <w:ind w:firstLine="480" w:firstLineChars="200"/>
        <w:rPr>
          <w:rFonts w:ascii="仿宋" w:hAnsi="仿宋" w:eastAsia="仿宋"/>
          <w:dstrike/>
          <w:color w:val="auto"/>
          <w:sz w:val="24"/>
          <w:szCs w:val="24"/>
          <w:highlight w:val="none"/>
        </w:rPr>
      </w:pPr>
      <w:r>
        <w:rPr>
          <w:rFonts w:ascii="仿宋" w:hAnsi="仿宋" w:eastAsia="仿宋" w:cs="仿宋"/>
          <w:color w:val="auto"/>
          <w:sz w:val="24"/>
          <w:szCs w:val="24"/>
          <w:highlight w:val="none"/>
        </w:rPr>
        <w:t xml:space="preserve">2.2.2 </w:t>
      </w:r>
      <w:r>
        <w:rPr>
          <w:rFonts w:hint="eastAsia" w:ascii="仿宋" w:hAnsi="仿宋" w:eastAsia="仿宋" w:cs="仿宋"/>
          <w:color w:val="auto"/>
          <w:sz w:val="24"/>
          <w:szCs w:val="24"/>
          <w:highlight w:val="none"/>
        </w:rPr>
        <w:t>相关服务依据包括：</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640" w:lineRule="exact"/>
        <w:outlineLvl w:val="2"/>
        <w:rPr>
          <w:rFonts w:ascii="仿宋" w:hAnsi="仿宋" w:eastAsia="仿宋"/>
          <w:color w:val="auto"/>
          <w:sz w:val="24"/>
          <w:szCs w:val="24"/>
          <w:highlight w:val="none"/>
        </w:rPr>
      </w:pPr>
      <w:bookmarkStart w:id="88" w:name="_Toc29670"/>
      <w:r>
        <w:rPr>
          <w:rFonts w:ascii="仿宋" w:hAnsi="仿宋" w:eastAsia="仿宋" w:cs="仿宋"/>
          <w:color w:val="auto"/>
          <w:sz w:val="24"/>
          <w:szCs w:val="24"/>
          <w:highlight w:val="none"/>
        </w:rPr>
        <w:t>2.3</w:t>
      </w:r>
      <w:r>
        <w:rPr>
          <w:rFonts w:hint="eastAsia" w:ascii="仿宋" w:hAnsi="仿宋" w:eastAsia="仿宋" w:cs="仿宋"/>
          <w:color w:val="auto"/>
          <w:sz w:val="24"/>
          <w:szCs w:val="24"/>
          <w:highlight w:val="none"/>
        </w:rPr>
        <w:t>项目监理机构和人员</w:t>
      </w:r>
      <w:bookmarkEnd w:id="88"/>
    </w:p>
    <w:p>
      <w:pPr>
        <w:spacing w:line="64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2.3.4 </w:t>
      </w:r>
      <w:r>
        <w:rPr>
          <w:rFonts w:hint="eastAsia" w:ascii="仿宋" w:hAnsi="仿宋" w:eastAsia="仿宋" w:cs="仿宋"/>
          <w:color w:val="auto"/>
          <w:kern w:val="0"/>
          <w:sz w:val="24"/>
          <w:szCs w:val="24"/>
          <w:highlight w:val="none"/>
        </w:rPr>
        <w:t>更换监理人员的其他情形：</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adjustRightInd w:val="0"/>
        <w:snapToGrid w:val="0"/>
        <w:spacing w:line="640" w:lineRule="exact"/>
        <w:rPr>
          <w:rFonts w:ascii="仿宋" w:hAnsi="仿宋" w:eastAsia="仿宋"/>
          <w:color w:val="auto"/>
          <w:sz w:val="24"/>
          <w:szCs w:val="24"/>
          <w:highlight w:val="none"/>
        </w:rPr>
      </w:pP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640" w:lineRule="exact"/>
        <w:outlineLvl w:val="2"/>
        <w:rPr>
          <w:rFonts w:ascii="仿宋" w:hAnsi="仿宋" w:eastAsia="仿宋"/>
          <w:color w:val="auto"/>
          <w:sz w:val="24"/>
          <w:szCs w:val="24"/>
          <w:highlight w:val="none"/>
        </w:rPr>
      </w:pPr>
      <w:bookmarkStart w:id="89" w:name="_Toc11808"/>
      <w:r>
        <w:rPr>
          <w:rFonts w:ascii="仿宋" w:hAnsi="仿宋" w:eastAsia="仿宋" w:cs="仿宋"/>
          <w:color w:val="auto"/>
          <w:sz w:val="24"/>
          <w:szCs w:val="24"/>
          <w:highlight w:val="none"/>
        </w:rPr>
        <w:t xml:space="preserve">2.4 </w:t>
      </w:r>
      <w:r>
        <w:rPr>
          <w:rFonts w:hint="eastAsia" w:ascii="仿宋" w:hAnsi="仿宋" w:eastAsia="仿宋" w:cs="仿宋"/>
          <w:color w:val="auto"/>
          <w:sz w:val="24"/>
          <w:szCs w:val="24"/>
          <w:highlight w:val="none"/>
        </w:rPr>
        <w:t>履行职责</w:t>
      </w:r>
      <w:bookmarkEnd w:id="89"/>
    </w:p>
    <w:p>
      <w:pPr>
        <w:adjustRightInd w:val="0"/>
        <w:snapToGrid w:val="0"/>
        <w:spacing w:line="640" w:lineRule="exact"/>
        <w:ind w:firstLine="480" w:firstLineChars="20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2.4.3 </w:t>
      </w:r>
      <w:r>
        <w:rPr>
          <w:rFonts w:hint="eastAsia" w:ascii="仿宋" w:hAnsi="仿宋" w:eastAsia="仿宋" w:cs="仿宋"/>
          <w:color w:val="auto"/>
          <w:sz w:val="24"/>
          <w:szCs w:val="24"/>
          <w:highlight w:val="none"/>
        </w:rPr>
        <w:t>对监理人的授权范围：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adjustRightInd w:val="0"/>
        <w:snapToGrid w:val="0"/>
        <w:spacing w:line="640" w:lineRule="exact"/>
        <w:rPr>
          <w:rFonts w:ascii="仿宋" w:hAnsi="仿宋" w:eastAsia="仿宋"/>
          <w:color w:val="auto"/>
          <w:sz w:val="24"/>
          <w:szCs w:val="24"/>
          <w:highlight w:val="none"/>
        </w:rPr>
      </w:pP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在涉及工程延期</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天内和（或）金额</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万元内的变更，监理人不需请示委托人即可向承包人发布变更通知。</w:t>
      </w:r>
    </w:p>
    <w:p>
      <w:pPr>
        <w:spacing w:line="640" w:lineRule="exact"/>
        <w:outlineLvl w:val="2"/>
        <w:rPr>
          <w:rFonts w:ascii="仿宋" w:hAnsi="仿宋" w:eastAsia="仿宋"/>
          <w:color w:val="auto"/>
          <w:sz w:val="24"/>
          <w:szCs w:val="24"/>
          <w:highlight w:val="none"/>
        </w:rPr>
      </w:pPr>
      <w:bookmarkStart w:id="90" w:name="_Toc6694"/>
      <w:r>
        <w:rPr>
          <w:rFonts w:ascii="仿宋" w:hAnsi="仿宋" w:eastAsia="仿宋" w:cs="仿宋"/>
          <w:color w:val="auto"/>
          <w:sz w:val="24"/>
          <w:szCs w:val="24"/>
          <w:highlight w:val="none"/>
        </w:rPr>
        <w:t xml:space="preserve">2.5 </w:t>
      </w:r>
      <w:r>
        <w:rPr>
          <w:rFonts w:hint="eastAsia" w:ascii="仿宋" w:hAnsi="仿宋" w:eastAsia="仿宋" w:cs="仿宋"/>
          <w:color w:val="auto"/>
          <w:sz w:val="24"/>
          <w:szCs w:val="24"/>
          <w:highlight w:val="none"/>
        </w:rPr>
        <w:t>提交报告</w:t>
      </w:r>
      <w:bookmarkEnd w:id="90"/>
    </w:p>
    <w:p>
      <w:pPr>
        <w:adjustRightInd w:val="0"/>
        <w:snapToGrid w:val="0"/>
        <w:spacing w:line="640" w:lineRule="exact"/>
        <w:ind w:firstLine="52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监理人应提交报告的种类</w:t>
      </w:r>
      <w:r>
        <w:rPr>
          <w:rFonts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包括监理规划、监理月报及约定的专项报告</w:t>
      </w:r>
      <w:r>
        <w:rPr>
          <w:rFonts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、时间和份数</w:t>
      </w:r>
      <w:r>
        <w:rPr>
          <w:rFonts w:hint="eastAsia" w:ascii="仿宋" w:hAnsi="仿宋" w:eastAsia="仿宋" w:cs="仿宋"/>
          <w:color w:val="auto"/>
          <w:kern w:val="0"/>
          <w:sz w:val="24"/>
          <w:szCs w:val="24"/>
          <w:highlight w:val="non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pPr>
        <w:adjustRightInd w:val="0"/>
        <w:snapToGrid w:val="0"/>
        <w:spacing w:line="640" w:lineRule="exact"/>
        <w:rPr>
          <w:rFonts w:ascii="仿宋" w:hAnsi="仿宋" w:eastAsia="仿宋" w:cs="仿宋"/>
          <w:color w:val="auto"/>
          <w:sz w:val="24"/>
          <w:szCs w:val="24"/>
          <w:highlight w:val="none"/>
          <w:u w:val="single"/>
        </w:rPr>
      </w:pPr>
      <w:r>
        <w:rPr>
          <w:rFonts w:ascii="仿宋" w:hAnsi="仿宋" w:eastAsia="仿宋" w:cs="仿宋"/>
          <w:color w:val="auto"/>
          <w:sz w:val="24"/>
          <w:szCs w:val="24"/>
          <w:highlight w:val="none"/>
          <w:u w:val="single"/>
        </w:rPr>
        <w:t xml:space="preserve">                                                                    </w:t>
      </w:r>
    </w:p>
    <w:p>
      <w:pPr>
        <w:adjustRightInd w:val="0"/>
        <w:snapToGrid w:val="0"/>
        <w:spacing w:line="640" w:lineRule="exact"/>
        <w:rPr>
          <w:rFonts w:ascii="仿宋" w:hAnsi="仿宋" w:eastAsia="仿宋"/>
          <w:color w:val="auto"/>
          <w:sz w:val="24"/>
          <w:szCs w:val="24"/>
          <w:highlight w:val="none"/>
          <w:u w:val="single"/>
        </w:rPr>
      </w:pP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640" w:lineRule="exact"/>
        <w:outlineLvl w:val="2"/>
        <w:rPr>
          <w:rFonts w:ascii="仿宋" w:hAnsi="仿宋" w:eastAsia="仿宋"/>
          <w:color w:val="auto"/>
          <w:sz w:val="24"/>
          <w:szCs w:val="24"/>
          <w:highlight w:val="none"/>
        </w:rPr>
      </w:pPr>
      <w:bookmarkStart w:id="91" w:name="_Toc9316"/>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履约担保</w:t>
      </w:r>
      <w:bookmarkEnd w:id="91"/>
    </w:p>
    <w:p>
      <w:pPr>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履约担保按下列方式</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①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进行办理：</w:t>
      </w:r>
    </w:p>
    <w:p>
      <w:pPr>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①委托人不需要监理人出具履约保函；</w:t>
      </w:r>
    </w:p>
    <w:p>
      <w:pPr>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③委托人不需要监理人出具履约保证保险；</w:t>
      </w:r>
    </w:p>
    <w:p>
      <w:pPr>
        <w:spacing w:line="640" w:lineRule="exact"/>
        <w:outlineLvl w:val="1"/>
        <w:rPr>
          <w:rFonts w:ascii="仿宋" w:hAnsi="仿宋" w:eastAsia="仿宋" w:cs="仿宋"/>
          <w:b/>
          <w:bCs/>
          <w:color w:val="auto"/>
          <w:sz w:val="24"/>
          <w:szCs w:val="24"/>
          <w:highlight w:val="none"/>
        </w:rPr>
      </w:pPr>
      <w:bookmarkStart w:id="92" w:name="_Toc32615"/>
      <w:r>
        <w:rPr>
          <w:rFonts w:ascii="仿宋" w:hAnsi="仿宋" w:eastAsia="仿宋" w:cs="仿宋"/>
          <w:b/>
          <w:bCs/>
          <w:color w:val="auto"/>
          <w:sz w:val="24"/>
          <w:szCs w:val="24"/>
          <w:highlight w:val="none"/>
        </w:rPr>
        <w:t xml:space="preserve">3. </w:t>
      </w:r>
      <w:r>
        <w:rPr>
          <w:rFonts w:hint="eastAsia" w:ascii="仿宋" w:hAnsi="仿宋" w:eastAsia="仿宋" w:cs="仿宋"/>
          <w:b/>
          <w:bCs/>
          <w:color w:val="auto"/>
          <w:sz w:val="24"/>
          <w:szCs w:val="24"/>
          <w:highlight w:val="none"/>
        </w:rPr>
        <w:t>委托人义务</w:t>
      </w:r>
      <w:bookmarkEnd w:id="92"/>
      <w:r>
        <w:rPr>
          <w:rFonts w:ascii="仿宋" w:hAnsi="仿宋" w:eastAsia="仿宋" w:cs="仿宋"/>
          <w:b/>
          <w:bCs/>
          <w:color w:val="auto"/>
          <w:sz w:val="24"/>
          <w:szCs w:val="24"/>
          <w:highlight w:val="none"/>
        </w:rPr>
        <w:t xml:space="preserve">  </w:t>
      </w:r>
    </w:p>
    <w:p>
      <w:pPr>
        <w:spacing w:line="640" w:lineRule="exact"/>
        <w:outlineLvl w:val="2"/>
        <w:rPr>
          <w:rFonts w:ascii="仿宋" w:hAnsi="仿宋" w:eastAsia="仿宋"/>
          <w:color w:val="auto"/>
          <w:sz w:val="24"/>
          <w:szCs w:val="24"/>
          <w:highlight w:val="none"/>
        </w:rPr>
      </w:pPr>
      <w:bookmarkStart w:id="93" w:name="_Toc4889"/>
      <w:r>
        <w:rPr>
          <w:rFonts w:ascii="仿宋" w:hAnsi="仿宋" w:eastAsia="仿宋" w:cs="仿宋"/>
          <w:color w:val="auto"/>
          <w:sz w:val="24"/>
          <w:szCs w:val="24"/>
          <w:highlight w:val="none"/>
        </w:rPr>
        <w:t xml:space="preserve">3.4 </w:t>
      </w:r>
      <w:r>
        <w:rPr>
          <w:rFonts w:hint="eastAsia" w:ascii="仿宋" w:hAnsi="仿宋" w:eastAsia="仿宋" w:cs="仿宋"/>
          <w:color w:val="auto"/>
          <w:sz w:val="24"/>
          <w:szCs w:val="24"/>
          <w:highlight w:val="none"/>
        </w:rPr>
        <w:t>委托人代表</w:t>
      </w:r>
      <w:bookmarkEnd w:id="93"/>
    </w:p>
    <w:p>
      <w:pPr>
        <w:adjustRightInd w:val="0"/>
        <w:snapToGrid w:val="0"/>
        <w:spacing w:line="640" w:lineRule="exact"/>
        <w:ind w:firstLine="480" w:firstLineChars="200"/>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rPr>
        <w:t>委托人代表为：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640" w:lineRule="exact"/>
        <w:outlineLvl w:val="2"/>
        <w:rPr>
          <w:rFonts w:ascii="仿宋" w:hAnsi="仿宋" w:eastAsia="仿宋"/>
          <w:color w:val="auto"/>
          <w:sz w:val="24"/>
          <w:szCs w:val="24"/>
          <w:highlight w:val="none"/>
        </w:rPr>
      </w:pPr>
      <w:bookmarkStart w:id="94" w:name="_Toc29693"/>
      <w:r>
        <w:rPr>
          <w:rFonts w:ascii="仿宋" w:hAnsi="仿宋" w:eastAsia="仿宋" w:cs="仿宋"/>
          <w:color w:val="auto"/>
          <w:sz w:val="24"/>
          <w:szCs w:val="24"/>
          <w:highlight w:val="none"/>
        </w:rPr>
        <w:t xml:space="preserve">3.6 </w:t>
      </w:r>
      <w:r>
        <w:rPr>
          <w:rFonts w:hint="eastAsia" w:ascii="仿宋" w:hAnsi="仿宋" w:eastAsia="仿宋" w:cs="仿宋"/>
          <w:color w:val="auto"/>
          <w:sz w:val="24"/>
          <w:szCs w:val="24"/>
          <w:highlight w:val="none"/>
        </w:rPr>
        <w:t>答复</w:t>
      </w:r>
      <w:bookmarkEnd w:id="94"/>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委托人同意在</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天内，对监理人书面提交并要求作出决定的事宜给予书面答复。</w:t>
      </w:r>
    </w:p>
    <w:p>
      <w:pPr>
        <w:spacing w:line="640" w:lineRule="exact"/>
        <w:outlineLvl w:val="2"/>
        <w:rPr>
          <w:rFonts w:ascii="仿宋" w:hAnsi="仿宋" w:eastAsia="仿宋"/>
          <w:color w:val="auto"/>
          <w:sz w:val="24"/>
          <w:szCs w:val="24"/>
          <w:highlight w:val="none"/>
        </w:rPr>
      </w:pPr>
      <w:bookmarkStart w:id="95" w:name="_Toc7894"/>
      <w:r>
        <w:rPr>
          <w:rFonts w:ascii="仿宋" w:hAnsi="仿宋" w:eastAsia="仿宋" w:cs="仿宋"/>
          <w:color w:val="auto"/>
          <w:sz w:val="24"/>
          <w:szCs w:val="24"/>
          <w:highlight w:val="none"/>
        </w:rPr>
        <w:t xml:space="preserve">3.8 </w:t>
      </w:r>
      <w:r>
        <w:rPr>
          <w:rFonts w:hint="eastAsia" w:ascii="仿宋" w:hAnsi="仿宋" w:eastAsia="仿宋" w:cs="仿宋"/>
          <w:color w:val="auto"/>
          <w:sz w:val="24"/>
          <w:szCs w:val="24"/>
          <w:highlight w:val="none"/>
        </w:rPr>
        <w:t>支付担保</w:t>
      </w:r>
      <w:bookmarkEnd w:id="95"/>
    </w:p>
    <w:p>
      <w:pPr>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支付担保按下列方</w:t>
      </w:r>
      <w:r>
        <w:rPr>
          <w:rFonts w:hint="eastAsia" w:ascii="仿宋" w:hAnsi="仿宋" w:eastAsia="仿宋" w:cs="仿宋"/>
          <w:color w:val="auto"/>
          <w:sz w:val="24"/>
          <w:szCs w:val="24"/>
          <w:highlight w:val="none"/>
        </w:rPr>
        <w:t>式</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①</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进行办理：</w:t>
      </w:r>
    </w:p>
    <w:p>
      <w:pPr>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①委托人不需要出具支付保函；</w:t>
      </w:r>
    </w:p>
    <w:p>
      <w:pPr>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③委托人不需要出具支付保证保险；</w:t>
      </w:r>
    </w:p>
    <w:p>
      <w:pPr>
        <w:spacing w:line="640" w:lineRule="exact"/>
        <w:outlineLvl w:val="1"/>
        <w:rPr>
          <w:rFonts w:ascii="仿宋" w:hAnsi="仿宋" w:eastAsia="仿宋"/>
          <w:b/>
          <w:bCs/>
          <w:color w:val="auto"/>
          <w:sz w:val="24"/>
          <w:szCs w:val="24"/>
          <w:highlight w:val="none"/>
        </w:rPr>
      </w:pPr>
      <w:bookmarkStart w:id="96" w:name="_Toc4465"/>
      <w:r>
        <w:rPr>
          <w:rFonts w:ascii="仿宋" w:hAnsi="仿宋" w:eastAsia="仿宋" w:cs="仿宋"/>
          <w:b/>
          <w:bCs/>
          <w:color w:val="auto"/>
          <w:sz w:val="24"/>
          <w:szCs w:val="24"/>
          <w:highlight w:val="none"/>
        </w:rPr>
        <w:t xml:space="preserve">4. </w:t>
      </w:r>
      <w:r>
        <w:rPr>
          <w:rFonts w:hint="eastAsia" w:ascii="仿宋" w:hAnsi="仿宋" w:eastAsia="仿宋" w:cs="仿宋"/>
          <w:b/>
          <w:bCs/>
          <w:color w:val="auto"/>
          <w:sz w:val="24"/>
          <w:szCs w:val="24"/>
          <w:highlight w:val="none"/>
        </w:rPr>
        <w:t>违约责任</w:t>
      </w:r>
      <w:bookmarkEnd w:id="96"/>
    </w:p>
    <w:p>
      <w:pPr>
        <w:spacing w:line="640" w:lineRule="exact"/>
        <w:outlineLvl w:val="2"/>
        <w:rPr>
          <w:rFonts w:ascii="仿宋" w:hAnsi="仿宋" w:eastAsia="仿宋"/>
          <w:color w:val="auto"/>
          <w:sz w:val="24"/>
          <w:szCs w:val="24"/>
          <w:highlight w:val="none"/>
        </w:rPr>
      </w:pPr>
      <w:r>
        <w:rPr>
          <w:rFonts w:ascii="仿宋" w:hAnsi="仿宋" w:eastAsia="仿宋" w:cs="仿宋"/>
          <w:color w:val="auto"/>
          <w:sz w:val="24"/>
          <w:szCs w:val="24"/>
          <w:highlight w:val="none"/>
        </w:rPr>
        <w:t xml:space="preserve">4.1 </w:t>
      </w:r>
      <w:r>
        <w:rPr>
          <w:rFonts w:hint="eastAsia" w:ascii="仿宋" w:hAnsi="仿宋" w:eastAsia="仿宋" w:cs="仿宋"/>
          <w:color w:val="auto"/>
          <w:sz w:val="24"/>
          <w:szCs w:val="24"/>
          <w:highlight w:val="none"/>
        </w:rPr>
        <w:t>监理人的违约责任</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kern w:val="0"/>
          <w:sz w:val="24"/>
          <w:szCs w:val="24"/>
          <w:highlight w:val="none"/>
        </w:rPr>
        <w:t>监理人未履行本合同义务的，应承担相应的责任。</w:t>
      </w:r>
    </w:p>
    <w:p>
      <w:pPr>
        <w:adjustRightInd w:val="0"/>
        <w:snapToGrid w:val="0"/>
        <w:spacing w:line="640" w:lineRule="exact"/>
        <w:ind w:firstLine="480" w:firstLineChars="200"/>
        <w:rPr>
          <w:rFonts w:hint="eastAsia" w:ascii="仿宋" w:hAnsi="仿宋" w:eastAsia="仿宋" w:cs="仿宋"/>
          <w:color w:val="auto"/>
          <w:sz w:val="24"/>
          <w:szCs w:val="24"/>
          <w:highlight w:val="none"/>
        </w:rPr>
      </w:pPr>
      <w:r>
        <w:rPr>
          <w:rFonts w:ascii="仿宋" w:hAnsi="仿宋" w:eastAsia="仿宋" w:cs="仿宋"/>
          <w:color w:val="auto"/>
          <w:kern w:val="0"/>
          <w:sz w:val="24"/>
          <w:szCs w:val="24"/>
          <w:highlight w:val="none"/>
        </w:rPr>
        <w:t>4.1.1</w:t>
      </w:r>
      <w:r>
        <w:rPr>
          <w:rFonts w:hint="eastAsia" w:ascii="仿宋" w:hAnsi="仿宋" w:eastAsia="仿宋" w:cs="仿宋"/>
          <w:color w:val="auto"/>
          <w:sz w:val="24"/>
          <w:szCs w:val="24"/>
          <w:highlight w:val="none"/>
        </w:rPr>
        <w:t>监理人赔偿金额的计算方法：</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监理人在责任期内不履行或不如约履行合同约定的监理工作内容与义务，监理人应向委托人支付本合同约定监理费用总额1％~20%的违约金，违约金不足以弥补其给为委托人造成的损失，还应赔偿损失</w:t>
      </w:r>
      <w:r>
        <w:rPr>
          <w:rStyle w:val="33"/>
          <w:color w:val="auto"/>
          <w:kern w:val="0"/>
          <w:highlight w:val="none"/>
        </w:rPr>
        <w:commentReference w:id="0"/>
      </w:r>
      <w:r>
        <w:rPr>
          <w:rFonts w:hint="eastAsia" w:ascii="仿宋" w:hAnsi="仿宋" w:eastAsia="仿宋" w:cs="仿宋"/>
          <w:color w:val="auto"/>
          <w:sz w:val="24"/>
          <w:szCs w:val="24"/>
          <w:highlight w:val="none"/>
        </w:rPr>
        <w:t>，并且由相关部门登记入“黑名单”库。</w:t>
      </w:r>
    </w:p>
    <w:p>
      <w:pPr>
        <w:spacing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4.1.1.1 监理人违反上述</w:t>
      </w:r>
      <w:r>
        <w:rPr>
          <w:rFonts w:hint="eastAsia" w:ascii="仿宋" w:hAnsi="仿宋" w:eastAsia="仿宋" w:cs="仿宋"/>
          <w:color w:val="auto"/>
          <w:sz w:val="24"/>
          <w:szCs w:val="24"/>
          <w:highlight w:val="none"/>
          <w:lang w:eastAsia="zh-Hans"/>
        </w:rPr>
        <w:t>通</w:t>
      </w:r>
      <w:r>
        <w:rPr>
          <w:rFonts w:hint="eastAsia" w:ascii="仿宋" w:hAnsi="仿宋" w:eastAsia="仿宋" w:cs="仿宋"/>
          <w:color w:val="auto"/>
          <w:sz w:val="24"/>
          <w:szCs w:val="24"/>
          <w:highlight w:val="none"/>
        </w:rPr>
        <w:t>用条款内2.1监理的范围和工作内容中任何一项的，监理人应支付监理费用10%的违约金。</w:t>
      </w:r>
    </w:p>
    <w:p>
      <w:pPr>
        <w:spacing w:after="120"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4.1.1.2 监理人违反上述</w:t>
      </w:r>
      <w:r>
        <w:rPr>
          <w:rFonts w:hint="eastAsia" w:ascii="仿宋" w:hAnsi="仿宋" w:eastAsia="仿宋" w:cs="仿宋"/>
          <w:color w:val="auto"/>
          <w:sz w:val="24"/>
          <w:szCs w:val="24"/>
          <w:highlight w:val="none"/>
          <w:lang w:eastAsia="zh-Hans"/>
        </w:rPr>
        <w:t>通</w:t>
      </w:r>
      <w:r>
        <w:rPr>
          <w:rFonts w:hint="eastAsia" w:ascii="仿宋" w:hAnsi="仿宋" w:eastAsia="仿宋" w:cs="仿宋"/>
          <w:color w:val="auto"/>
          <w:sz w:val="24"/>
          <w:szCs w:val="24"/>
          <w:highlight w:val="none"/>
        </w:rPr>
        <w:t>用条款内2.3条的约定，擅自更换或不及时更换监理人员的，监理人应支付监理费用10%的违约金。</w:t>
      </w:r>
    </w:p>
    <w:p>
      <w:pPr>
        <w:spacing w:after="120"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 监理人应当支付的违约金及应赔偿委托人的损失，委托人有权在监理费中抵扣，不足部分委托人有权另行追偿。</w:t>
      </w:r>
    </w:p>
    <w:p>
      <w:pPr>
        <w:adjustRightInd w:val="0"/>
        <w:snapToGrid w:val="0"/>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4.1.3 监理人累计违约达三次以上，委托人有权解除合同，并要求监理人按合同总价的3</w:t>
      </w:r>
      <w:r>
        <w:rPr>
          <w:rFonts w:ascii="仿宋" w:hAnsi="仿宋" w:eastAsia="仿宋" w:cs="仿宋"/>
          <w:color w:val="auto"/>
          <w:sz w:val="24"/>
          <w:szCs w:val="24"/>
          <w:highlight w:val="none"/>
        </w:rPr>
        <w:t>0</w:t>
      </w:r>
      <w:r>
        <w:rPr>
          <w:rFonts w:hint="eastAsia" w:ascii="仿宋" w:hAnsi="仿宋" w:eastAsia="仿宋" w:cs="仿宋"/>
          <w:color w:val="auto"/>
          <w:sz w:val="24"/>
          <w:szCs w:val="24"/>
          <w:highlight w:val="none"/>
        </w:rPr>
        <w:t>%向乙方承担违约责任，造成委托人其他损失的，另行赔偿责任。</w:t>
      </w:r>
      <w:r>
        <w:rPr>
          <w:rFonts w:ascii="仿宋" w:hAnsi="仿宋" w:eastAsia="仿宋" w:cs="仿宋"/>
          <w:color w:val="auto"/>
          <w:sz w:val="24"/>
          <w:szCs w:val="24"/>
          <w:highlight w:val="none"/>
        </w:rPr>
        <w:t xml:space="preserve">       </w:t>
      </w:r>
    </w:p>
    <w:p>
      <w:pPr>
        <w:spacing w:line="640" w:lineRule="exact"/>
        <w:outlineLvl w:val="1"/>
        <w:rPr>
          <w:rFonts w:ascii="仿宋" w:hAnsi="仿宋" w:eastAsia="仿宋"/>
          <w:b/>
          <w:bCs/>
          <w:color w:val="auto"/>
          <w:sz w:val="24"/>
          <w:szCs w:val="24"/>
          <w:highlight w:val="none"/>
        </w:rPr>
      </w:pPr>
      <w:bookmarkStart w:id="97" w:name="_Toc22738"/>
      <w:r>
        <w:rPr>
          <w:rFonts w:hint="eastAsia" w:ascii="仿宋" w:hAnsi="仿宋" w:eastAsia="仿宋" w:cs="Arial Unicode MS"/>
          <w:b/>
          <w:bCs/>
          <w:color w:val="auto"/>
          <w:kern w:val="0"/>
          <w:sz w:val="24"/>
          <w:szCs w:val="24"/>
          <w:highlight w:val="none"/>
        </w:rPr>
        <w:t>★</w:t>
      </w:r>
      <w:r>
        <w:rPr>
          <w:rFonts w:ascii="仿宋" w:hAnsi="仿宋" w:eastAsia="仿宋" w:cs="仿宋"/>
          <w:b/>
          <w:bCs/>
          <w:color w:val="auto"/>
          <w:sz w:val="24"/>
          <w:szCs w:val="24"/>
          <w:highlight w:val="none"/>
        </w:rPr>
        <w:t xml:space="preserve">5. </w:t>
      </w:r>
      <w:r>
        <w:rPr>
          <w:rFonts w:hint="eastAsia" w:ascii="仿宋" w:hAnsi="仿宋" w:eastAsia="仿宋" w:cs="仿宋"/>
          <w:b/>
          <w:bCs/>
          <w:color w:val="auto"/>
          <w:sz w:val="24"/>
          <w:szCs w:val="24"/>
          <w:highlight w:val="none"/>
        </w:rPr>
        <w:t>支付</w:t>
      </w:r>
      <w:bookmarkEnd w:id="97"/>
    </w:p>
    <w:p>
      <w:pPr>
        <w:spacing w:line="640" w:lineRule="exact"/>
        <w:outlineLvl w:val="2"/>
        <w:rPr>
          <w:rFonts w:ascii="仿宋" w:hAnsi="仿宋" w:eastAsia="仿宋"/>
          <w:color w:val="auto"/>
          <w:sz w:val="24"/>
          <w:szCs w:val="24"/>
          <w:highlight w:val="none"/>
        </w:rPr>
      </w:pPr>
      <w:bookmarkStart w:id="98" w:name="_Toc19955"/>
      <w:r>
        <w:rPr>
          <w:rFonts w:ascii="仿宋" w:hAnsi="仿宋" w:eastAsia="仿宋" w:cs="仿宋"/>
          <w:color w:val="auto"/>
          <w:sz w:val="24"/>
          <w:szCs w:val="24"/>
          <w:highlight w:val="none"/>
        </w:rPr>
        <w:t xml:space="preserve">5.1 </w:t>
      </w:r>
      <w:r>
        <w:rPr>
          <w:rFonts w:hint="eastAsia" w:ascii="仿宋" w:hAnsi="仿宋" w:eastAsia="仿宋" w:cs="仿宋"/>
          <w:color w:val="auto"/>
          <w:sz w:val="24"/>
          <w:szCs w:val="24"/>
          <w:highlight w:val="none"/>
        </w:rPr>
        <w:t>支付货币</w:t>
      </w:r>
      <w:bookmarkEnd w:id="98"/>
    </w:p>
    <w:p>
      <w:pPr>
        <w:snapToGrid w:val="0"/>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币种为：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人民币</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，比例为：</w:t>
      </w:r>
      <w:r>
        <w:rPr>
          <w:rFonts w:ascii="仿宋" w:hAnsi="仿宋" w:eastAsia="仿宋" w:cs="仿宋"/>
          <w:color w:val="auto"/>
          <w:sz w:val="24"/>
          <w:szCs w:val="24"/>
          <w:highlight w:val="none"/>
          <w:u w:val="single"/>
        </w:rPr>
        <w:t xml:space="preserve">  100%    </w:t>
      </w:r>
      <w:r>
        <w:rPr>
          <w:rFonts w:hint="eastAsia" w:ascii="仿宋" w:hAnsi="仿宋" w:eastAsia="仿宋" w:cs="仿宋"/>
          <w:color w:val="auto"/>
          <w:sz w:val="24"/>
          <w:szCs w:val="24"/>
          <w:highlight w:val="none"/>
        </w:rPr>
        <w:t>，汇率为：</w:t>
      </w:r>
      <w:r>
        <w:rPr>
          <w:rFonts w:ascii="仿宋" w:hAnsi="仿宋" w:eastAsia="仿宋" w:cs="仿宋"/>
          <w:color w:val="auto"/>
          <w:sz w:val="24"/>
          <w:szCs w:val="24"/>
          <w:highlight w:val="none"/>
          <w:u w:val="single"/>
        </w:rPr>
        <w:t xml:space="preserve">  1:1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p>
    <w:p>
      <w:pPr>
        <w:spacing w:line="640" w:lineRule="exact"/>
        <w:outlineLvl w:val="2"/>
        <w:rPr>
          <w:rFonts w:ascii="仿宋" w:hAnsi="仿宋" w:eastAsia="仿宋" w:cs="仿宋"/>
          <w:color w:val="auto"/>
          <w:sz w:val="24"/>
          <w:szCs w:val="24"/>
          <w:highlight w:val="none"/>
        </w:rPr>
      </w:pPr>
      <w:bookmarkStart w:id="99" w:name="_Toc26750"/>
      <w:r>
        <w:rPr>
          <w:rFonts w:hint="eastAsia" w:ascii="仿宋" w:hAnsi="仿宋" w:eastAsia="仿宋" w:cs="Arial Unicode MS"/>
          <w:b/>
          <w:bCs/>
          <w:color w:val="auto"/>
          <w:kern w:val="0"/>
          <w:sz w:val="24"/>
          <w:szCs w:val="24"/>
          <w:highlight w:val="none"/>
        </w:rPr>
        <w:t>★</w:t>
      </w:r>
      <w:r>
        <w:rPr>
          <w:rFonts w:ascii="仿宋" w:hAnsi="仿宋" w:eastAsia="仿宋" w:cs="仿宋"/>
          <w:color w:val="auto"/>
          <w:sz w:val="24"/>
          <w:szCs w:val="24"/>
          <w:highlight w:val="none"/>
        </w:rPr>
        <w:t xml:space="preserve">5.3 </w:t>
      </w:r>
      <w:bookmarkEnd w:id="99"/>
      <w:r>
        <w:rPr>
          <w:rFonts w:hint="eastAsia" w:ascii="仿宋" w:hAnsi="仿宋" w:eastAsia="仿宋" w:cs="仿宋"/>
          <w:color w:val="auto"/>
          <w:sz w:val="24"/>
          <w:szCs w:val="24"/>
          <w:highlight w:val="none"/>
        </w:rPr>
        <w:t>支付酬金</w:t>
      </w:r>
    </w:p>
    <w:p>
      <w:pPr>
        <w:spacing w:line="640" w:lineRule="exact"/>
        <w:ind w:left="210" w:leftChars="100"/>
        <w:outlineLvl w:val="2"/>
        <w:rPr>
          <w:rFonts w:ascii="仿宋" w:hAnsi="仿宋" w:eastAsia="仿宋"/>
          <w:color w:val="auto"/>
          <w:sz w:val="24"/>
          <w:szCs w:val="24"/>
          <w:highlight w:val="none"/>
        </w:rPr>
      </w:pPr>
      <w:r>
        <w:rPr>
          <w:rFonts w:hint="eastAsia" w:ascii="仿宋" w:hAnsi="仿宋" w:eastAsia="仿宋" w:cs="仿宋"/>
          <w:color w:val="auto"/>
          <w:sz w:val="24"/>
          <w:szCs w:val="24"/>
          <w:highlight w:val="none"/>
        </w:rPr>
        <w:t>委托人同意按以下的计算方法、支付时间与金额，支付监理人的报酬：</w:t>
      </w:r>
    </w:p>
    <w:p>
      <w:pPr>
        <w:spacing w:line="360" w:lineRule="auto"/>
        <w:ind w:firstLine="482" w:firstLineChars="200"/>
        <w:outlineLvl w:val="1"/>
        <w:rPr>
          <w:rFonts w:hint="eastAsia" w:ascii="仿宋" w:hAnsi="仿宋" w:eastAsia="仿宋" w:cs="黑体"/>
          <w:b/>
          <w:color w:val="auto"/>
          <w:sz w:val="24"/>
          <w:szCs w:val="24"/>
          <w:highlight w:val="none"/>
        </w:rPr>
      </w:pPr>
      <w:bookmarkStart w:id="100" w:name="_Toc25350"/>
      <w:r>
        <w:rPr>
          <w:rFonts w:hint="eastAsia" w:ascii="仿宋" w:hAnsi="仿宋" w:eastAsia="仿宋" w:cs="黑体"/>
          <w:b/>
          <w:color w:val="auto"/>
          <w:sz w:val="24"/>
          <w:szCs w:val="24"/>
          <w:highlight w:val="none"/>
        </w:rPr>
        <w:t>（1）监理中选价</w:t>
      </w:r>
      <w:r>
        <w:rPr>
          <w:rFonts w:hint="eastAsia" w:ascii="仿宋" w:hAnsi="仿宋" w:eastAsia="仿宋" w:cs="黑体"/>
          <w:b/>
          <w:color w:val="auto"/>
          <w:sz w:val="24"/>
          <w:szCs w:val="24"/>
          <w:highlight w:val="none"/>
          <w:u w:val="single"/>
        </w:rPr>
        <w:t xml:space="preserve">    </w:t>
      </w:r>
      <w:r>
        <w:rPr>
          <w:rFonts w:hint="eastAsia" w:ascii="仿宋" w:hAnsi="仿宋" w:eastAsia="仿宋" w:cs="黑体"/>
          <w:b/>
          <w:color w:val="auto"/>
          <w:sz w:val="24"/>
          <w:szCs w:val="24"/>
          <w:highlight w:val="none"/>
        </w:rPr>
        <w:t>万元作为暂定合同价及监理酬金支付的依据，按国家发展改革委、建设部关于印发《建设工程监理与相关服务收费管理规定》的通知（发改价格【2007】670号）收取监理费,专业调整系数取</w:t>
      </w:r>
      <w:r>
        <w:rPr>
          <w:rFonts w:hint="eastAsia" w:ascii="仿宋" w:hAnsi="仿宋" w:eastAsia="仿宋" w:cs="黑体"/>
          <w:b/>
          <w:color w:val="auto"/>
          <w:sz w:val="24"/>
          <w:szCs w:val="24"/>
          <w:highlight w:val="none"/>
          <w:u w:val="single"/>
        </w:rPr>
        <w:t xml:space="preserve">  0.8  </w:t>
      </w:r>
      <w:r>
        <w:rPr>
          <w:rFonts w:hint="eastAsia" w:ascii="仿宋" w:hAnsi="仿宋" w:eastAsia="仿宋" w:cs="黑体"/>
          <w:b/>
          <w:color w:val="auto"/>
          <w:sz w:val="24"/>
          <w:szCs w:val="24"/>
          <w:highlight w:val="none"/>
        </w:rPr>
        <w:t> ，工程复杂程度调整系数取</w:t>
      </w:r>
      <w:r>
        <w:rPr>
          <w:rFonts w:hint="eastAsia" w:ascii="仿宋" w:hAnsi="仿宋" w:eastAsia="仿宋" w:cs="黑体"/>
          <w:b/>
          <w:color w:val="auto"/>
          <w:sz w:val="24"/>
          <w:szCs w:val="24"/>
          <w:highlight w:val="none"/>
          <w:u w:val="single"/>
        </w:rPr>
        <w:t xml:space="preserve">  1.0  </w:t>
      </w:r>
      <w:r>
        <w:rPr>
          <w:rFonts w:hint="eastAsia" w:ascii="仿宋" w:hAnsi="仿宋" w:eastAsia="仿宋" w:cs="黑体"/>
          <w:b/>
          <w:color w:val="auto"/>
          <w:sz w:val="24"/>
          <w:szCs w:val="24"/>
          <w:highlight w:val="none"/>
        </w:rPr>
        <w:t>，高程调整系数取</w:t>
      </w:r>
      <w:r>
        <w:rPr>
          <w:rFonts w:hint="eastAsia" w:ascii="仿宋" w:hAnsi="仿宋" w:eastAsia="仿宋" w:cs="黑体"/>
          <w:b/>
          <w:color w:val="auto"/>
          <w:sz w:val="24"/>
          <w:szCs w:val="24"/>
          <w:highlight w:val="none"/>
          <w:u w:val="single"/>
        </w:rPr>
        <w:t xml:space="preserve">  1.0  </w:t>
      </w:r>
      <w:r>
        <w:rPr>
          <w:rFonts w:hint="eastAsia" w:ascii="仿宋" w:hAnsi="仿宋" w:eastAsia="仿宋" w:cs="黑体"/>
          <w:b/>
          <w:color w:val="auto"/>
          <w:sz w:val="24"/>
          <w:szCs w:val="24"/>
          <w:highlight w:val="none"/>
        </w:rPr>
        <w:t> ，且中选下浮率</w:t>
      </w:r>
      <w:r>
        <w:rPr>
          <w:rFonts w:hint="eastAsia" w:ascii="仿宋" w:hAnsi="仿宋" w:eastAsia="仿宋" w:cs="黑体"/>
          <w:b/>
          <w:color w:val="auto"/>
          <w:sz w:val="24"/>
          <w:szCs w:val="24"/>
          <w:highlight w:val="none"/>
          <w:u w:val="single"/>
        </w:rPr>
        <w:t xml:space="preserve">     </w:t>
      </w:r>
      <w:r>
        <w:rPr>
          <w:rFonts w:hint="eastAsia" w:ascii="仿宋" w:hAnsi="仿宋" w:eastAsia="仿宋" w:cs="黑体"/>
          <w:b/>
          <w:color w:val="auto"/>
          <w:sz w:val="24"/>
          <w:szCs w:val="24"/>
          <w:highlight w:val="none"/>
        </w:rPr>
        <w:t>%,监理服务费暂定为</w:t>
      </w:r>
      <w:r>
        <w:rPr>
          <w:rFonts w:hint="eastAsia" w:ascii="仿宋" w:hAnsi="仿宋" w:eastAsia="仿宋" w:cs="黑体"/>
          <w:b/>
          <w:color w:val="auto"/>
          <w:sz w:val="24"/>
          <w:szCs w:val="24"/>
          <w:highlight w:val="none"/>
          <w:u w:val="single"/>
        </w:rPr>
        <w:t xml:space="preserve">     </w:t>
      </w:r>
      <w:r>
        <w:rPr>
          <w:rFonts w:hint="eastAsia" w:ascii="仿宋" w:hAnsi="仿宋" w:eastAsia="仿宋" w:cs="黑体"/>
          <w:b/>
          <w:color w:val="auto"/>
          <w:sz w:val="24"/>
          <w:szCs w:val="24"/>
          <w:highlight w:val="none"/>
        </w:rPr>
        <w:t xml:space="preserve">万元［计算公式：施工监理服务收费=施工监理服务收费基价×专业调整系数×工程复杂程度调整系数×高程调整系数×（1±浮动幅度值）］。监理服务费终审结算价按工程实际终审结算价、《建设工程监理与相关服务收费管理规定》（发改价格[2007]670号文）和附加协议条款计算。最终结算金额以甲方委托的第三方审核单位审定的金额为准。 </w:t>
      </w:r>
    </w:p>
    <w:p>
      <w:pPr>
        <w:spacing w:line="360" w:lineRule="auto"/>
        <w:ind w:firstLine="482" w:firstLineChars="200"/>
        <w:outlineLvl w:val="1"/>
        <w:rPr>
          <w:rFonts w:hint="eastAsia" w:ascii="仿宋" w:hAnsi="仿宋" w:eastAsia="仿宋" w:cs="黑体"/>
          <w:b/>
          <w:color w:val="auto"/>
          <w:sz w:val="24"/>
          <w:szCs w:val="24"/>
          <w:highlight w:val="none"/>
        </w:rPr>
      </w:pPr>
      <w:r>
        <w:rPr>
          <w:rFonts w:hint="eastAsia" w:ascii="仿宋" w:hAnsi="仿宋" w:eastAsia="仿宋" w:cs="黑体"/>
          <w:b/>
          <w:color w:val="auto"/>
          <w:sz w:val="24"/>
          <w:szCs w:val="24"/>
          <w:highlight w:val="none"/>
        </w:rPr>
        <w:t>（2）按照《荔湾区基本建设项目财政性资金集中支付暂行办法》相关规定执行，支付监理费用以荔湾区2023年树木保护和复壮工程合同的工程进度为依据,根据每期区财政部门的结算审核价计算出相应的监理费，并同步支付该期监理费。当监理费累计支付至合同价的80%时，余款待工程完工验收合格且结算经甲方委托的第三方审核单位审定后一次付清。</w:t>
      </w:r>
      <w:bookmarkEnd w:id="100"/>
    </w:p>
    <w:p>
      <w:pPr>
        <w:pStyle w:val="49"/>
        <w:spacing w:line="360" w:lineRule="auto"/>
        <w:ind w:firstLine="482" w:firstLineChars="200"/>
        <w:rPr>
          <w:rFonts w:hint="eastAsia" w:ascii="仿宋" w:hAnsi="仿宋" w:eastAsia="仿宋" w:cs="黑体"/>
          <w:b/>
          <w:color w:val="auto"/>
          <w:sz w:val="24"/>
          <w:szCs w:val="24"/>
          <w:highlight w:val="none"/>
        </w:rPr>
      </w:pPr>
      <w:r>
        <w:rPr>
          <w:rFonts w:hint="eastAsia" w:ascii="仿宋" w:hAnsi="仿宋" w:eastAsia="仿宋" w:cs="黑体"/>
          <w:b/>
          <w:color w:val="auto"/>
          <w:sz w:val="24"/>
          <w:szCs w:val="24"/>
          <w:highlight w:val="none"/>
        </w:rPr>
        <w:t>（3）本合同条款中的付款时间，均是指甲方为向财政申请支付而办理申请手续的时间，而非指实际付款时间，具体付款时间以财政拨款时间为准，乙方对此无异议。</w:t>
      </w:r>
    </w:p>
    <w:p>
      <w:pPr>
        <w:spacing w:line="640" w:lineRule="exact"/>
        <w:outlineLvl w:val="1"/>
        <w:rPr>
          <w:rFonts w:ascii="仿宋" w:hAnsi="仿宋" w:eastAsia="仿宋"/>
          <w:b/>
          <w:bCs/>
          <w:color w:val="auto"/>
          <w:sz w:val="24"/>
          <w:szCs w:val="24"/>
          <w:highlight w:val="none"/>
        </w:rPr>
      </w:pPr>
      <w:bookmarkStart w:id="101" w:name="_Toc11558"/>
      <w:r>
        <w:rPr>
          <w:rFonts w:ascii="仿宋" w:hAnsi="仿宋" w:eastAsia="仿宋" w:cs="仿宋"/>
          <w:b/>
          <w:bCs/>
          <w:color w:val="auto"/>
          <w:sz w:val="24"/>
          <w:szCs w:val="24"/>
          <w:highlight w:val="none"/>
        </w:rPr>
        <w:t xml:space="preserve">6. </w:t>
      </w:r>
      <w:r>
        <w:rPr>
          <w:rFonts w:hint="eastAsia" w:ascii="仿宋" w:hAnsi="仿宋" w:eastAsia="仿宋" w:cs="仿宋"/>
          <w:b/>
          <w:bCs/>
          <w:color w:val="auto"/>
          <w:sz w:val="24"/>
          <w:szCs w:val="24"/>
          <w:highlight w:val="none"/>
        </w:rPr>
        <w:t>合同生效、变更、暂停、解除与终止</w:t>
      </w:r>
      <w:bookmarkEnd w:id="101"/>
    </w:p>
    <w:p>
      <w:pPr>
        <w:spacing w:line="640" w:lineRule="exact"/>
        <w:outlineLvl w:val="2"/>
        <w:rPr>
          <w:rFonts w:ascii="仿宋" w:hAnsi="仿宋" w:eastAsia="仿宋"/>
          <w:color w:val="auto"/>
          <w:sz w:val="24"/>
          <w:szCs w:val="24"/>
          <w:highlight w:val="none"/>
        </w:rPr>
      </w:pPr>
      <w:bookmarkStart w:id="102" w:name="_Toc6415"/>
      <w:r>
        <w:rPr>
          <w:rFonts w:ascii="仿宋" w:hAnsi="仿宋" w:eastAsia="仿宋" w:cs="仿宋"/>
          <w:color w:val="auto"/>
          <w:sz w:val="24"/>
          <w:szCs w:val="24"/>
          <w:highlight w:val="none"/>
        </w:rPr>
        <w:t xml:space="preserve">6.1 </w:t>
      </w:r>
      <w:r>
        <w:rPr>
          <w:rFonts w:hint="eastAsia" w:ascii="仿宋" w:hAnsi="仿宋" w:eastAsia="仿宋" w:cs="仿宋"/>
          <w:color w:val="auto"/>
          <w:sz w:val="24"/>
          <w:szCs w:val="24"/>
          <w:highlight w:val="none"/>
        </w:rPr>
        <w:t>生效</w:t>
      </w:r>
      <w:bookmarkEnd w:id="102"/>
    </w:p>
    <w:p>
      <w:pPr>
        <w:adjustRightInd w:val="0"/>
        <w:snapToGrid w:val="0"/>
        <w:spacing w:line="640" w:lineRule="exact"/>
        <w:ind w:firstLine="480"/>
        <w:rPr>
          <w:rFonts w:ascii="仿宋" w:hAnsi="仿宋" w:eastAsia="仿宋"/>
          <w:color w:val="auto"/>
          <w:sz w:val="24"/>
          <w:szCs w:val="24"/>
          <w:highlight w:val="none"/>
        </w:rPr>
      </w:pPr>
      <w:r>
        <w:rPr>
          <w:rFonts w:hint="eastAsia" w:ascii="仿宋" w:hAnsi="仿宋" w:eastAsia="仿宋" w:cs="仿宋"/>
          <w:color w:val="auto"/>
          <w:sz w:val="24"/>
          <w:szCs w:val="24"/>
          <w:highlight w:val="none"/>
        </w:rPr>
        <w:t>本合同生效条件：</w:t>
      </w:r>
      <w:r>
        <w:rPr>
          <w:rFonts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spacing w:line="640" w:lineRule="exact"/>
        <w:outlineLvl w:val="1"/>
        <w:rPr>
          <w:rFonts w:ascii="仿宋" w:hAnsi="仿宋" w:eastAsia="仿宋"/>
          <w:b/>
          <w:bCs/>
          <w:color w:val="auto"/>
          <w:sz w:val="24"/>
          <w:szCs w:val="24"/>
          <w:highlight w:val="none"/>
        </w:rPr>
      </w:pPr>
      <w:bookmarkStart w:id="103" w:name="_Toc20518"/>
      <w:r>
        <w:rPr>
          <w:rFonts w:ascii="仿宋" w:hAnsi="仿宋" w:eastAsia="仿宋" w:cs="仿宋"/>
          <w:b/>
          <w:bCs/>
          <w:color w:val="auto"/>
          <w:sz w:val="24"/>
          <w:szCs w:val="24"/>
          <w:highlight w:val="none"/>
        </w:rPr>
        <w:t xml:space="preserve">7. </w:t>
      </w:r>
      <w:r>
        <w:rPr>
          <w:rFonts w:hint="eastAsia" w:ascii="仿宋" w:hAnsi="仿宋" w:eastAsia="仿宋" w:cs="仿宋"/>
          <w:b/>
          <w:bCs/>
          <w:color w:val="auto"/>
          <w:sz w:val="24"/>
          <w:szCs w:val="24"/>
          <w:highlight w:val="none"/>
        </w:rPr>
        <w:t>争议解决</w:t>
      </w:r>
      <w:bookmarkEnd w:id="103"/>
    </w:p>
    <w:p>
      <w:pPr>
        <w:spacing w:line="640" w:lineRule="exact"/>
        <w:outlineLvl w:val="2"/>
        <w:rPr>
          <w:rFonts w:ascii="仿宋" w:hAnsi="仿宋" w:eastAsia="仿宋"/>
          <w:color w:val="auto"/>
          <w:sz w:val="24"/>
          <w:szCs w:val="24"/>
          <w:highlight w:val="none"/>
        </w:rPr>
      </w:pPr>
      <w:bookmarkStart w:id="104" w:name="_Toc27999"/>
      <w:r>
        <w:rPr>
          <w:rFonts w:ascii="仿宋" w:hAnsi="仿宋" w:eastAsia="仿宋" w:cs="仿宋"/>
          <w:color w:val="auto"/>
          <w:sz w:val="24"/>
          <w:szCs w:val="24"/>
          <w:highlight w:val="none"/>
        </w:rPr>
        <w:t xml:space="preserve">7.2 </w:t>
      </w:r>
      <w:r>
        <w:rPr>
          <w:rFonts w:hint="eastAsia" w:ascii="仿宋" w:hAnsi="仿宋" w:eastAsia="仿宋" w:cs="仿宋"/>
          <w:color w:val="auto"/>
          <w:sz w:val="24"/>
          <w:szCs w:val="24"/>
          <w:highlight w:val="none"/>
        </w:rPr>
        <w:t>调解</w:t>
      </w:r>
      <w:bookmarkEnd w:id="104"/>
    </w:p>
    <w:p>
      <w:pPr>
        <w:spacing w:line="640" w:lineRule="exact"/>
        <w:ind w:left="210" w:leftChars="100" w:firstLine="240" w:firstLineChars="100"/>
        <w:outlineLvl w:val="2"/>
        <w:rPr>
          <w:rFonts w:hint="eastAsia" w:ascii="仿宋" w:hAnsi="仿宋" w:eastAsia="仿宋" w:cs="仿宋"/>
          <w:color w:val="auto"/>
          <w:sz w:val="24"/>
          <w:szCs w:val="24"/>
          <w:highlight w:val="none"/>
        </w:rPr>
      </w:pPr>
      <w:bookmarkStart w:id="105" w:name="_Toc30052"/>
      <w:r>
        <w:rPr>
          <w:rFonts w:hint="eastAsia" w:ascii="仿宋" w:hAnsi="仿宋" w:eastAsia="仿宋" w:cs="仿宋"/>
          <w:color w:val="auto"/>
          <w:sz w:val="24"/>
          <w:szCs w:val="24"/>
          <w:highlight w:val="none"/>
        </w:rPr>
        <w:t>本合同在履行过程中发生争议时，当事人双方应及时协商解决</w:t>
      </w:r>
      <w:bookmarkEnd w:id="105"/>
    </w:p>
    <w:p>
      <w:pPr>
        <w:spacing w:line="640" w:lineRule="exact"/>
        <w:outlineLvl w:val="2"/>
        <w:rPr>
          <w:rFonts w:ascii="仿宋" w:hAnsi="仿宋" w:eastAsia="仿宋"/>
          <w:color w:val="auto"/>
          <w:sz w:val="24"/>
          <w:szCs w:val="24"/>
          <w:highlight w:val="none"/>
        </w:rPr>
      </w:pPr>
      <w:bookmarkStart w:id="106" w:name="_Toc2230"/>
      <w:r>
        <w:rPr>
          <w:rFonts w:ascii="仿宋" w:hAnsi="仿宋" w:eastAsia="仿宋" w:cs="仿宋"/>
          <w:color w:val="auto"/>
          <w:sz w:val="24"/>
          <w:szCs w:val="24"/>
          <w:highlight w:val="none"/>
        </w:rPr>
        <w:t xml:space="preserve">7.3 </w:t>
      </w:r>
      <w:r>
        <w:rPr>
          <w:rFonts w:hint="eastAsia" w:ascii="仿宋" w:hAnsi="仿宋" w:eastAsia="仿宋" w:cs="仿宋"/>
          <w:color w:val="auto"/>
          <w:sz w:val="24"/>
          <w:szCs w:val="24"/>
          <w:highlight w:val="none"/>
        </w:rPr>
        <w:t>仲裁或诉讼</w:t>
      </w:r>
      <w:bookmarkEnd w:id="106"/>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合同争议的最终解决方式为下列第</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2</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w:t>
      </w:r>
      <w:bookmarkStart w:id="108" w:name="_GoBack"/>
      <w:bookmarkEnd w:id="108"/>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）提请中国广州仲裁委员会进行仲裁。</w:t>
      </w:r>
    </w:p>
    <w:p>
      <w:pPr>
        <w:adjustRightInd w:val="0"/>
        <w:snapToGrid w:val="0"/>
        <w:spacing w:line="64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）向</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广州市荔湾区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人民法院提起诉讼。</w:t>
      </w:r>
    </w:p>
    <w:p>
      <w:pPr>
        <w:spacing w:line="640" w:lineRule="exact"/>
        <w:outlineLvl w:val="1"/>
        <w:rPr>
          <w:rFonts w:ascii="仿宋" w:hAnsi="仿宋" w:eastAsia="仿宋"/>
          <w:b/>
          <w:bCs/>
          <w:color w:val="auto"/>
          <w:sz w:val="24"/>
          <w:szCs w:val="24"/>
          <w:highlight w:val="none"/>
        </w:rPr>
      </w:pPr>
      <w:bookmarkStart w:id="107" w:name="_Toc11598"/>
      <w:r>
        <w:rPr>
          <w:rFonts w:ascii="仿宋" w:hAnsi="仿宋" w:eastAsia="仿宋" w:cs="仿宋"/>
          <w:b/>
          <w:bCs/>
          <w:color w:val="auto"/>
          <w:sz w:val="24"/>
          <w:szCs w:val="24"/>
          <w:highlight w:val="none"/>
        </w:rPr>
        <w:t xml:space="preserve">8. </w:t>
      </w:r>
      <w:r>
        <w:rPr>
          <w:rFonts w:hint="eastAsia" w:ascii="仿宋" w:hAnsi="仿宋" w:eastAsia="仿宋" w:cs="仿宋"/>
          <w:b/>
          <w:bCs/>
          <w:color w:val="auto"/>
          <w:sz w:val="24"/>
          <w:szCs w:val="24"/>
          <w:highlight w:val="none"/>
        </w:rPr>
        <w:t>补充条款</w:t>
      </w:r>
      <w:bookmarkEnd w:id="107"/>
    </w:p>
    <w:p>
      <w:pPr>
        <w:tabs>
          <w:tab w:val="left" w:pos="1200"/>
        </w:tabs>
        <w:spacing w:line="360" w:lineRule="auto"/>
        <w:ind w:firstLine="482" w:firstLineChars="200"/>
        <w:rPr>
          <w:rFonts w:hint="eastAsia" w:ascii="楷体_GB2312" w:hAnsi="宋体" w:eastAsia="楷体_GB2312"/>
          <w:b/>
          <w:color w:val="auto"/>
          <w:sz w:val="24"/>
          <w:highlight w:val="none"/>
          <w:u w:val="single"/>
        </w:rPr>
      </w:pPr>
      <w:r>
        <w:rPr>
          <w:rFonts w:hint="eastAsia" w:ascii="楷体_GB2312" w:hAnsi="宋体" w:eastAsia="楷体_GB2312"/>
          <w:b/>
          <w:color w:val="auto"/>
          <w:sz w:val="24"/>
          <w:highlight w:val="none"/>
          <w:u w:val="single"/>
        </w:rPr>
        <w:t>1、监理单位未能按照规定实施监理工作，造成委托人损失的，应按其责任范围承担相应责任 。</w:t>
      </w:r>
    </w:p>
    <w:p>
      <w:pPr>
        <w:tabs>
          <w:tab w:val="left" w:pos="1200"/>
        </w:tabs>
        <w:spacing w:line="360" w:lineRule="auto"/>
        <w:ind w:firstLine="482" w:firstLineChars="200"/>
        <w:rPr>
          <w:rFonts w:hint="eastAsia" w:ascii="楷体_GB2312" w:hAnsi="宋体" w:eastAsia="楷体_GB2312"/>
          <w:b/>
          <w:color w:val="auto"/>
          <w:sz w:val="24"/>
          <w:highlight w:val="none"/>
          <w:u w:val="single"/>
        </w:rPr>
      </w:pPr>
      <w:r>
        <w:rPr>
          <w:rFonts w:hint="eastAsia" w:ascii="楷体_GB2312" w:hAnsi="宋体" w:eastAsia="楷体_GB2312"/>
          <w:b/>
          <w:color w:val="auto"/>
          <w:sz w:val="24"/>
          <w:highlight w:val="none"/>
          <w:u w:val="single"/>
        </w:rPr>
        <w:t>2、如监理方违反本协议，委托方因维权所需的律师费、财产保全担保费、差旅费、调查费等费用由监理方承担。</w:t>
      </w:r>
    </w:p>
    <w:p>
      <w:pPr>
        <w:adjustRightInd w:val="0"/>
        <w:snapToGrid w:val="0"/>
        <w:spacing w:before="156" w:beforeLines="50" w:after="156" w:afterLines="50" w:line="360" w:lineRule="auto"/>
        <w:rPr>
          <w:rFonts w:hint="eastAsia" w:ascii="仿宋" w:hAnsi="仿宋" w:eastAsia="仿宋"/>
          <w:color w:val="auto"/>
          <w:sz w:val="32"/>
          <w:szCs w:val="32"/>
          <w:highlight w:val="none"/>
        </w:rPr>
      </w:pPr>
    </w:p>
    <w:p>
      <w:pPr>
        <w:adjustRightInd w:val="0"/>
        <w:snapToGrid w:val="0"/>
        <w:spacing w:before="156" w:beforeLines="50" w:after="156" w:afterLines="50" w:line="360" w:lineRule="auto"/>
        <w:rPr>
          <w:rFonts w:ascii="仿宋" w:hAnsi="仿宋" w:eastAsia="仿宋"/>
          <w:color w:val="auto"/>
          <w:sz w:val="32"/>
          <w:szCs w:val="32"/>
          <w:highlight w:val="none"/>
        </w:rPr>
      </w:pPr>
    </w:p>
    <w:p>
      <w:pPr>
        <w:spacing w:line="360" w:lineRule="auto"/>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br w:type="page"/>
      </w:r>
    </w:p>
    <w:p>
      <w:pPr>
        <w:spacing w:line="360" w:lineRule="auto"/>
        <w:jc w:val="center"/>
        <w:rPr>
          <w:rFonts w:ascii="仿宋" w:hAnsi="仿宋" w:eastAsia="仿宋"/>
          <w:b/>
          <w:bCs/>
          <w:color w:val="auto"/>
          <w:sz w:val="36"/>
          <w:szCs w:val="36"/>
          <w:highlight w:val="none"/>
        </w:rPr>
      </w:pPr>
      <w:r>
        <w:rPr>
          <w:rFonts w:hint="eastAsia" w:ascii="仿宋" w:hAnsi="仿宋" w:eastAsia="仿宋" w:cs="仿宋"/>
          <w:b/>
          <w:bCs/>
          <w:color w:val="auto"/>
          <w:sz w:val="36"/>
          <w:szCs w:val="36"/>
          <w:highlight w:val="none"/>
        </w:rPr>
        <w:t>廉</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政</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合</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同</w:t>
      </w:r>
    </w:p>
    <w:p>
      <w:pPr>
        <w:spacing w:line="360" w:lineRule="auto"/>
        <w:rPr>
          <w:rFonts w:ascii="仿宋" w:hAnsi="仿宋" w:eastAsia="仿宋"/>
          <w:color w:val="auto"/>
          <w:sz w:val="24"/>
          <w:szCs w:val="24"/>
          <w:highlight w:val="none"/>
        </w:rPr>
      </w:pPr>
    </w:p>
    <w:p>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发包人：（全称）</w:t>
      </w:r>
      <w:r>
        <w:rPr>
          <w:rFonts w:ascii="仿宋" w:hAnsi="仿宋" w:eastAsia="仿宋" w:cs="仿宋"/>
          <w:color w:val="auto"/>
          <w:sz w:val="24"/>
          <w:szCs w:val="24"/>
          <w:highlight w:val="none"/>
          <w:u w:val="single"/>
        </w:rPr>
        <w:t xml:space="preserve">                                    </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承包人：（全称）</w:t>
      </w:r>
      <w:r>
        <w:rPr>
          <w:rFonts w:ascii="仿宋" w:hAnsi="仿宋" w:eastAsia="仿宋" w:cs="仿宋"/>
          <w:color w:val="auto"/>
          <w:sz w:val="24"/>
          <w:szCs w:val="24"/>
          <w:highlight w:val="none"/>
          <w:u w:val="single"/>
        </w:rPr>
        <w:t xml:space="preserve">                                    </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s="仿宋"/>
          <w:color w:val="auto"/>
          <w:kern w:val="0"/>
          <w:sz w:val="24"/>
          <w:szCs w:val="24"/>
          <w:highlight w:val="none"/>
          <w:lang w:val="zh-CN"/>
        </w:rPr>
        <w:t>根据国家、省有关廉政建设的规定，为做好合同工程的廉政建设，保证工程质量与施工安</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全，提高建设资金的有效使用和投资效益，合同双方当事人就加强合同工程的廉政建设，订立</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本合同</w:t>
      </w:r>
      <w:r>
        <w:rPr>
          <w:rFonts w:hint="eastAsia" w:ascii="仿宋" w:hAnsi="仿宋" w:eastAsia="仿宋" w:cs="仿宋"/>
          <w:color w:val="auto"/>
          <w:sz w:val="24"/>
          <w:szCs w:val="24"/>
          <w:highlight w:val="none"/>
        </w:rPr>
        <w:t>。</w:t>
      </w:r>
    </w:p>
    <w:p>
      <w:pPr>
        <w:spacing w:line="360" w:lineRule="auto"/>
        <w:ind w:firstLine="562" w:firstLineChars="200"/>
        <w:jc w:val="left"/>
        <w:rPr>
          <w:rFonts w:ascii="仿宋" w:hAnsi="仿宋" w:eastAsia="仿宋"/>
          <w:b/>
          <w:bCs/>
          <w:color w:val="auto"/>
          <w:sz w:val="28"/>
          <w:szCs w:val="28"/>
          <w:highlight w:val="none"/>
        </w:rPr>
      </w:pPr>
      <w:r>
        <w:rPr>
          <w:rFonts w:ascii="仿宋" w:hAnsi="仿宋" w:eastAsia="仿宋" w:cs="仿宋"/>
          <w:b/>
          <w:bCs/>
          <w:color w:val="auto"/>
          <w:sz w:val="28"/>
          <w:szCs w:val="28"/>
          <w:highlight w:val="none"/>
        </w:rPr>
        <w:t xml:space="preserve">1  </w:t>
      </w:r>
      <w:r>
        <w:rPr>
          <w:rFonts w:hint="eastAsia" w:ascii="仿宋" w:hAnsi="仿宋" w:eastAsia="仿宋" w:cs="仿宋"/>
          <w:b/>
          <w:bCs/>
          <w:color w:val="auto"/>
          <w:sz w:val="28"/>
          <w:szCs w:val="28"/>
          <w:highlight w:val="none"/>
        </w:rPr>
        <w:t>双方权利和义务</w:t>
      </w:r>
    </w:p>
    <w:p>
      <w:pPr>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rPr>
        <w:t>严格遵守国家、省有关法律法规的规定。</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rPr>
        <w:t>严格执行合同工程一切合同文件，自觉按合同办事。</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1.3  </w:t>
      </w:r>
      <w:r>
        <w:rPr>
          <w:rFonts w:hint="eastAsia" w:ascii="仿宋" w:hAnsi="仿宋" w:eastAsia="仿宋" w:cs="仿宋"/>
          <w:color w:val="auto"/>
          <w:kern w:val="0"/>
          <w:sz w:val="24"/>
          <w:szCs w:val="24"/>
          <w:highlight w:val="none"/>
          <w:lang w:val="zh-CN"/>
        </w:rPr>
        <w:t>合同双方当事人的业务活动应坚持公平、公开、公正和诚信的原则（法律认定的商业</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秘密和合同文件另有规定除外），不得损害国家和集体利益，不得违反工程建设管理规章制度</w:t>
      </w:r>
      <w:r>
        <w:rPr>
          <w:rFonts w:hint="eastAsia" w:ascii="仿宋" w:hAnsi="仿宋" w:eastAsia="仿宋" w:cs="仿宋"/>
          <w:color w:val="auto"/>
          <w:sz w:val="24"/>
          <w:szCs w:val="24"/>
          <w:highlight w:val="none"/>
        </w:rPr>
        <w:t>。</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1.4  </w:t>
      </w:r>
      <w:r>
        <w:rPr>
          <w:rFonts w:hint="eastAsia" w:ascii="仿宋" w:hAnsi="仿宋" w:eastAsia="仿宋" w:cs="仿宋"/>
          <w:color w:val="auto"/>
          <w:sz w:val="24"/>
          <w:szCs w:val="24"/>
          <w:highlight w:val="none"/>
        </w:rPr>
        <w:t>建立健全廉政制度，开展廉政教育，设立廉政告示牌，公布举报电话，监督并认真查处违法违纪行为。</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1.5  </w:t>
      </w:r>
      <w:r>
        <w:rPr>
          <w:rFonts w:hint="eastAsia" w:ascii="仿宋" w:hAnsi="仿宋" w:eastAsia="仿宋" w:cs="仿宋"/>
          <w:color w:val="auto"/>
          <w:sz w:val="24"/>
          <w:szCs w:val="24"/>
          <w:highlight w:val="none"/>
        </w:rPr>
        <w:t>发现对方在业务活动中有违反廉政建设规定的行为，应及时给予提醒和纠正。</w:t>
      </w:r>
    </w:p>
    <w:p>
      <w:pPr>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rPr>
        <w:t>发现对方严重违反合同的行为，有向其上级部门举报、建议给予处理并要求告知处理结果的权利。没有上级部门的，</w:t>
      </w:r>
      <w:r>
        <w:rPr>
          <w:rFonts w:hint="eastAsia" w:ascii="仿宋" w:hAnsi="仿宋" w:eastAsia="仿宋" w:cs="仿宋"/>
          <w:color w:val="auto"/>
          <w:kern w:val="0"/>
          <w:sz w:val="24"/>
          <w:szCs w:val="24"/>
          <w:highlight w:val="none"/>
          <w:lang w:val="zh-CN"/>
        </w:rPr>
        <w:t>可按本合同第三部分《专用条款》第</w:t>
      </w:r>
      <w:r>
        <w:rPr>
          <w:rFonts w:ascii="仿宋" w:hAnsi="仿宋" w:eastAsia="仿宋" w:cs="仿宋"/>
          <w:color w:val="auto"/>
          <w:kern w:val="0"/>
          <w:sz w:val="24"/>
          <w:szCs w:val="24"/>
          <w:highlight w:val="none"/>
        </w:rPr>
        <w:t xml:space="preserve">7 </w:t>
      </w:r>
      <w:r>
        <w:rPr>
          <w:rFonts w:hint="eastAsia" w:ascii="仿宋" w:hAnsi="仿宋" w:eastAsia="仿宋" w:cs="仿宋"/>
          <w:color w:val="auto"/>
          <w:kern w:val="0"/>
          <w:sz w:val="24"/>
          <w:szCs w:val="24"/>
          <w:highlight w:val="none"/>
          <w:lang w:val="zh-CN"/>
        </w:rPr>
        <w:t>条规定处理</w:t>
      </w:r>
      <w:r>
        <w:rPr>
          <w:rFonts w:hint="eastAsia" w:ascii="仿宋" w:hAnsi="仿宋" w:eastAsia="仿宋" w:cs="仿宋"/>
          <w:color w:val="auto"/>
          <w:sz w:val="24"/>
          <w:szCs w:val="24"/>
          <w:highlight w:val="none"/>
        </w:rPr>
        <w:t>。</w:t>
      </w:r>
    </w:p>
    <w:p>
      <w:pPr>
        <w:spacing w:line="360" w:lineRule="auto"/>
        <w:ind w:firstLine="562" w:firstLineChars="200"/>
        <w:jc w:val="left"/>
        <w:rPr>
          <w:rFonts w:ascii="仿宋" w:hAnsi="仿宋" w:eastAsia="仿宋"/>
          <w:b/>
          <w:bCs/>
          <w:color w:val="auto"/>
          <w:sz w:val="28"/>
          <w:szCs w:val="28"/>
          <w:highlight w:val="none"/>
        </w:rPr>
      </w:pPr>
      <w:r>
        <w:rPr>
          <w:rFonts w:ascii="仿宋" w:hAnsi="仿宋" w:eastAsia="仿宋" w:cs="仿宋"/>
          <w:b/>
          <w:bCs/>
          <w:color w:val="auto"/>
          <w:sz w:val="28"/>
          <w:szCs w:val="28"/>
          <w:highlight w:val="none"/>
        </w:rPr>
        <w:t xml:space="preserve">2  </w:t>
      </w:r>
      <w:r>
        <w:rPr>
          <w:rFonts w:hint="eastAsia" w:ascii="仿宋" w:hAnsi="仿宋" w:eastAsia="仿宋" w:cs="仿宋"/>
          <w:b/>
          <w:bCs/>
          <w:color w:val="auto"/>
          <w:sz w:val="28"/>
          <w:szCs w:val="28"/>
          <w:highlight w:val="none"/>
        </w:rPr>
        <w:t>发包人义务</w:t>
      </w:r>
    </w:p>
    <w:p>
      <w:pPr>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rPr>
        <w:t>发包人及其工作人员不得索要或接受承包人的礼金、有价证券和贵重物品，不得在承包人报销任何应由发包人或工作人员个人支付的费用等。</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rPr>
        <w:t>发包人及其工作人员不得参加承包人安排的宴请（工作餐除外）和娱乐活动；不得接受承包人提供的通讯工具、交通工具和高档办公用品等。</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rPr>
        <w:t>发包人及其工作人员不得要求或者接受承包人为其住房装修、婚丧嫁娶活动、配偶子女的工作安排以及出国出境、旅游等提供方便等。</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2.4  </w:t>
      </w:r>
      <w:r>
        <w:rPr>
          <w:rFonts w:hint="eastAsia" w:ascii="仿宋" w:hAnsi="仿宋" w:eastAsia="仿宋" w:cs="仿宋"/>
          <w:color w:val="auto"/>
          <w:kern w:val="0"/>
          <w:sz w:val="24"/>
          <w:szCs w:val="24"/>
          <w:highlight w:val="none"/>
          <w:lang w:val="zh-CN"/>
        </w:rPr>
        <w:t>发包人及其工作人员不得以任何理由向承包人推荐分包人、推销材料和工程设备，不得要求承包人购买合同以外的材料和工程设备</w:t>
      </w:r>
      <w:r>
        <w:rPr>
          <w:rFonts w:hint="eastAsia" w:ascii="仿宋" w:hAnsi="仿宋" w:eastAsia="仿宋" w:cs="仿宋"/>
          <w:color w:val="auto"/>
          <w:sz w:val="24"/>
          <w:szCs w:val="24"/>
          <w:highlight w:val="none"/>
        </w:rPr>
        <w:t>。</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2.5  </w:t>
      </w:r>
      <w:r>
        <w:rPr>
          <w:rFonts w:hint="eastAsia" w:ascii="仿宋" w:hAnsi="仿宋" w:eastAsia="仿宋" w:cs="仿宋"/>
          <w:color w:val="auto"/>
          <w:kern w:val="0"/>
          <w:sz w:val="24"/>
          <w:szCs w:val="24"/>
          <w:highlight w:val="none"/>
          <w:lang w:val="zh-CN"/>
        </w:rPr>
        <w:t>发包人及其工作人员要秉公办事，不准营私舞弊，不准利用职权私自为合同工程安排施工队伍，也不得从事与合同工程有关的各种有偿中介活动</w:t>
      </w:r>
      <w:r>
        <w:rPr>
          <w:rFonts w:hint="eastAsia" w:ascii="仿宋" w:hAnsi="仿宋" w:eastAsia="仿宋" w:cs="仿宋"/>
          <w:color w:val="auto"/>
          <w:sz w:val="24"/>
          <w:szCs w:val="24"/>
          <w:highlight w:val="none"/>
        </w:rPr>
        <w:t>。</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2.6  </w:t>
      </w:r>
      <w:r>
        <w:rPr>
          <w:rFonts w:hint="eastAsia" w:ascii="仿宋" w:hAnsi="仿宋" w:eastAsia="仿宋" w:cs="仿宋"/>
          <w:color w:val="auto"/>
          <w:kern w:val="0"/>
          <w:sz w:val="24"/>
          <w:szCs w:val="24"/>
          <w:highlight w:val="none"/>
          <w:lang w:val="zh-CN"/>
        </w:rPr>
        <w:t>发包人及其工作人员（含其配偶、子女）不得从事与合同工程有关的材料和工程设备供应、工程分包、劳务等经济活动</w:t>
      </w:r>
      <w:r>
        <w:rPr>
          <w:rFonts w:hint="eastAsia" w:ascii="仿宋" w:hAnsi="仿宋" w:eastAsia="仿宋" w:cs="仿宋"/>
          <w:color w:val="auto"/>
          <w:sz w:val="24"/>
          <w:szCs w:val="24"/>
          <w:highlight w:val="none"/>
        </w:rPr>
        <w:t>。</w:t>
      </w:r>
    </w:p>
    <w:p>
      <w:pPr>
        <w:spacing w:line="360" w:lineRule="auto"/>
        <w:ind w:firstLine="562" w:firstLineChars="200"/>
        <w:rPr>
          <w:rFonts w:ascii="仿宋" w:hAnsi="仿宋" w:eastAsia="仿宋"/>
          <w:b/>
          <w:bCs/>
          <w:color w:val="auto"/>
          <w:sz w:val="28"/>
          <w:szCs w:val="28"/>
          <w:highlight w:val="none"/>
        </w:rPr>
      </w:pPr>
      <w:r>
        <w:rPr>
          <w:rFonts w:ascii="仿宋" w:hAnsi="仿宋" w:eastAsia="仿宋" w:cs="仿宋"/>
          <w:b/>
          <w:bCs/>
          <w:color w:val="auto"/>
          <w:sz w:val="28"/>
          <w:szCs w:val="28"/>
          <w:highlight w:val="none"/>
        </w:rPr>
        <w:t xml:space="preserve">3  </w:t>
      </w:r>
      <w:r>
        <w:rPr>
          <w:rFonts w:hint="eastAsia" w:ascii="仿宋" w:hAnsi="仿宋" w:eastAsia="仿宋" w:cs="仿宋"/>
          <w:b/>
          <w:bCs/>
          <w:color w:val="auto"/>
          <w:sz w:val="28"/>
          <w:szCs w:val="28"/>
          <w:highlight w:val="none"/>
        </w:rPr>
        <w:t>承包人义务</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3.1  </w:t>
      </w:r>
      <w:r>
        <w:rPr>
          <w:rFonts w:hint="eastAsia" w:ascii="仿宋" w:hAnsi="仿宋" w:eastAsia="仿宋" w:cs="仿宋"/>
          <w:color w:val="auto"/>
          <w:sz w:val="24"/>
          <w:szCs w:val="24"/>
          <w:highlight w:val="none"/>
        </w:rPr>
        <w:t>承包人不得以任何理由向发包人及其工作人员行贿或馈赠礼金、有价证券、贵重礼品。</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3.2  </w:t>
      </w:r>
      <w:r>
        <w:rPr>
          <w:rFonts w:hint="eastAsia" w:ascii="仿宋" w:hAnsi="仿宋" w:eastAsia="仿宋" w:cs="仿宋"/>
          <w:color w:val="auto"/>
          <w:sz w:val="24"/>
          <w:szCs w:val="24"/>
          <w:highlight w:val="none"/>
        </w:rPr>
        <w:t>承包人不得以任何名义为发包人及其工作人员报销应由发包人或工作人员个人支付的任何费用。</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3.3  </w:t>
      </w:r>
      <w:r>
        <w:rPr>
          <w:rFonts w:hint="eastAsia" w:ascii="仿宋" w:hAnsi="仿宋" w:eastAsia="仿宋" w:cs="仿宋"/>
          <w:color w:val="auto"/>
          <w:sz w:val="24"/>
          <w:szCs w:val="24"/>
          <w:highlight w:val="none"/>
        </w:rPr>
        <w:t>承包人不得以任何理由安排发包人及其工作人员参加宴请（工作餐除外）及娱乐活动。</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3.4  </w:t>
      </w:r>
      <w:r>
        <w:rPr>
          <w:rFonts w:hint="eastAsia" w:ascii="仿宋" w:hAnsi="仿宋" w:eastAsia="仿宋" w:cs="仿宋"/>
          <w:color w:val="auto"/>
          <w:sz w:val="24"/>
          <w:szCs w:val="24"/>
          <w:highlight w:val="none"/>
        </w:rPr>
        <w:t>承包人不得为发包人和个人购置或提供通讯工具、交通工具和高档办公用品等。</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3.5  </w:t>
      </w:r>
      <w:r>
        <w:rPr>
          <w:rFonts w:hint="eastAsia" w:ascii="仿宋" w:hAnsi="仿宋" w:eastAsia="仿宋" w:cs="仿宋"/>
          <w:color w:val="auto"/>
          <w:kern w:val="0"/>
          <w:sz w:val="24"/>
          <w:szCs w:val="24"/>
          <w:highlight w:val="none"/>
          <w:lang w:val="zh-CN"/>
        </w:rPr>
        <w:t>承包人不得为发包人及其工作人员的住房装修、婚丧嫁娶活动、配偶子女工作安排以及出国出境、旅游等提供方便。</w:t>
      </w:r>
    </w:p>
    <w:p>
      <w:pPr>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  违约责任</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4.1  </w:t>
      </w:r>
      <w:r>
        <w:rPr>
          <w:rFonts w:hint="eastAsia" w:ascii="仿宋" w:hAnsi="仿宋" w:eastAsia="仿宋" w:cs="仿宋"/>
          <w:color w:val="auto"/>
          <w:sz w:val="24"/>
          <w:szCs w:val="24"/>
          <w:highlight w:val="none"/>
        </w:rPr>
        <w:t>发包人及其工作人员违反本合同第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条规定，应依据有关规定给予廉政建设规定的处分；涉嫌犯罪的，移交司法机关追究刑事责任；给承包人造成经济损失的，应予赔偿。</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4.2  </w:t>
      </w:r>
      <w:r>
        <w:rPr>
          <w:rFonts w:hint="eastAsia" w:ascii="仿宋" w:hAnsi="仿宋" w:eastAsia="仿宋" w:cs="仿宋"/>
          <w:color w:val="auto"/>
          <w:kern w:val="0"/>
          <w:sz w:val="24"/>
          <w:szCs w:val="24"/>
          <w:highlight w:val="none"/>
          <w:lang w:val="zh-CN"/>
        </w:rPr>
        <w:t>承包人及其工作人员违反本合同第</w:t>
      </w:r>
      <w:r>
        <w:rPr>
          <w:rFonts w:ascii="仿宋" w:hAnsi="仿宋" w:eastAsia="仿宋" w:cs="仿宋"/>
          <w:color w:val="auto"/>
          <w:kern w:val="0"/>
          <w:sz w:val="24"/>
          <w:szCs w:val="24"/>
          <w:highlight w:val="none"/>
        </w:rPr>
        <w:t xml:space="preserve"> 1 </w:t>
      </w:r>
      <w:r>
        <w:rPr>
          <w:rFonts w:hint="eastAsia" w:ascii="仿宋" w:hAnsi="仿宋" w:eastAsia="仿宋" w:cs="仿宋"/>
          <w:color w:val="auto"/>
          <w:kern w:val="0"/>
          <w:sz w:val="24"/>
          <w:szCs w:val="24"/>
          <w:highlight w:val="none"/>
          <w:lang w:val="zh-CN"/>
        </w:rPr>
        <w:t>条和第</w:t>
      </w:r>
      <w:r>
        <w:rPr>
          <w:rFonts w:ascii="仿宋" w:hAnsi="仿宋" w:eastAsia="仿宋" w:cs="仿宋"/>
          <w:color w:val="auto"/>
          <w:kern w:val="0"/>
          <w:sz w:val="24"/>
          <w:szCs w:val="24"/>
          <w:highlight w:val="none"/>
        </w:rPr>
        <w:t xml:space="preserve"> 3 </w:t>
      </w:r>
      <w:r>
        <w:rPr>
          <w:rFonts w:hint="eastAsia" w:ascii="仿宋" w:hAnsi="仿宋" w:eastAsia="仿宋" w:cs="仿宋"/>
          <w:color w:val="auto"/>
          <w:kern w:val="0"/>
          <w:sz w:val="24"/>
          <w:szCs w:val="24"/>
          <w:highlight w:val="none"/>
          <w:lang w:val="zh-CN"/>
        </w:rPr>
        <w:t>条规定，应按照廉政建设的有关规定给</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予处分；情节严重的，给予承包人</w:t>
      </w:r>
      <w:r>
        <w:rPr>
          <w:rFonts w:ascii="仿宋" w:hAnsi="仿宋" w:eastAsia="仿宋" w:cs="仿宋"/>
          <w:color w:val="auto"/>
          <w:kern w:val="0"/>
          <w:sz w:val="24"/>
          <w:szCs w:val="24"/>
          <w:highlight w:val="none"/>
        </w:rPr>
        <w:t xml:space="preserve"> 1</w:t>
      </w:r>
      <w:r>
        <w:rPr>
          <w:rFonts w:hint="eastAsia" w:ascii="仿宋" w:hAnsi="仿宋" w:eastAsia="仿宋" w:cs="仿宋"/>
          <w:color w:val="auto"/>
          <w:kern w:val="0"/>
          <w:sz w:val="24"/>
          <w:szCs w:val="24"/>
          <w:highlight w:val="none"/>
          <w:lang w:val="zh-CN"/>
        </w:rPr>
        <w:t>～</w:t>
      </w:r>
      <w:r>
        <w:rPr>
          <w:rFonts w:ascii="仿宋" w:hAnsi="仿宋" w:eastAsia="仿宋" w:cs="仿宋"/>
          <w:color w:val="auto"/>
          <w:kern w:val="0"/>
          <w:sz w:val="24"/>
          <w:szCs w:val="24"/>
          <w:highlight w:val="none"/>
        </w:rPr>
        <w:t xml:space="preserve">3 </w:t>
      </w:r>
      <w:r>
        <w:rPr>
          <w:rFonts w:hint="eastAsia" w:ascii="仿宋" w:hAnsi="仿宋" w:eastAsia="仿宋" w:cs="仿宋"/>
          <w:color w:val="auto"/>
          <w:kern w:val="0"/>
          <w:sz w:val="24"/>
          <w:szCs w:val="24"/>
          <w:highlight w:val="none"/>
          <w:lang w:val="zh-CN"/>
        </w:rPr>
        <w:t>年内不得进入工程建设市场的处罚；涉嫌犯罪的，移交司法机关追究刑事责任；给发包人造成损失的，应予赔偿；</w:t>
      </w:r>
    </w:p>
    <w:p>
      <w:pPr>
        <w:spacing w:line="360" w:lineRule="auto"/>
        <w:ind w:firstLine="562" w:firstLineChars="200"/>
        <w:rPr>
          <w:rFonts w:ascii="仿宋" w:hAnsi="仿宋" w:eastAsia="仿宋"/>
          <w:b/>
          <w:bCs/>
          <w:color w:val="auto"/>
          <w:sz w:val="28"/>
          <w:szCs w:val="28"/>
          <w:highlight w:val="none"/>
        </w:rPr>
      </w:pPr>
      <w:r>
        <w:rPr>
          <w:rFonts w:hint="eastAsia" w:ascii="仿宋" w:hAnsi="仿宋" w:eastAsia="仿宋" w:cs="仿宋"/>
          <w:b/>
          <w:bCs/>
          <w:color w:val="auto"/>
          <w:sz w:val="28"/>
          <w:szCs w:val="28"/>
          <w:highlight w:val="none"/>
        </w:rPr>
        <w:t>5  双方约定</w:t>
      </w:r>
    </w:p>
    <w:p>
      <w:pPr>
        <w:pStyle w:val="11"/>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lang w:val="zh-CN"/>
        </w:rPr>
        <w:t>本合同由合同双方当事人或其上级部门负责监督执行，并由合同双方当事人或其上级部门</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相互约请对本合同执行情况进行检查</w:t>
      </w:r>
      <w:r>
        <w:rPr>
          <w:rFonts w:hint="eastAsia" w:ascii="仿宋" w:hAnsi="仿宋" w:eastAsia="仿宋" w:cs="仿宋"/>
          <w:color w:val="auto"/>
          <w:sz w:val="24"/>
          <w:highlight w:val="none"/>
        </w:rPr>
        <w:t>。</w:t>
      </w:r>
    </w:p>
    <w:p>
      <w:pPr>
        <w:spacing w:line="360" w:lineRule="auto"/>
        <w:ind w:firstLine="562" w:firstLineChars="200"/>
        <w:rPr>
          <w:rFonts w:ascii="仿宋" w:hAnsi="仿宋" w:eastAsia="仿宋"/>
          <w:b/>
          <w:bCs/>
          <w:color w:val="auto"/>
          <w:sz w:val="28"/>
          <w:szCs w:val="28"/>
          <w:highlight w:val="none"/>
        </w:rPr>
      </w:pPr>
      <w:r>
        <w:rPr>
          <w:rFonts w:ascii="仿宋" w:hAnsi="仿宋" w:eastAsia="仿宋" w:cs="仿宋"/>
          <w:b/>
          <w:bCs/>
          <w:color w:val="auto"/>
          <w:sz w:val="28"/>
          <w:szCs w:val="28"/>
          <w:highlight w:val="none"/>
        </w:rPr>
        <w:t xml:space="preserve">6  </w:t>
      </w:r>
      <w:r>
        <w:rPr>
          <w:rFonts w:hint="eastAsia" w:ascii="仿宋" w:hAnsi="仿宋" w:eastAsia="仿宋" w:cs="仿宋"/>
          <w:b/>
          <w:bCs/>
          <w:color w:val="auto"/>
          <w:sz w:val="28"/>
          <w:szCs w:val="28"/>
          <w:highlight w:val="none"/>
        </w:rPr>
        <w:t>合同法律效力</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本合同作为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（工程名称）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工程施工合同的附件，与施工合同具有同等的法律效力。</w:t>
      </w:r>
    </w:p>
    <w:p>
      <w:pPr>
        <w:spacing w:line="360" w:lineRule="auto"/>
        <w:ind w:firstLine="562" w:firstLineChars="200"/>
        <w:rPr>
          <w:rFonts w:ascii="仿宋" w:hAnsi="仿宋" w:eastAsia="仿宋"/>
          <w:b/>
          <w:bCs/>
          <w:color w:val="auto"/>
          <w:sz w:val="28"/>
          <w:szCs w:val="28"/>
          <w:highlight w:val="none"/>
        </w:rPr>
      </w:pPr>
      <w:r>
        <w:rPr>
          <w:rFonts w:ascii="仿宋" w:hAnsi="仿宋" w:eastAsia="仿宋" w:cs="仿宋"/>
          <w:b/>
          <w:bCs/>
          <w:color w:val="auto"/>
          <w:sz w:val="28"/>
          <w:szCs w:val="28"/>
          <w:highlight w:val="none"/>
        </w:rPr>
        <w:t xml:space="preserve">7  </w:t>
      </w:r>
      <w:r>
        <w:rPr>
          <w:rFonts w:hint="eastAsia" w:ascii="仿宋" w:hAnsi="仿宋" w:eastAsia="仿宋" w:cs="仿宋"/>
          <w:b/>
          <w:bCs/>
          <w:color w:val="auto"/>
          <w:sz w:val="28"/>
          <w:szCs w:val="28"/>
          <w:highlight w:val="none"/>
        </w:rPr>
        <w:t>合同份数</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本合同一式</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份，合同双方当事人各执</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份。有上级部门的，合同双方当事人应送交其上级部门各一份。</w:t>
      </w:r>
    </w:p>
    <w:p>
      <w:pPr>
        <w:spacing w:line="360" w:lineRule="auto"/>
        <w:ind w:firstLine="480" w:firstLineChars="200"/>
        <w:rPr>
          <w:rFonts w:ascii="仿宋" w:hAnsi="仿宋" w:eastAsia="仿宋"/>
          <w:color w:val="auto"/>
          <w:sz w:val="24"/>
          <w:szCs w:val="24"/>
          <w:highlight w:val="none"/>
        </w:rPr>
      </w:pPr>
    </w:p>
    <w:p>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发</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包</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人：（盖章）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承</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包</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人：（盖章）</w:t>
      </w:r>
    </w:p>
    <w:p>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法定代表人：（签字）</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法定代表人：（签字）</w:t>
      </w:r>
    </w:p>
    <w:p>
      <w:pPr>
        <w:spacing w:line="360" w:lineRule="auto"/>
        <w:ind w:firstLine="480" w:firstLineChars="200"/>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single"/>
        </w:rPr>
        <w:t xml:space="preserve">              </w:t>
      </w:r>
    </w:p>
    <w:p>
      <w:pPr>
        <w:spacing w:line="360" w:lineRule="auto"/>
        <w:ind w:firstLine="480" w:firstLineChars="200"/>
        <w:jc w:val="left"/>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rPr>
        <w:t>上级部门：（盖章）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上级部门：（盖章）</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4"/>
        <w:spacing w:before="0" w:beforeAutospacing="0" w:after="0" w:afterAutospacing="0" w:line="360" w:lineRule="auto"/>
        <w:rPr>
          <w:rFonts w:hint="eastAsia"/>
          <w:color w:val="auto"/>
          <w:sz w:val="18"/>
          <w:szCs w:val="18"/>
          <w:highlight w:val="none"/>
          <w:shd w:val="clear" w:color="auto" w:fill="FFFFFF"/>
        </w:rPr>
      </w:pPr>
    </w:p>
    <w:p>
      <w:pPr>
        <w:widowControl/>
        <w:shd w:val="clear" w:color="auto" w:fill="FFFFFF"/>
        <w:jc w:val="center"/>
        <w:rPr>
          <w:rFonts w:ascii="宋体" w:hAnsi="宋体" w:cs="宋体"/>
          <w:color w:val="auto"/>
          <w:kern w:val="0"/>
          <w:sz w:val="24"/>
          <w:szCs w:val="24"/>
          <w:highlight w:val="none"/>
        </w:rPr>
      </w:pPr>
    </w:p>
    <w:p>
      <w:pPr>
        <w:pStyle w:val="4"/>
        <w:rPr>
          <w:rFonts w:ascii="宋体" w:eastAsia="宋体" w:cs="宋体"/>
          <w:color w:val="auto"/>
          <w:sz w:val="24"/>
          <w:szCs w:val="24"/>
          <w:highlight w:val="none"/>
        </w:rPr>
      </w:pPr>
    </w:p>
    <w:p>
      <w:pPr>
        <w:rPr>
          <w:rFonts w:ascii="宋体" w:hAnsi="宋体" w:cs="宋体"/>
          <w:color w:val="auto"/>
          <w:kern w:val="0"/>
          <w:sz w:val="24"/>
          <w:szCs w:val="24"/>
          <w:highlight w:val="none"/>
        </w:rPr>
      </w:pPr>
    </w:p>
    <w:p>
      <w:pPr>
        <w:pStyle w:val="4"/>
        <w:rPr>
          <w:rFonts w:ascii="宋体" w:eastAsia="宋体" w:cs="宋体"/>
          <w:color w:val="auto"/>
          <w:sz w:val="24"/>
          <w:szCs w:val="24"/>
          <w:highlight w:val="none"/>
        </w:rPr>
      </w:pPr>
    </w:p>
    <w:p>
      <w:pPr>
        <w:rPr>
          <w:rFonts w:ascii="宋体" w:hAnsi="宋体" w:cs="宋体"/>
          <w:color w:val="auto"/>
          <w:kern w:val="0"/>
          <w:sz w:val="24"/>
          <w:szCs w:val="24"/>
          <w:highlight w:val="none"/>
        </w:rPr>
      </w:pPr>
    </w:p>
    <w:p>
      <w:pPr>
        <w:pStyle w:val="4"/>
        <w:rPr>
          <w:rFonts w:ascii="宋体" w:eastAsia="宋体" w:cs="宋体"/>
          <w:color w:val="auto"/>
          <w:sz w:val="24"/>
          <w:szCs w:val="24"/>
          <w:highlight w:val="none"/>
        </w:rPr>
      </w:pPr>
    </w:p>
    <w:p>
      <w:pPr>
        <w:rPr>
          <w:rFonts w:ascii="宋体" w:hAnsi="宋体" w:cs="宋体"/>
          <w:color w:val="auto"/>
          <w:kern w:val="0"/>
          <w:sz w:val="24"/>
          <w:szCs w:val="24"/>
          <w:highlight w:val="none"/>
        </w:rPr>
      </w:pPr>
    </w:p>
    <w:p>
      <w:pPr>
        <w:pStyle w:val="4"/>
        <w:rPr>
          <w:rFonts w:ascii="宋体" w:eastAsia="宋体" w:cs="宋体"/>
          <w:color w:val="auto"/>
          <w:sz w:val="24"/>
          <w:szCs w:val="24"/>
          <w:highlight w:val="none"/>
        </w:rPr>
      </w:pPr>
    </w:p>
    <w:p>
      <w:pPr>
        <w:rPr>
          <w:rFonts w:ascii="宋体" w:hAnsi="宋体" w:cs="宋体"/>
          <w:color w:val="auto"/>
          <w:kern w:val="0"/>
          <w:sz w:val="24"/>
          <w:szCs w:val="24"/>
          <w:highlight w:val="none"/>
        </w:rPr>
      </w:pPr>
    </w:p>
    <w:p>
      <w:pPr>
        <w:rPr>
          <w:rFonts w:ascii="宋体" w:hAnsi="宋体" w:cs="宋体"/>
          <w:color w:val="auto"/>
          <w:kern w:val="0"/>
          <w:sz w:val="24"/>
          <w:szCs w:val="24"/>
          <w:highlight w:val="none"/>
        </w:rPr>
      </w:pPr>
    </w:p>
    <w:p>
      <w:pPr>
        <w:pStyle w:val="49"/>
        <w:rPr>
          <w:rFonts w:ascii="宋体" w:hAnsi="宋体" w:cs="宋体"/>
          <w:color w:val="auto"/>
          <w:highlight w:val="none"/>
        </w:rPr>
      </w:pPr>
    </w:p>
    <w:p>
      <w:pPr>
        <w:pStyle w:val="24"/>
        <w:spacing w:before="0" w:beforeAutospacing="0" w:after="0" w:afterAutospacing="0" w:line="360" w:lineRule="auto"/>
        <w:ind w:firstLine="480" w:firstLineChars="200"/>
        <w:rPr>
          <w:color w:val="auto"/>
          <w:highlight w:val="none"/>
        </w:rPr>
      </w:pPr>
    </w:p>
    <w:sectPr>
      <w:pgSz w:w="11906" w:h="16838"/>
      <w:pgMar w:top="1134" w:right="1134" w:bottom="1134" w:left="1134" w:header="851" w:footer="992" w:gutter="0"/>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u yusheng" w:date="2023-02-22T17:40:00Z" w:initials="">
    <w:p w14:paraId="105835DD">
      <w:pPr>
        <w:pStyle w:val="8"/>
        <w:rPr>
          <w:rFonts w:hint="eastAsia"/>
        </w:rPr>
      </w:pPr>
      <w:r>
        <w:rPr>
          <w:rFonts w:hint="eastAsia"/>
        </w:rPr>
        <w:t>对乙方违约责任进行限额，对甲方较为不利，建议删除。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5835D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j/V8cBAACZ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D4j/V8cBAACZAwAADgAAAAAAAAABACAAAAAeAQAAZHJzL2Uyb0RvYy54&#10;bWxQSwUGAAAAAAYABgBZAQAAV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p>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LTtbs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UBJHLc48cv3b5cfvy4/v5Ll&#10;6yxQH6DGvIeAmWm48wMmz35AZ+Y9qGjzFxkRjCPW+SqvHBIR+dF6tV5XGBIYmy+Izx6fhwjprfSW&#10;ZKOhEedXZOWn95DG1DklV3P+XhtTZmjcXw7EzB6Wex97zFYa9sNEaO/bM/LpcfQNdbjplJh3DpXF&#10;/tJsxNnYz8YxRH3oyhrlehBujwmbKL3lCiPsVBhnVthN+5WX4s97yXr8p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8tO1uyQEAAJsDAAAOAAAAAAAAAAEAIAAAAB4BAABkcnMvZTJvRG9j&#10;LnhtbFBLBQYAAAAABgAGAFkBAABZ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t xml:space="preserve">                                             </w:t>
    </w:r>
  </w:p>
  <w:p>
    <w:pPr>
      <w:pStyle w:val="1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knD5MkBAACb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Us&#10;X2e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ScPkyQEAAJsDAAAOAAAAAAAAAAEAIAAAAB4BAABkcnMvZTJvRG9j&#10;LnhtbFBLBQYAAAAABgAGAFkBAABZ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p>
    <w:pPr>
      <w:pStyle w:val="1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Vg54c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eUOG5x4OefP86/Hs8P38nb&#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YOeHIAQAAmQMAAA4AAAAAAAAAAQAgAAAAHgEAAGRycy9lMm9Eb2Mu&#10;eG1sUEsFBgAAAAAGAAYAWQEAAFgFAAAAAA==&#10;">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t xml:space="preserve">                                             </w: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14BAn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NeAQJ0QEAAKIDAAAOAAAAAAAAAAEAIAAAAB8BAABk&#10;cnMvZTJvRG9jLnhtbFBLBQYAAAAABgAGAFkBAABiBQ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4700"/>
        <w:tab w:val="clear" w:pos="4153"/>
        <w:tab w:val="clear" w:pos="8306"/>
      </w:tabs>
      <w:ind w:right="780"/>
      <w:jc w:val="both"/>
      <w:rPr>
        <w:sz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FTbddIBAACiAwAADgAAAAAAAAABACAAAAAfAQAA&#10;ZHJzL2Uyb0RvYy54bWxQSwUGAAAAAAYABgBZAQAAYwU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0"/>
      </w:rPr>
    </w:pPr>
    <w:r>
      <w:fldChar w:fldCharType="begin"/>
    </w:r>
    <w:r>
      <w:rPr>
        <w:rStyle w:val="30"/>
      </w:rPr>
      <w:instrText xml:space="preserve">PAGE  </w:instrText>
    </w:r>
    <w:r>
      <w:fldChar w:fldCharType="end"/>
    </w:r>
  </w:p>
  <w:p>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HY08gBAACZAwAADgAAAGRycy9lMm9Eb2MueG1srVPNjtMwEL4j8Q6W&#10;79TZHlYl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8pcdziwM8/f5x//Tn//k7e&#10;Zn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th2NPIAQAAmQMAAA4AAAAAAAAAAQAgAAAAHgEAAGRycy9lMm9Eb2Mu&#10;eG1sUEsFBgAAAAAGAAYAWQEAAFg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p>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38+vC8cBAACaAwAADgAAAAAAAAABACAAAAAeAQAAZHJzL2Uyb0RvYy54&#10;bWxQSwUGAAAAAAYABgBZAQAAV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t xml:space="preserve">                                             </w:t>
    </w:r>
  </w:p>
  <w:p>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1uJ6s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ku&#10;sz59gBrT7gMmpuGdH3BrZj+gM9MeVLT5i4QIxlHd81VdOSQi8qP1ar2uMCQwNl8Qnz08DxHSe+kt&#10;yUZDI46vqMpPHyGNqXNKrub8nTamjNC4fxyImT0s9z72mK007IeJ0N63Z+TT4+Qb6nDRKTEfHAqb&#10;l2Q24mzsZ+MYoj50ZYtyPQi3x4RNlN5yhRF2KowjK+ym9co78fhesh5+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9bierIAQAAmgMAAA4AAAAAAAAAAQAgAAAAHgEAAGRycy9lMm9Eb2Mu&#10;eG1sUEsFBgAAAAAGAAYAWQEAAFg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p>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bLqDckBAACa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5&#10;yv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suoNyQEAAJoDAAAOAAAAAAAAAAEAIAAAAB4BAABkcnMvZTJvRG9j&#10;LnhtbFBLBQYAAAAABgAGAFkBAABZ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 yusheng">
    <w15:presenceInfo w15:providerId="None" w15:userId="lu yus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Y2UxZTRiZmI3Y2NkNmJjMDIwNGNhY2UxYzRlYWEifQ=="/>
    <w:docVar w:name="KSO_WPS_MARK_KEY" w:val="25f7dc9d-73ba-404a-8c25-5083e2828a22"/>
  </w:docVars>
  <w:rsids>
    <w:rsidRoot w:val="004374E2"/>
    <w:rsid w:val="00013D76"/>
    <w:rsid w:val="00065233"/>
    <w:rsid w:val="0007350A"/>
    <w:rsid w:val="000815BA"/>
    <w:rsid w:val="0017358E"/>
    <w:rsid w:val="00181193"/>
    <w:rsid w:val="0018648C"/>
    <w:rsid w:val="001D6F5B"/>
    <w:rsid w:val="002003C5"/>
    <w:rsid w:val="00200D4D"/>
    <w:rsid w:val="00222A7C"/>
    <w:rsid w:val="0023632A"/>
    <w:rsid w:val="00240E1D"/>
    <w:rsid w:val="002429E5"/>
    <w:rsid w:val="002448B3"/>
    <w:rsid w:val="002840C3"/>
    <w:rsid w:val="002847C0"/>
    <w:rsid w:val="002867F2"/>
    <w:rsid w:val="002C0D97"/>
    <w:rsid w:val="002D3C1D"/>
    <w:rsid w:val="002E313A"/>
    <w:rsid w:val="00325A03"/>
    <w:rsid w:val="00332EB9"/>
    <w:rsid w:val="00374769"/>
    <w:rsid w:val="003773F0"/>
    <w:rsid w:val="003A381D"/>
    <w:rsid w:val="003A4F30"/>
    <w:rsid w:val="003C157E"/>
    <w:rsid w:val="003C662C"/>
    <w:rsid w:val="0040200B"/>
    <w:rsid w:val="004244D2"/>
    <w:rsid w:val="004374E2"/>
    <w:rsid w:val="004450AB"/>
    <w:rsid w:val="00447869"/>
    <w:rsid w:val="004B25BE"/>
    <w:rsid w:val="004C0541"/>
    <w:rsid w:val="004F633D"/>
    <w:rsid w:val="00511464"/>
    <w:rsid w:val="005502D2"/>
    <w:rsid w:val="00572C55"/>
    <w:rsid w:val="005F0808"/>
    <w:rsid w:val="00644EBE"/>
    <w:rsid w:val="006906EC"/>
    <w:rsid w:val="006B5C12"/>
    <w:rsid w:val="006C1669"/>
    <w:rsid w:val="006C5C57"/>
    <w:rsid w:val="006D0289"/>
    <w:rsid w:val="006E6AE4"/>
    <w:rsid w:val="00737C3A"/>
    <w:rsid w:val="007728EF"/>
    <w:rsid w:val="007C6BE7"/>
    <w:rsid w:val="00816F72"/>
    <w:rsid w:val="0082645C"/>
    <w:rsid w:val="008A516E"/>
    <w:rsid w:val="008D7D5B"/>
    <w:rsid w:val="008F5AE2"/>
    <w:rsid w:val="00904423"/>
    <w:rsid w:val="00967595"/>
    <w:rsid w:val="0097315F"/>
    <w:rsid w:val="009A6B27"/>
    <w:rsid w:val="009B5A71"/>
    <w:rsid w:val="00A04A90"/>
    <w:rsid w:val="00A128C9"/>
    <w:rsid w:val="00A370AA"/>
    <w:rsid w:val="00A5582F"/>
    <w:rsid w:val="00A617C9"/>
    <w:rsid w:val="00AA3BBF"/>
    <w:rsid w:val="00AD3611"/>
    <w:rsid w:val="00B05FE4"/>
    <w:rsid w:val="00B11196"/>
    <w:rsid w:val="00B15314"/>
    <w:rsid w:val="00B47675"/>
    <w:rsid w:val="00B618DF"/>
    <w:rsid w:val="00B62DD3"/>
    <w:rsid w:val="00B7114D"/>
    <w:rsid w:val="00BB2B31"/>
    <w:rsid w:val="00BD11FA"/>
    <w:rsid w:val="00BF01A1"/>
    <w:rsid w:val="00C006AB"/>
    <w:rsid w:val="00C26BC1"/>
    <w:rsid w:val="00C615EF"/>
    <w:rsid w:val="00CA5B2C"/>
    <w:rsid w:val="00CB33EE"/>
    <w:rsid w:val="00CE57E7"/>
    <w:rsid w:val="00CE655D"/>
    <w:rsid w:val="00D17551"/>
    <w:rsid w:val="00D31A3D"/>
    <w:rsid w:val="00D40F37"/>
    <w:rsid w:val="00D81202"/>
    <w:rsid w:val="00D93CDF"/>
    <w:rsid w:val="00DE45C0"/>
    <w:rsid w:val="00E057FB"/>
    <w:rsid w:val="00E32FA1"/>
    <w:rsid w:val="00E34A84"/>
    <w:rsid w:val="00EA4005"/>
    <w:rsid w:val="00ED5264"/>
    <w:rsid w:val="00F22679"/>
    <w:rsid w:val="00F227D3"/>
    <w:rsid w:val="00F7362A"/>
    <w:rsid w:val="00F87785"/>
    <w:rsid w:val="00F976A8"/>
    <w:rsid w:val="010069CA"/>
    <w:rsid w:val="01060CCF"/>
    <w:rsid w:val="012B3C40"/>
    <w:rsid w:val="012F63DA"/>
    <w:rsid w:val="01A7609B"/>
    <w:rsid w:val="01BC0629"/>
    <w:rsid w:val="01DC6802"/>
    <w:rsid w:val="021550C3"/>
    <w:rsid w:val="02675529"/>
    <w:rsid w:val="02A1736D"/>
    <w:rsid w:val="02F74AE1"/>
    <w:rsid w:val="02F90B5A"/>
    <w:rsid w:val="03010C54"/>
    <w:rsid w:val="035C26B5"/>
    <w:rsid w:val="03986C52"/>
    <w:rsid w:val="039F194C"/>
    <w:rsid w:val="03DF40AF"/>
    <w:rsid w:val="03F07361"/>
    <w:rsid w:val="04396DA2"/>
    <w:rsid w:val="043C59C6"/>
    <w:rsid w:val="04A76577"/>
    <w:rsid w:val="04AF35B2"/>
    <w:rsid w:val="04BF1708"/>
    <w:rsid w:val="04C375D3"/>
    <w:rsid w:val="04CC5E54"/>
    <w:rsid w:val="04CF17D3"/>
    <w:rsid w:val="04FB1FCE"/>
    <w:rsid w:val="05032DF8"/>
    <w:rsid w:val="0534440A"/>
    <w:rsid w:val="055D75A2"/>
    <w:rsid w:val="05886AC9"/>
    <w:rsid w:val="05AF1F15"/>
    <w:rsid w:val="05CD5907"/>
    <w:rsid w:val="068B026E"/>
    <w:rsid w:val="06BB0C8C"/>
    <w:rsid w:val="07032B4C"/>
    <w:rsid w:val="072165D3"/>
    <w:rsid w:val="072E7B93"/>
    <w:rsid w:val="073E40FA"/>
    <w:rsid w:val="074D1DA8"/>
    <w:rsid w:val="078C2ABD"/>
    <w:rsid w:val="078E484F"/>
    <w:rsid w:val="07A1675D"/>
    <w:rsid w:val="07D906BA"/>
    <w:rsid w:val="07EB1B5F"/>
    <w:rsid w:val="08321AA7"/>
    <w:rsid w:val="083E5C6A"/>
    <w:rsid w:val="08966A63"/>
    <w:rsid w:val="08A1069F"/>
    <w:rsid w:val="08CA7B0F"/>
    <w:rsid w:val="08DA0B16"/>
    <w:rsid w:val="08E31BE1"/>
    <w:rsid w:val="091617D9"/>
    <w:rsid w:val="0967697A"/>
    <w:rsid w:val="097A5C08"/>
    <w:rsid w:val="0980173C"/>
    <w:rsid w:val="09AB6D54"/>
    <w:rsid w:val="09F05395"/>
    <w:rsid w:val="0A2A71E2"/>
    <w:rsid w:val="0A687843"/>
    <w:rsid w:val="0A69408A"/>
    <w:rsid w:val="0AD54A3D"/>
    <w:rsid w:val="0B093EC9"/>
    <w:rsid w:val="0B144415"/>
    <w:rsid w:val="0B566D68"/>
    <w:rsid w:val="0B760867"/>
    <w:rsid w:val="0B847498"/>
    <w:rsid w:val="0BD77AE8"/>
    <w:rsid w:val="0C2E39AB"/>
    <w:rsid w:val="0C377125"/>
    <w:rsid w:val="0CDB2461"/>
    <w:rsid w:val="0CFE589E"/>
    <w:rsid w:val="0D090BA1"/>
    <w:rsid w:val="0D2D0026"/>
    <w:rsid w:val="0DD33874"/>
    <w:rsid w:val="0DDE40A8"/>
    <w:rsid w:val="0E2C3488"/>
    <w:rsid w:val="0E483E6F"/>
    <w:rsid w:val="0E5B5A45"/>
    <w:rsid w:val="0E915416"/>
    <w:rsid w:val="0EE30A66"/>
    <w:rsid w:val="0EEA18C1"/>
    <w:rsid w:val="0EEF0B87"/>
    <w:rsid w:val="0F0E33CE"/>
    <w:rsid w:val="0FA66BE8"/>
    <w:rsid w:val="0FAB7E9F"/>
    <w:rsid w:val="0FC651C5"/>
    <w:rsid w:val="0FF742B0"/>
    <w:rsid w:val="102F79BA"/>
    <w:rsid w:val="1033044A"/>
    <w:rsid w:val="10A05809"/>
    <w:rsid w:val="10C73C53"/>
    <w:rsid w:val="10F522DC"/>
    <w:rsid w:val="112A4718"/>
    <w:rsid w:val="11324726"/>
    <w:rsid w:val="117B5676"/>
    <w:rsid w:val="11B32B56"/>
    <w:rsid w:val="11BF3DF4"/>
    <w:rsid w:val="12051E34"/>
    <w:rsid w:val="1221198E"/>
    <w:rsid w:val="123B183E"/>
    <w:rsid w:val="13051E9A"/>
    <w:rsid w:val="13415080"/>
    <w:rsid w:val="138774E5"/>
    <w:rsid w:val="138D0049"/>
    <w:rsid w:val="13C7326E"/>
    <w:rsid w:val="13EE5D64"/>
    <w:rsid w:val="13EF3EDF"/>
    <w:rsid w:val="13FA15A8"/>
    <w:rsid w:val="141728E7"/>
    <w:rsid w:val="141B4B63"/>
    <w:rsid w:val="142E305D"/>
    <w:rsid w:val="143F6245"/>
    <w:rsid w:val="146432C7"/>
    <w:rsid w:val="146935AF"/>
    <w:rsid w:val="1497774A"/>
    <w:rsid w:val="14B8229F"/>
    <w:rsid w:val="15B62E59"/>
    <w:rsid w:val="15EC39C4"/>
    <w:rsid w:val="162D4339"/>
    <w:rsid w:val="17284C5D"/>
    <w:rsid w:val="17392939"/>
    <w:rsid w:val="17B84EF1"/>
    <w:rsid w:val="17E01EA2"/>
    <w:rsid w:val="180F6F92"/>
    <w:rsid w:val="18171432"/>
    <w:rsid w:val="18437001"/>
    <w:rsid w:val="186F7C7D"/>
    <w:rsid w:val="18B75A84"/>
    <w:rsid w:val="191F4FA0"/>
    <w:rsid w:val="193845DF"/>
    <w:rsid w:val="195946B8"/>
    <w:rsid w:val="195C0AB5"/>
    <w:rsid w:val="19796AC9"/>
    <w:rsid w:val="19972D94"/>
    <w:rsid w:val="1A57504A"/>
    <w:rsid w:val="1A95478D"/>
    <w:rsid w:val="1AA4289A"/>
    <w:rsid w:val="1AAC2991"/>
    <w:rsid w:val="1B151BA2"/>
    <w:rsid w:val="1BA9403E"/>
    <w:rsid w:val="1BE72523"/>
    <w:rsid w:val="1C3842C9"/>
    <w:rsid w:val="1C547CA0"/>
    <w:rsid w:val="1C7B384E"/>
    <w:rsid w:val="1C9F5070"/>
    <w:rsid w:val="1CBF40EF"/>
    <w:rsid w:val="1CC402EE"/>
    <w:rsid w:val="1CDE11D2"/>
    <w:rsid w:val="1D2F7F25"/>
    <w:rsid w:val="1D8F1C30"/>
    <w:rsid w:val="1DB279AA"/>
    <w:rsid w:val="1DDA35B0"/>
    <w:rsid w:val="1E97711D"/>
    <w:rsid w:val="1EAA772A"/>
    <w:rsid w:val="1EB533BA"/>
    <w:rsid w:val="1F02204F"/>
    <w:rsid w:val="1F7E04E2"/>
    <w:rsid w:val="1F7E173B"/>
    <w:rsid w:val="1F81503B"/>
    <w:rsid w:val="1FAD79BE"/>
    <w:rsid w:val="20153BFF"/>
    <w:rsid w:val="204C28EB"/>
    <w:rsid w:val="2075507F"/>
    <w:rsid w:val="207A3407"/>
    <w:rsid w:val="20821BAD"/>
    <w:rsid w:val="20853E13"/>
    <w:rsid w:val="20EA3CF5"/>
    <w:rsid w:val="21244781"/>
    <w:rsid w:val="21A16932"/>
    <w:rsid w:val="21D34DCB"/>
    <w:rsid w:val="21DF2F58"/>
    <w:rsid w:val="221B3659"/>
    <w:rsid w:val="224B247E"/>
    <w:rsid w:val="22754C04"/>
    <w:rsid w:val="2299718B"/>
    <w:rsid w:val="22F424A6"/>
    <w:rsid w:val="2346679F"/>
    <w:rsid w:val="235A07DF"/>
    <w:rsid w:val="23907726"/>
    <w:rsid w:val="23C23D22"/>
    <w:rsid w:val="23C92274"/>
    <w:rsid w:val="23E0590D"/>
    <w:rsid w:val="24294A74"/>
    <w:rsid w:val="248E6E84"/>
    <w:rsid w:val="248E7B42"/>
    <w:rsid w:val="24DB6372"/>
    <w:rsid w:val="24DD2F4B"/>
    <w:rsid w:val="25634875"/>
    <w:rsid w:val="25732C68"/>
    <w:rsid w:val="257817F4"/>
    <w:rsid w:val="25F42FB1"/>
    <w:rsid w:val="260A5654"/>
    <w:rsid w:val="26220EDB"/>
    <w:rsid w:val="26353224"/>
    <w:rsid w:val="26663961"/>
    <w:rsid w:val="266A34F6"/>
    <w:rsid w:val="269F555A"/>
    <w:rsid w:val="26BC2349"/>
    <w:rsid w:val="26F94CE4"/>
    <w:rsid w:val="272847AD"/>
    <w:rsid w:val="273E4F1A"/>
    <w:rsid w:val="274D081D"/>
    <w:rsid w:val="275F112D"/>
    <w:rsid w:val="276838D8"/>
    <w:rsid w:val="276F134D"/>
    <w:rsid w:val="279B7AE4"/>
    <w:rsid w:val="27BB72F7"/>
    <w:rsid w:val="27F62FCE"/>
    <w:rsid w:val="28510632"/>
    <w:rsid w:val="286079B6"/>
    <w:rsid w:val="287E7167"/>
    <w:rsid w:val="289449F8"/>
    <w:rsid w:val="29333440"/>
    <w:rsid w:val="293534B3"/>
    <w:rsid w:val="29646527"/>
    <w:rsid w:val="299B271A"/>
    <w:rsid w:val="29C42DFE"/>
    <w:rsid w:val="2A5D1FBF"/>
    <w:rsid w:val="2AB162EC"/>
    <w:rsid w:val="2AE67001"/>
    <w:rsid w:val="2B200287"/>
    <w:rsid w:val="2BBC53B4"/>
    <w:rsid w:val="2C0A5E5A"/>
    <w:rsid w:val="2CB13E8A"/>
    <w:rsid w:val="2D2328CC"/>
    <w:rsid w:val="2E0363AD"/>
    <w:rsid w:val="2E1A7EB1"/>
    <w:rsid w:val="2E9D3009"/>
    <w:rsid w:val="2F101F2F"/>
    <w:rsid w:val="2F1772A5"/>
    <w:rsid w:val="2F1C4655"/>
    <w:rsid w:val="2FED00C3"/>
    <w:rsid w:val="30170205"/>
    <w:rsid w:val="304A4021"/>
    <w:rsid w:val="30733D15"/>
    <w:rsid w:val="30896433"/>
    <w:rsid w:val="309E198E"/>
    <w:rsid w:val="30B930F0"/>
    <w:rsid w:val="312165BA"/>
    <w:rsid w:val="31880CF2"/>
    <w:rsid w:val="319045F6"/>
    <w:rsid w:val="319A1F4F"/>
    <w:rsid w:val="31B216B5"/>
    <w:rsid w:val="31D06AB4"/>
    <w:rsid w:val="31D12347"/>
    <w:rsid w:val="31D35DFC"/>
    <w:rsid w:val="32223900"/>
    <w:rsid w:val="32323B25"/>
    <w:rsid w:val="323709A4"/>
    <w:rsid w:val="32485D2C"/>
    <w:rsid w:val="32762D81"/>
    <w:rsid w:val="329E190C"/>
    <w:rsid w:val="32C247C5"/>
    <w:rsid w:val="32C3103A"/>
    <w:rsid w:val="32E75856"/>
    <w:rsid w:val="337C1270"/>
    <w:rsid w:val="33B4237F"/>
    <w:rsid w:val="33DB0B69"/>
    <w:rsid w:val="340F23DB"/>
    <w:rsid w:val="343D31E2"/>
    <w:rsid w:val="344262D6"/>
    <w:rsid w:val="346603B6"/>
    <w:rsid w:val="348A39BC"/>
    <w:rsid w:val="356A72D3"/>
    <w:rsid w:val="356D68D7"/>
    <w:rsid w:val="358C4829"/>
    <w:rsid w:val="35A90A5E"/>
    <w:rsid w:val="35DF2E8C"/>
    <w:rsid w:val="365A62A3"/>
    <w:rsid w:val="367626E3"/>
    <w:rsid w:val="36947EF9"/>
    <w:rsid w:val="36B632DD"/>
    <w:rsid w:val="36DE0FFB"/>
    <w:rsid w:val="37A15450"/>
    <w:rsid w:val="37E60790"/>
    <w:rsid w:val="38107BD1"/>
    <w:rsid w:val="38275989"/>
    <w:rsid w:val="38953BD2"/>
    <w:rsid w:val="38C82F8E"/>
    <w:rsid w:val="38D7010D"/>
    <w:rsid w:val="391D0181"/>
    <w:rsid w:val="392D43D6"/>
    <w:rsid w:val="393370DC"/>
    <w:rsid w:val="39642BEF"/>
    <w:rsid w:val="39A77E1C"/>
    <w:rsid w:val="39BC591B"/>
    <w:rsid w:val="3A3E5652"/>
    <w:rsid w:val="3A93154E"/>
    <w:rsid w:val="3ABD2879"/>
    <w:rsid w:val="3AED6EA9"/>
    <w:rsid w:val="3AEE264F"/>
    <w:rsid w:val="3AF20863"/>
    <w:rsid w:val="3B0211B5"/>
    <w:rsid w:val="3B217BED"/>
    <w:rsid w:val="3B2464B6"/>
    <w:rsid w:val="3B251914"/>
    <w:rsid w:val="3B2D2C05"/>
    <w:rsid w:val="3B437AA2"/>
    <w:rsid w:val="3B6C3549"/>
    <w:rsid w:val="3B900093"/>
    <w:rsid w:val="3BBA062A"/>
    <w:rsid w:val="3BC82216"/>
    <w:rsid w:val="3C632798"/>
    <w:rsid w:val="3C780F37"/>
    <w:rsid w:val="3CAD21F1"/>
    <w:rsid w:val="3D243ABE"/>
    <w:rsid w:val="3DCE3AEC"/>
    <w:rsid w:val="3DFB1818"/>
    <w:rsid w:val="3E0C2145"/>
    <w:rsid w:val="3E0F68DC"/>
    <w:rsid w:val="3E8F194B"/>
    <w:rsid w:val="3F3A6C61"/>
    <w:rsid w:val="3F8C61A0"/>
    <w:rsid w:val="3F9E360B"/>
    <w:rsid w:val="3FE84BBB"/>
    <w:rsid w:val="3FEF6D3D"/>
    <w:rsid w:val="40082D9C"/>
    <w:rsid w:val="4027221A"/>
    <w:rsid w:val="403359E6"/>
    <w:rsid w:val="40396B89"/>
    <w:rsid w:val="40456108"/>
    <w:rsid w:val="406D3823"/>
    <w:rsid w:val="40747AD3"/>
    <w:rsid w:val="40D71481"/>
    <w:rsid w:val="4125142A"/>
    <w:rsid w:val="415A4946"/>
    <w:rsid w:val="41692AD7"/>
    <w:rsid w:val="42097613"/>
    <w:rsid w:val="42A42EDB"/>
    <w:rsid w:val="4308402D"/>
    <w:rsid w:val="43142524"/>
    <w:rsid w:val="43362324"/>
    <w:rsid w:val="43803813"/>
    <w:rsid w:val="43E71187"/>
    <w:rsid w:val="449C1A64"/>
    <w:rsid w:val="44AC53BD"/>
    <w:rsid w:val="44F21C43"/>
    <w:rsid w:val="45034D45"/>
    <w:rsid w:val="451E3F74"/>
    <w:rsid w:val="458E599F"/>
    <w:rsid w:val="460E46BE"/>
    <w:rsid w:val="462A2CB6"/>
    <w:rsid w:val="462F319C"/>
    <w:rsid w:val="46475B89"/>
    <w:rsid w:val="469C2EA0"/>
    <w:rsid w:val="473E0839"/>
    <w:rsid w:val="479E231D"/>
    <w:rsid w:val="48185E9A"/>
    <w:rsid w:val="48AB7DE6"/>
    <w:rsid w:val="48CE2237"/>
    <w:rsid w:val="48E37BFD"/>
    <w:rsid w:val="491A6920"/>
    <w:rsid w:val="494A09E4"/>
    <w:rsid w:val="49522D33"/>
    <w:rsid w:val="495F29C9"/>
    <w:rsid w:val="4961416E"/>
    <w:rsid w:val="49726B53"/>
    <w:rsid w:val="49FC3F89"/>
    <w:rsid w:val="4A8F40A1"/>
    <w:rsid w:val="4AC73D6B"/>
    <w:rsid w:val="4AFC6A57"/>
    <w:rsid w:val="4B0271DC"/>
    <w:rsid w:val="4B1F3CFF"/>
    <w:rsid w:val="4B2D033C"/>
    <w:rsid w:val="4B445CC7"/>
    <w:rsid w:val="4B4A27E5"/>
    <w:rsid w:val="4BB6542A"/>
    <w:rsid w:val="4C9867D4"/>
    <w:rsid w:val="4D3D08C4"/>
    <w:rsid w:val="4D780862"/>
    <w:rsid w:val="4D803FC0"/>
    <w:rsid w:val="4D9C2673"/>
    <w:rsid w:val="4DDB574E"/>
    <w:rsid w:val="4DED06D0"/>
    <w:rsid w:val="4E8B5D44"/>
    <w:rsid w:val="4EA67D8D"/>
    <w:rsid w:val="4EBE4AE9"/>
    <w:rsid w:val="4EEA7E84"/>
    <w:rsid w:val="4F0019D9"/>
    <w:rsid w:val="4F305EDD"/>
    <w:rsid w:val="4F4E3B56"/>
    <w:rsid w:val="4FB85B46"/>
    <w:rsid w:val="50406C00"/>
    <w:rsid w:val="50426766"/>
    <w:rsid w:val="50502340"/>
    <w:rsid w:val="505A2224"/>
    <w:rsid w:val="50693B74"/>
    <w:rsid w:val="506C6572"/>
    <w:rsid w:val="50740306"/>
    <w:rsid w:val="507A12FC"/>
    <w:rsid w:val="510264D9"/>
    <w:rsid w:val="51AD761F"/>
    <w:rsid w:val="51DB7C48"/>
    <w:rsid w:val="51E70745"/>
    <w:rsid w:val="51F34500"/>
    <w:rsid w:val="51FC4F64"/>
    <w:rsid w:val="522E5F9E"/>
    <w:rsid w:val="525A419A"/>
    <w:rsid w:val="52730C7A"/>
    <w:rsid w:val="5273356A"/>
    <w:rsid w:val="52F40CFD"/>
    <w:rsid w:val="53204B5C"/>
    <w:rsid w:val="536349F7"/>
    <w:rsid w:val="53D95EB1"/>
    <w:rsid w:val="53E20344"/>
    <w:rsid w:val="53FA599E"/>
    <w:rsid w:val="54546AD9"/>
    <w:rsid w:val="54677DA4"/>
    <w:rsid w:val="54750731"/>
    <w:rsid w:val="548C4119"/>
    <w:rsid w:val="548F1FB8"/>
    <w:rsid w:val="54DB63C2"/>
    <w:rsid w:val="556A6476"/>
    <w:rsid w:val="556C6652"/>
    <w:rsid w:val="557343B6"/>
    <w:rsid w:val="55E02C68"/>
    <w:rsid w:val="56200EB5"/>
    <w:rsid w:val="563F6D4F"/>
    <w:rsid w:val="56A1451E"/>
    <w:rsid w:val="56CC4FAE"/>
    <w:rsid w:val="57177B9E"/>
    <w:rsid w:val="57362697"/>
    <w:rsid w:val="575C77C2"/>
    <w:rsid w:val="578F49A6"/>
    <w:rsid w:val="57F93337"/>
    <w:rsid w:val="5854169C"/>
    <w:rsid w:val="588C0AAA"/>
    <w:rsid w:val="58C90C1C"/>
    <w:rsid w:val="593827F4"/>
    <w:rsid w:val="5982495B"/>
    <w:rsid w:val="599F6A3C"/>
    <w:rsid w:val="59D1750A"/>
    <w:rsid w:val="59D71DBA"/>
    <w:rsid w:val="5A0C1C17"/>
    <w:rsid w:val="5ACD788C"/>
    <w:rsid w:val="5AE7485D"/>
    <w:rsid w:val="5B70167B"/>
    <w:rsid w:val="5B9F57A2"/>
    <w:rsid w:val="5BF95CC0"/>
    <w:rsid w:val="5C014C46"/>
    <w:rsid w:val="5C6B4EF7"/>
    <w:rsid w:val="5C70636C"/>
    <w:rsid w:val="5C7E3EA5"/>
    <w:rsid w:val="5C9C048A"/>
    <w:rsid w:val="5CAA3E05"/>
    <w:rsid w:val="5D294CFE"/>
    <w:rsid w:val="5DC32084"/>
    <w:rsid w:val="5DDF7D9E"/>
    <w:rsid w:val="5E3C3380"/>
    <w:rsid w:val="5E4F6A0C"/>
    <w:rsid w:val="5E663D63"/>
    <w:rsid w:val="5EA00B4E"/>
    <w:rsid w:val="5EC92504"/>
    <w:rsid w:val="5F1D6C44"/>
    <w:rsid w:val="5F434741"/>
    <w:rsid w:val="5F5519FA"/>
    <w:rsid w:val="5F71285D"/>
    <w:rsid w:val="5F7E471E"/>
    <w:rsid w:val="5F8909AE"/>
    <w:rsid w:val="5F8B52D7"/>
    <w:rsid w:val="5F90204D"/>
    <w:rsid w:val="5F93600F"/>
    <w:rsid w:val="5FA669F5"/>
    <w:rsid w:val="6020532B"/>
    <w:rsid w:val="60623C0A"/>
    <w:rsid w:val="60AE39EC"/>
    <w:rsid w:val="60B71D51"/>
    <w:rsid w:val="60EC35B9"/>
    <w:rsid w:val="60F65B77"/>
    <w:rsid w:val="60F93D65"/>
    <w:rsid w:val="614D434A"/>
    <w:rsid w:val="615D1488"/>
    <w:rsid w:val="621A03F4"/>
    <w:rsid w:val="624E3B4A"/>
    <w:rsid w:val="626A0FB4"/>
    <w:rsid w:val="62DA2CBE"/>
    <w:rsid w:val="62E220F2"/>
    <w:rsid w:val="631E295E"/>
    <w:rsid w:val="633F70F7"/>
    <w:rsid w:val="635515B0"/>
    <w:rsid w:val="63765428"/>
    <w:rsid w:val="640B5AC6"/>
    <w:rsid w:val="64652B47"/>
    <w:rsid w:val="647073C7"/>
    <w:rsid w:val="653F1E80"/>
    <w:rsid w:val="65622F6B"/>
    <w:rsid w:val="657B30B9"/>
    <w:rsid w:val="66453963"/>
    <w:rsid w:val="66505F9C"/>
    <w:rsid w:val="66FD6158"/>
    <w:rsid w:val="67437D20"/>
    <w:rsid w:val="674C1C2E"/>
    <w:rsid w:val="67E80F6C"/>
    <w:rsid w:val="68141679"/>
    <w:rsid w:val="683B0016"/>
    <w:rsid w:val="687F2680"/>
    <w:rsid w:val="68BB2CB7"/>
    <w:rsid w:val="69002594"/>
    <w:rsid w:val="692F3F5C"/>
    <w:rsid w:val="697633EC"/>
    <w:rsid w:val="69CE51A0"/>
    <w:rsid w:val="6A5035A6"/>
    <w:rsid w:val="6A7F435E"/>
    <w:rsid w:val="6AF60D17"/>
    <w:rsid w:val="6B017E81"/>
    <w:rsid w:val="6B180F27"/>
    <w:rsid w:val="6B306A7C"/>
    <w:rsid w:val="6B6E3F74"/>
    <w:rsid w:val="6BA078F3"/>
    <w:rsid w:val="6BAD68E6"/>
    <w:rsid w:val="6BD367DD"/>
    <w:rsid w:val="6BE31C14"/>
    <w:rsid w:val="6BEA556D"/>
    <w:rsid w:val="6C117BAC"/>
    <w:rsid w:val="6C180A16"/>
    <w:rsid w:val="6C4B0548"/>
    <w:rsid w:val="6C8A0A72"/>
    <w:rsid w:val="6CC164FA"/>
    <w:rsid w:val="6D0103C9"/>
    <w:rsid w:val="6D711E8A"/>
    <w:rsid w:val="6D9728B1"/>
    <w:rsid w:val="6DB414FB"/>
    <w:rsid w:val="6DD46BD2"/>
    <w:rsid w:val="6DE8163A"/>
    <w:rsid w:val="6E1962FB"/>
    <w:rsid w:val="6EF71E5D"/>
    <w:rsid w:val="6F0E37FA"/>
    <w:rsid w:val="6F443B7B"/>
    <w:rsid w:val="6F903824"/>
    <w:rsid w:val="6FC7545F"/>
    <w:rsid w:val="6FD4616F"/>
    <w:rsid w:val="6FDC11A5"/>
    <w:rsid w:val="6FF3138F"/>
    <w:rsid w:val="703871D9"/>
    <w:rsid w:val="70471464"/>
    <w:rsid w:val="70534E11"/>
    <w:rsid w:val="70BF7673"/>
    <w:rsid w:val="70D241B7"/>
    <w:rsid w:val="71004222"/>
    <w:rsid w:val="715F003C"/>
    <w:rsid w:val="71B50265"/>
    <w:rsid w:val="71B779F9"/>
    <w:rsid w:val="71BC1298"/>
    <w:rsid w:val="71CC0004"/>
    <w:rsid w:val="72483A9F"/>
    <w:rsid w:val="727E124D"/>
    <w:rsid w:val="72853E75"/>
    <w:rsid w:val="72936EB9"/>
    <w:rsid w:val="72B81CA2"/>
    <w:rsid w:val="730C4210"/>
    <w:rsid w:val="73142C38"/>
    <w:rsid w:val="734B6D16"/>
    <w:rsid w:val="73CA2D83"/>
    <w:rsid w:val="73FC1578"/>
    <w:rsid w:val="74153DB3"/>
    <w:rsid w:val="74184CFE"/>
    <w:rsid w:val="745D6FA7"/>
    <w:rsid w:val="75262982"/>
    <w:rsid w:val="75595480"/>
    <w:rsid w:val="756069B9"/>
    <w:rsid w:val="759F5FC6"/>
    <w:rsid w:val="75A86F75"/>
    <w:rsid w:val="76542DBC"/>
    <w:rsid w:val="76755C1B"/>
    <w:rsid w:val="767A6D27"/>
    <w:rsid w:val="769479A1"/>
    <w:rsid w:val="76A01207"/>
    <w:rsid w:val="76A11251"/>
    <w:rsid w:val="76AE6B7F"/>
    <w:rsid w:val="772430CC"/>
    <w:rsid w:val="77271253"/>
    <w:rsid w:val="77310B7A"/>
    <w:rsid w:val="7734560C"/>
    <w:rsid w:val="777D05F1"/>
    <w:rsid w:val="77A8186A"/>
    <w:rsid w:val="77AE50AC"/>
    <w:rsid w:val="77CF03B0"/>
    <w:rsid w:val="77EB1F5C"/>
    <w:rsid w:val="780A2FEB"/>
    <w:rsid w:val="78135896"/>
    <w:rsid w:val="785066B3"/>
    <w:rsid w:val="78AA7CC2"/>
    <w:rsid w:val="78D151F6"/>
    <w:rsid w:val="78F20812"/>
    <w:rsid w:val="78FC11CC"/>
    <w:rsid w:val="792330B1"/>
    <w:rsid w:val="795B01AB"/>
    <w:rsid w:val="79815C86"/>
    <w:rsid w:val="79CF7328"/>
    <w:rsid w:val="7A0C6AD3"/>
    <w:rsid w:val="7A5A22D3"/>
    <w:rsid w:val="7A6A03D6"/>
    <w:rsid w:val="7AAC553A"/>
    <w:rsid w:val="7AE76BEC"/>
    <w:rsid w:val="7B503949"/>
    <w:rsid w:val="7B516B73"/>
    <w:rsid w:val="7C0A6C33"/>
    <w:rsid w:val="7C342253"/>
    <w:rsid w:val="7C53349A"/>
    <w:rsid w:val="7C71066C"/>
    <w:rsid w:val="7C830E5E"/>
    <w:rsid w:val="7C921E94"/>
    <w:rsid w:val="7C9328CE"/>
    <w:rsid w:val="7CEA6CD8"/>
    <w:rsid w:val="7D245A34"/>
    <w:rsid w:val="7D2D46F0"/>
    <w:rsid w:val="7DF92890"/>
    <w:rsid w:val="7E1F23A1"/>
    <w:rsid w:val="7E466216"/>
    <w:rsid w:val="7EA72FE0"/>
    <w:rsid w:val="7EBA4ED1"/>
    <w:rsid w:val="7ED23630"/>
    <w:rsid w:val="7EE4458B"/>
    <w:rsid w:val="7EF140EA"/>
    <w:rsid w:val="7F3423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99" w:name="toc 2"/>
    <w:lsdException w:qFormat="1" w:unhideWhenUsed="0" w:uiPriority="9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4"/>
    <w:qFormat/>
    <w:uiPriority w:val="9"/>
    <w:pPr>
      <w:keepNext/>
      <w:keepLines/>
      <w:jc w:val="left"/>
      <w:outlineLvl w:val="0"/>
    </w:pPr>
    <w:rPr>
      <w:bCs/>
      <w:kern w:val="44"/>
      <w:sz w:val="36"/>
      <w:szCs w:val="44"/>
    </w:rPr>
  </w:style>
  <w:style w:type="paragraph" w:styleId="4">
    <w:name w:val="heading 2"/>
    <w:basedOn w:val="1"/>
    <w:next w:val="1"/>
    <w:qFormat/>
    <w:uiPriority w:val="0"/>
    <w:pPr>
      <w:keepNext/>
      <w:keepLines/>
      <w:spacing w:before="240" w:after="120" w:line="360" w:lineRule="auto"/>
      <w:jc w:val="center"/>
      <w:outlineLvl w:val="1"/>
    </w:pPr>
    <w:rPr>
      <w:rFonts w:ascii="仿宋_GB2312" w:hAnsi="宋体" w:eastAsia="仿宋_GB2312"/>
      <w:b/>
      <w:kern w:val="0"/>
      <w:sz w:val="30"/>
      <w:szCs w:val="30"/>
    </w:rPr>
  </w:style>
  <w:style w:type="paragraph" w:styleId="5">
    <w:name w:val="heading 3"/>
    <w:basedOn w:val="1"/>
    <w:next w:val="1"/>
    <w:link w:val="35"/>
    <w:qFormat/>
    <w:uiPriority w:val="9"/>
    <w:pPr>
      <w:keepNext/>
      <w:keepLines/>
      <w:jc w:val="left"/>
      <w:outlineLvl w:val="2"/>
    </w:pPr>
    <w:rPr>
      <w:bCs/>
      <w:sz w:val="32"/>
      <w:szCs w:val="32"/>
    </w:rPr>
  </w:style>
  <w:style w:type="paragraph" w:styleId="6">
    <w:name w:val="heading 4"/>
    <w:basedOn w:val="1"/>
    <w:next w:val="1"/>
    <w:link w:val="36"/>
    <w:qFormat/>
    <w:uiPriority w:val="9"/>
    <w:pPr>
      <w:keepNext/>
      <w:keepLines/>
      <w:jc w:val="left"/>
      <w:outlineLvl w:val="3"/>
    </w:pPr>
    <w:rPr>
      <w:rFonts w:ascii="Cambria" w:hAnsi="Cambria" w:eastAsia="宋体" w:cs="Times New Roman"/>
      <w:b/>
      <w:bCs/>
      <w:sz w:val="24"/>
      <w:szCs w:val="28"/>
    </w:rPr>
  </w:style>
  <w:style w:type="character" w:default="1" w:styleId="28">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customStyle="1" w:styleId="2">
    <w:name w:val="UserStyle_0"/>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7">
    <w:name w:val="Normal Indent"/>
    <w:basedOn w:val="1"/>
    <w:qFormat/>
    <w:uiPriority w:val="0"/>
    <w:pPr>
      <w:ind w:firstLine="420"/>
    </w:pPr>
    <w:rPr>
      <w:szCs w:val="20"/>
    </w:rPr>
  </w:style>
  <w:style w:type="paragraph" w:styleId="8">
    <w:name w:val="annotation text"/>
    <w:basedOn w:val="1"/>
    <w:link w:val="37"/>
    <w:semiHidden/>
    <w:qFormat/>
    <w:uiPriority w:val="0"/>
    <w:pPr>
      <w:jc w:val="left"/>
    </w:pPr>
    <w:rPr>
      <w:rFonts w:ascii="Calibri" w:hAnsi="Calibri" w:eastAsia="宋体"/>
      <w:kern w:val="0"/>
      <w:sz w:val="20"/>
      <w:szCs w:val="24"/>
    </w:rPr>
  </w:style>
  <w:style w:type="paragraph" w:styleId="9">
    <w:name w:val="Body Text 3"/>
    <w:basedOn w:val="1"/>
    <w:qFormat/>
    <w:uiPriority w:val="0"/>
    <w:pPr>
      <w:spacing w:after="120"/>
    </w:pPr>
    <w:rPr>
      <w:sz w:val="16"/>
      <w:szCs w:val="16"/>
    </w:rPr>
  </w:style>
  <w:style w:type="paragraph" w:styleId="10">
    <w:name w:val="Body Text"/>
    <w:basedOn w:val="1"/>
    <w:qFormat/>
    <w:uiPriority w:val="0"/>
    <w:pPr>
      <w:spacing w:after="120"/>
    </w:pPr>
  </w:style>
  <w:style w:type="paragraph" w:styleId="11">
    <w:name w:val="Body Text Indent"/>
    <w:basedOn w:val="1"/>
    <w:next w:val="1"/>
    <w:qFormat/>
    <w:uiPriority w:val="0"/>
    <w:pPr>
      <w:widowControl/>
      <w:wordWrap w:val="0"/>
      <w:overflowPunct w:val="0"/>
      <w:topLinePunct/>
      <w:ind w:firstLine="360"/>
    </w:pPr>
    <w:rPr>
      <w:rFonts w:ascii="Arial" w:hAnsi="Arial" w:eastAsia="宋体"/>
      <w:szCs w:val="24"/>
    </w:rPr>
  </w:style>
  <w:style w:type="paragraph" w:styleId="12">
    <w:name w:val="toc 3"/>
    <w:basedOn w:val="1"/>
    <w:next w:val="1"/>
    <w:semiHidden/>
    <w:qFormat/>
    <w:uiPriority w:val="99"/>
    <w:pPr>
      <w:ind w:left="420"/>
      <w:jc w:val="left"/>
    </w:pPr>
    <w:rPr>
      <w:i/>
      <w:iCs/>
      <w:sz w:val="20"/>
      <w:szCs w:val="20"/>
    </w:rPr>
  </w:style>
  <w:style w:type="paragraph" w:styleId="13">
    <w:name w:val="Plain Text"/>
    <w:basedOn w:val="1"/>
    <w:next w:val="1"/>
    <w:link w:val="38"/>
    <w:qFormat/>
    <w:uiPriority w:val="0"/>
    <w:rPr>
      <w:rFonts w:ascii="宋体" w:hAnsi="Courier New" w:eastAsia="Times New Roman"/>
      <w:szCs w:val="20"/>
    </w:rPr>
  </w:style>
  <w:style w:type="paragraph" w:styleId="14">
    <w:name w:val="Body Text Indent 2"/>
    <w:basedOn w:val="1"/>
    <w:qFormat/>
    <w:uiPriority w:val="0"/>
    <w:pPr>
      <w:tabs>
        <w:tab w:val="left" w:pos="4970"/>
      </w:tabs>
      <w:spacing w:line="360" w:lineRule="auto"/>
      <w:ind w:firstLine="480" w:firstLineChars="200"/>
    </w:pPr>
    <w:rPr>
      <w:sz w:val="24"/>
    </w:rPr>
  </w:style>
  <w:style w:type="paragraph" w:styleId="15">
    <w:name w:val="Balloon Text"/>
    <w:basedOn w:val="1"/>
    <w:link w:val="39"/>
    <w:unhideWhenUsed/>
    <w:qFormat/>
    <w:uiPriority w:val="99"/>
    <w:rPr>
      <w:sz w:val="18"/>
      <w:szCs w:val="18"/>
    </w:rPr>
  </w:style>
  <w:style w:type="paragraph" w:styleId="16">
    <w:name w:val="footer"/>
    <w:basedOn w:val="1"/>
    <w:link w:val="40"/>
    <w:unhideWhenUsed/>
    <w:qFormat/>
    <w:uiPriority w:val="99"/>
    <w:pPr>
      <w:tabs>
        <w:tab w:val="center" w:pos="4153"/>
        <w:tab w:val="right" w:pos="8306"/>
      </w:tabs>
      <w:snapToGrid w:val="0"/>
      <w:jc w:val="left"/>
    </w:pPr>
    <w:rPr>
      <w:sz w:val="18"/>
      <w:szCs w:val="18"/>
    </w:rPr>
  </w:style>
  <w:style w:type="paragraph" w:styleId="17">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index heading"/>
    <w:basedOn w:val="1"/>
    <w:next w:val="20"/>
    <w:unhideWhenUsed/>
    <w:qFormat/>
    <w:uiPriority w:val="99"/>
    <w:rPr>
      <w:rFonts w:eastAsia="宋体"/>
      <w:szCs w:val="24"/>
    </w:rPr>
  </w:style>
  <w:style w:type="paragraph" w:styleId="20">
    <w:name w:val="index 1"/>
    <w:basedOn w:val="1"/>
    <w:next w:val="1"/>
    <w:qFormat/>
    <w:uiPriority w:val="0"/>
  </w:style>
  <w:style w:type="paragraph" w:styleId="21">
    <w:name w:val="Body Text Indent 3"/>
    <w:basedOn w:val="1"/>
    <w:qFormat/>
    <w:uiPriority w:val="0"/>
    <w:pPr>
      <w:spacing w:after="120"/>
      <w:ind w:left="420" w:leftChars="200"/>
    </w:pPr>
    <w:rPr>
      <w:rFonts w:ascii="Calibri" w:hAnsi="Calibri"/>
      <w:sz w:val="16"/>
      <w:szCs w:val="16"/>
    </w:rPr>
  </w:style>
  <w:style w:type="paragraph" w:styleId="22">
    <w:name w:val="toc 2"/>
    <w:basedOn w:val="1"/>
    <w:next w:val="1"/>
    <w:semiHidden/>
    <w:qFormat/>
    <w:uiPriority w:val="99"/>
    <w:pPr>
      <w:ind w:left="210"/>
      <w:jc w:val="left"/>
    </w:pPr>
    <w:rPr>
      <w:smallCaps/>
      <w:sz w:val="20"/>
      <w:szCs w:val="20"/>
    </w:rPr>
  </w:style>
  <w:style w:type="paragraph" w:styleId="23">
    <w:name w:val="Body Text 2"/>
    <w:basedOn w:val="1"/>
    <w:qFormat/>
    <w:uiPriority w:val="0"/>
    <w:rPr>
      <w:rFonts w:eastAsia="楷体_GB2312"/>
      <w:b/>
      <w:bCs/>
    </w:rPr>
  </w:style>
  <w:style w:type="paragraph" w:styleId="24">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annotation subject"/>
    <w:basedOn w:val="8"/>
    <w:next w:val="8"/>
    <w:link w:val="42"/>
    <w:unhideWhenUsed/>
    <w:qFormat/>
    <w:uiPriority w:val="99"/>
    <w:rPr>
      <w:b/>
      <w:bCs/>
      <w:kern w:val="2"/>
      <w:sz w:val="21"/>
      <w:szCs w:val="22"/>
    </w:rPr>
  </w:style>
  <w:style w:type="paragraph" w:styleId="26">
    <w:name w:val="Body Text First Indent"/>
    <w:basedOn w:val="10"/>
    <w:qFormat/>
    <w:uiPriority w:val="0"/>
    <w:pPr>
      <w:ind w:firstLine="420"/>
    </w:pPr>
    <w:rPr>
      <w:kern w:val="0"/>
      <w:sz w:val="20"/>
      <w:szCs w:val="20"/>
    </w:rPr>
  </w:style>
  <w:style w:type="character" w:styleId="29">
    <w:name w:val="Strong"/>
    <w:qFormat/>
    <w:uiPriority w:val="22"/>
    <w:rPr>
      <w:b/>
    </w:rPr>
  </w:style>
  <w:style w:type="character" w:styleId="30">
    <w:name w:val="page number"/>
    <w:qFormat/>
    <w:uiPriority w:val="0"/>
  </w:style>
  <w:style w:type="character" w:styleId="31">
    <w:name w:val="FollowedHyperlink"/>
    <w:unhideWhenUsed/>
    <w:qFormat/>
    <w:uiPriority w:val="99"/>
    <w:rPr>
      <w:color w:val="000000"/>
      <w:u w:val="none"/>
    </w:rPr>
  </w:style>
  <w:style w:type="character" w:styleId="32">
    <w:name w:val="Hyperlink"/>
    <w:unhideWhenUsed/>
    <w:qFormat/>
    <w:uiPriority w:val="99"/>
    <w:rPr>
      <w:color w:val="000000"/>
      <w:u w:val="none"/>
    </w:rPr>
  </w:style>
  <w:style w:type="character" w:styleId="33">
    <w:name w:val="annotation reference"/>
    <w:unhideWhenUsed/>
    <w:qFormat/>
    <w:uiPriority w:val="99"/>
    <w:rPr>
      <w:sz w:val="21"/>
      <w:szCs w:val="21"/>
    </w:rPr>
  </w:style>
  <w:style w:type="character" w:customStyle="1" w:styleId="34">
    <w:name w:val="标题 1 字符"/>
    <w:link w:val="3"/>
    <w:qFormat/>
    <w:uiPriority w:val="9"/>
    <w:rPr>
      <w:bCs/>
      <w:kern w:val="44"/>
      <w:sz w:val="36"/>
      <w:szCs w:val="44"/>
    </w:rPr>
  </w:style>
  <w:style w:type="character" w:customStyle="1" w:styleId="35">
    <w:name w:val="标题 3 字符"/>
    <w:link w:val="5"/>
    <w:qFormat/>
    <w:uiPriority w:val="9"/>
    <w:rPr>
      <w:bCs/>
      <w:sz w:val="32"/>
      <w:szCs w:val="32"/>
    </w:rPr>
  </w:style>
  <w:style w:type="character" w:customStyle="1" w:styleId="36">
    <w:name w:val="标题 4 字符"/>
    <w:link w:val="6"/>
    <w:qFormat/>
    <w:uiPriority w:val="9"/>
    <w:rPr>
      <w:rFonts w:ascii="Cambria" w:hAnsi="Cambria" w:eastAsia="宋体" w:cs="Times New Roman"/>
      <w:b/>
      <w:bCs/>
      <w:sz w:val="24"/>
      <w:szCs w:val="28"/>
    </w:rPr>
  </w:style>
  <w:style w:type="character" w:customStyle="1" w:styleId="37">
    <w:name w:val="批注文字 字符"/>
    <w:link w:val="8"/>
    <w:semiHidden/>
    <w:qFormat/>
    <w:uiPriority w:val="0"/>
    <w:rPr>
      <w:rFonts w:ascii="Calibri" w:hAnsi="Calibri"/>
      <w:szCs w:val="24"/>
    </w:rPr>
  </w:style>
  <w:style w:type="character" w:customStyle="1" w:styleId="38">
    <w:name w:val="纯文本 字符"/>
    <w:link w:val="13"/>
    <w:qFormat/>
    <w:uiPriority w:val="0"/>
    <w:rPr>
      <w:rFonts w:ascii="宋体" w:hAnsi="Courier New" w:eastAsia="Times New Roman" w:cs="Times New Roman"/>
      <w:kern w:val="2"/>
      <w:sz w:val="21"/>
    </w:rPr>
  </w:style>
  <w:style w:type="character" w:customStyle="1" w:styleId="39">
    <w:name w:val="批注框文本 字符"/>
    <w:link w:val="15"/>
    <w:semiHidden/>
    <w:qFormat/>
    <w:uiPriority w:val="99"/>
    <w:rPr>
      <w:sz w:val="18"/>
      <w:szCs w:val="18"/>
    </w:rPr>
  </w:style>
  <w:style w:type="character" w:customStyle="1" w:styleId="40">
    <w:name w:val="页脚 字符"/>
    <w:link w:val="16"/>
    <w:qFormat/>
    <w:uiPriority w:val="99"/>
    <w:rPr>
      <w:sz w:val="18"/>
      <w:szCs w:val="18"/>
    </w:rPr>
  </w:style>
  <w:style w:type="character" w:customStyle="1" w:styleId="41">
    <w:name w:val="页眉 字符"/>
    <w:link w:val="17"/>
    <w:qFormat/>
    <w:uiPriority w:val="99"/>
    <w:rPr>
      <w:sz w:val="18"/>
      <w:szCs w:val="18"/>
    </w:rPr>
  </w:style>
  <w:style w:type="character" w:customStyle="1" w:styleId="42">
    <w:name w:val="批注主题 字符"/>
    <w:link w:val="25"/>
    <w:semiHidden/>
    <w:qFormat/>
    <w:uiPriority w:val="99"/>
    <w:rPr>
      <w:rFonts w:ascii="Calibri" w:hAnsi="Calibri"/>
      <w:b/>
      <w:bCs/>
      <w:kern w:val="2"/>
      <w:sz w:val="21"/>
      <w:szCs w:val="22"/>
    </w:rPr>
  </w:style>
  <w:style w:type="character" w:customStyle="1" w:styleId="43">
    <w:name w:val="ca-02"/>
    <w:qFormat/>
    <w:uiPriority w:val="0"/>
  </w:style>
  <w:style w:type="character" w:customStyle="1" w:styleId="44">
    <w:name w:val="hover42"/>
    <w:qFormat/>
    <w:uiPriority w:val="0"/>
  </w:style>
  <w:style w:type="character" w:customStyle="1" w:styleId="45">
    <w:name w:val="times1"/>
    <w:qFormat/>
    <w:uiPriority w:val="0"/>
    <w:rPr>
      <w:color w:val="3399FF"/>
      <w:bdr w:val="single" w:color="D1EDF8" w:sz="6" w:space="0"/>
      <w:shd w:val="clear" w:color="auto" w:fill="EAF9FF"/>
    </w:rPr>
  </w:style>
  <w:style w:type="character" w:customStyle="1" w:styleId="46">
    <w:name w:val="times"/>
    <w:qFormat/>
    <w:uiPriority w:val="0"/>
    <w:rPr>
      <w:color w:val="CDCDCD"/>
      <w:bdr w:val="single" w:color="CDCDCD" w:sz="6" w:space="0"/>
      <w:shd w:val="clear" w:color="auto" w:fill="EFEFEF"/>
    </w:rPr>
  </w:style>
  <w:style w:type="paragraph" w:customStyle="1" w:styleId="47">
    <w:name w:val="p0"/>
    <w:basedOn w:val="1"/>
    <w:qFormat/>
    <w:uiPriority w:val="0"/>
    <w:pPr>
      <w:widowControl/>
    </w:pPr>
    <w:rPr>
      <w:rFonts w:ascii="Times New Roman" w:hAnsi="Times New Roman" w:eastAsia="宋体"/>
      <w:kern w:val="0"/>
      <w:szCs w:val="21"/>
    </w:rPr>
  </w:style>
  <w:style w:type="paragraph" w:customStyle="1" w:styleId="48">
    <w:name w:val="_Style 47"/>
    <w:unhideWhenUsed/>
    <w:qFormat/>
    <w:uiPriority w:val="99"/>
    <w:rPr>
      <w:rFonts w:ascii="Calibri" w:hAnsi="Calibri" w:eastAsia="宋体" w:cs="Times New Roman"/>
      <w:kern w:val="2"/>
      <w:sz w:val="21"/>
      <w:szCs w:val="22"/>
      <w:lang w:val="en-US" w:eastAsia="zh-CN" w:bidi="ar-SA"/>
    </w:rPr>
  </w:style>
  <w:style w:type="paragraph" w:customStyle="1" w:styleId="49">
    <w:name w:val="_Style 3"/>
    <w:next w:val="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Plain Text"/>
    <w:basedOn w:val="1"/>
    <w:qFormat/>
    <w:uiPriority w:val="0"/>
    <w:rPr>
      <w:rFonts w:ascii="宋体" w:hAnsi="Courier New" w:eastAsia="Times New Roman"/>
      <w:kern w:val="2"/>
      <w:sz w:val="21"/>
    </w:rPr>
  </w:style>
  <w:style w:type="paragraph" w:styleId="51">
    <w:name w:val="List Paragraph"/>
    <w:basedOn w:val="1"/>
    <w:qFormat/>
    <w:uiPriority w:val="34"/>
    <w:pPr>
      <w:ind w:firstLine="420" w:firstLineChars="200"/>
    </w:pPr>
  </w:style>
  <w:style w:type="paragraph" w:customStyle="1" w:styleId="52">
    <w:name w:val="文一"/>
    <w:basedOn w:val="1"/>
    <w:qFormat/>
    <w:uiPriority w:val="0"/>
    <w:pPr>
      <w:topLinePunct/>
      <w:adjustRightInd w:val="0"/>
      <w:snapToGrid w:val="0"/>
      <w:spacing w:line="360" w:lineRule="auto"/>
      <w:ind w:firstLine="200" w:firstLineChars="200"/>
    </w:pPr>
    <w:rPr>
      <w:rFonts w:eastAsia="宋体"/>
      <w:snapToGrid w:val="0"/>
      <w:spacing w:val="4"/>
      <w:kern w:val="0"/>
      <w:sz w:val="24"/>
      <w:szCs w:val="24"/>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19289</Words>
  <Characters>20485</Characters>
  <Lines>202</Lines>
  <Paragraphs>57</Paragraphs>
  <TotalTime>7</TotalTime>
  <ScaleCrop>false</ScaleCrop>
  <LinksUpToDate>false</LinksUpToDate>
  <CharactersWithSpaces>23307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2023-01-20T03:10:00Z</dcterms:created>
  <dc:creator>Administrator</dc:creator>
  <cp:lastModifiedBy>Administrator</cp:lastModifiedBy>
  <cp:lastPrinted>2021-03-26T02:23:00Z</cp:lastPrinted>
  <dcterms:modified xsi:type="dcterms:W3CDTF">2023-03-01T02:49:11Z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11759C76B77F44078A47243A4ADBB13C</vt:lpwstr>
  </property>
</Properties>
</file>