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21"/>
          <w:szCs w:val="21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综合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评分表（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分） 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 xml:space="preserve">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17"/>
        <w:gridCol w:w="6163"/>
        <w:gridCol w:w="1152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评审项目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评审细则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60" w:lineRule="auto"/>
              <w:ind w:left="-63" w:leftChars="-30" w:right="-139" w:rightChars="-66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权重（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60" w:lineRule="auto"/>
              <w:ind w:left="-63" w:leftChars="-30" w:right="-139" w:rightChars="-66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分值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技术部分（合计</w:t>
            </w:r>
            <w:r>
              <w:rPr>
                <w:rFonts w:hint="eastAsia" w:hAnsi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技术</w:t>
            </w:r>
            <w:r>
              <w:rPr>
                <w:rFonts w:hint="eastAsia" w:hAnsi="仿宋_GB2312" w:cs="仿宋_GB2312"/>
                <w:kern w:val="2"/>
                <w:sz w:val="21"/>
                <w:szCs w:val="21"/>
                <w:lang w:val="en-US" w:eastAsia="zh-CN"/>
              </w:rPr>
              <w:t>概况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根据投标人提供的技术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详细描述进行评审。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实施方案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根据投标人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针对本项目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的实施方案（包括进度安排、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日常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计划及保障措施等）进行打分：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1.投标人的实施方案科学、合理、针对性强，进度安排科学合理，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计划及保障措施完整、科学、可操作性强，得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分。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2.投标人的实施方案进度安排较为科学合理，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计划及保障措施较完整、科学、可操作性强，得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分。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3.投标人的实施方案进度安排合理，有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计划及保障措施，得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分。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不提供或者提供较差者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不得分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服务</w:t>
            </w:r>
            <w:r>
              <w:rPr>
                <w:rFonts w:hint="eastAsia" w:hAnsi="仿宋_GB2312" w:cs="仿宋_GB2312"/>
                <w:kern w:val="2"/>
                <w:sz w:val="21"/>
                <w:szCs w:val="21"/>
                <w:lang w:val="en-US"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及质量保障措施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根据投标人针对本项目的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保障方案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（包括服务响应时间及承诺、应急处理方案、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内监督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方案等）进行打分：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1.投标人的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服务针对性、可操作性强，在项目当地有服务机构，服务机制完善，服务响应及承诺及时、完整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2.投标人的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服务有针对性，服务机制完善，服务响应及承诺及时，应急处理方案科学，有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监督措施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的，得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3.投标人有提供保障服务，服务响应及承诺及时，有应急处理方案，有监督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的，得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不提供或者提供较差者不得分。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二</w:t>
            </w:r>
          </w:p>
        </w:tc>
        <w:tc>
          <w:tcPr>
            <w:tcW w:w="9685" w:type="dxa"/>
            <w:gridSpan w:val="4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商务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企业认证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pStyle w:val="8"/>
              <w:tabs>
                <w:tab w:val="left" w:pos="312"/>
              </w:tabs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投标人具有的企业认证情况：</w:t>
            </w:r>
          </w:p>
          <w:p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需提供证书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复印件，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不提供不得分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10%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left="227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项目业绩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投标人完成业绩情况，不提供不得分。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left="227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9685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价格部分（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left="227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投标报价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价格分应当采用低价优先法计算，即满足招标文件要求且投标价格最低的投标报价为评标基准价，其价格分为满分。其他投标人的价格分统一按照下列公示计算：投标报价得分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=（评标基准价/投标报价）x100x价格权重。注：投标报价得分四舍五入后，小数点后保留两位有效数。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153" w:type="dxa"/>
            <w:gridSpan w:val="3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100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"/>
      <w:lvlJc w:val="right"/>
      <w:pPr>
        <w:ind w:left="113" w:firstLine="227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jIwMzhiNWJkNTYxYWZlNTVlY2NhZmNjNjQ2ZTAifQ=="/>
  </w:docVars>
  <w:rsids>
    <w:rsidRoot w:val="00000000"/>
    <w:rsid w:val="2CC0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宋体" w:cs="Calibri"/>
      <w:color w:val="000000"/>
      <w:kern w:val="2"/>
      <w:sz w:val="21"/>
      <w:szCs w:val="21"/>
      <w:u w:val="none" w:color="000000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830" w:firstLineChars="352"/>
    </w:pPr>
    <w:rPr>
      <w:rFonts w:ascii="仿宋_GB2312" w:hAnsi="Times New Roman" w:eastAsia="仿宋_GB2312"/>
      <w:kern w:val="2"/>
      <w:sz w:val="32"/>
    </w:rPr>
  </w:style>
  <w:style w:type="paragraph" w:customStyle="1" w:styleId="6">
    <w:name w:val="正文缩进2格"/>
    <w:basedOn w:val="1"/>
    <w:qFormat/>
    <w:uiPriority w:val="0"/>
    <w:pPr>
      <w:spacing w:line="600" w:lineRule="exact"/>
      <w:ind w:firstLine="639" w:firstLineChars="206"/>
      <w:jc w:val="left"/>
    </w:pPr>
    <w:rPr>
      <w:rFonts w:ascii="仿宋_GB2312" w:hAnsi="宋体" w:eastAsia="仿宋_GB2312"/>
      <w:kern w:val="0"/>
      <w:sz w:val="31"/>
      <w:szCs w:val="20"/>
    </w:rPr>
  </w:style>
  <w:style w:type="paragraph" w:customStyle="1" w:styleId="7">
    <w:name w:val="无间隔1"/>
    <w:qFormat/>
    <w:uiPriority w:val="0"/>
    <w:pPr>
      <w:spacing w:line="360" w:lineRule="auto"/>
    </w:pPr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2023-04-23T07:31:28Z</dcterms:created>
  <dc:creator>来雅捷</dc:creator>
  <cp:lastModifiedBy>来来来</cp:lastModifiedBy>
  <dcterms:modified xsi:type="dcterms:W3CDTF">2023-04-23T07:31:56Z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9F6BF838A5104A0CBA5F2A4A3166DDB6_12</vt:lpwstr>
  </property>
</Properties>
</file>