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val="en-US" w:eastAsia="zh-CN" w:bidi="ar"/>
        </w:rPr>
        <w:t>岭南花卉市场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党群服务驿站展览展示视频设备系统采购项目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eastAsia="zh-CN" w:bidi="ar"/>
        </w:rPr>
        <w:t>需求清单</w:t>
      </w:r>
    </w:p>
    <w:bookmarkEnd w:id="0"/>
    <w:tbl>
      <w:tblPr>
        <w:tblStyle w:val="2"/>
        <w:tblW w:w="88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089"/>
        <w:gridCol w:w="4592"/>
        <w:gridCol w:w="659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LED显示屏设备及视频制作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微软雅黑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P2.5，软模组，5.92m*1.52m，硬模组，4.48m*2m，国产灯珠，含全套设备、驱动电源、控制电脑及安装调试，含视频制作内容（共2条视频，软膜组制作视频内容时长120秒，硬模组制作视频内容时长120秒）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互动触控一体机设备及视频制作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微软雅黑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75寸双系统，内存：8GB，固态硬盘：256G SSD，含视频制作内容（视频时长120秒）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全自动无人值守系统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含中央处理系统、门禁系统、监控系统、灯控系统、智能语音模块、软件系统等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功放音响设备系统</w:t>
            </w:r>
          </w:p>
        </w:tc>
        <w:tc>
          <w:tcPr>
            <w:tcW w:w="45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含16路调音台、专业会议扩声功放、挂墙式专业扩声音箱、双通道高频无线麦克风、数字均衡处理器、智能电源控制器、功放机柜及线材一批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77753"/>
    <w:rsid w:val="0D3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2023-05-24T01:33:00Z</dcterms:created>
  <dc:creator>bgs</dc:creator>
  <cp:lastModifiedBy>bgs</cp:lastModifiedBy>
  <dcterms:modified xsi:type="dcterms:W3CDTF">2023-05-24T01:34:08Z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F11690A18C0F425DB06EB09C35A8A51F</vt:lpwstr>
  </property>
</Properties>
</file>