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szCs w:val="30"/>
          <w:highlight w:val="none"/>
        </w:rPr>
      </w:pPr>
      <w:r>
        <w:rPr>
          <w:rFonts w:hint="eastAsia" w:ascii="仿宋_GB2312" w:eastAsia="仿宋_GB2312"/>
          <w:sz w:val="30"/>
          <w:szCs w:val="30"/>
          <w:highlight w:val="none"/>
        </w:rPr>
        <w:t>附件1</w:t>
      </w:r>
    </w:p>
    <w:p>
      <w:pPr>
        <w:jc w:val="center"/>
        <w:rPr>
          <w:rFonts w:ascii="仿宋_GB2312" w:eastAsia="仿宋_GB2312"/>
          <w:b/>
          <w:bCs/>
          <w:sz w:val="36"/>
          <w:szCs w:val="36"/>
          <w:highlight w:val="none"/>
        </w:rPr>
      </w:pPr>
      <w:r>
        <w:rPr>
          <w:rFonts w:hint="eastAsia" w:ascii="仿宋_GB2312" w:eastAsia="仿宋_GB2312"/>
          <w:b/>
          <w:bCs/>
          <w:sz w:val="36"/>
          <w:szCs w:val="36"/>
          <w:highlight w:val="none"/>
        </w:rPr>
        <w:t>资格性和符合性审查表</w:t>
      </w:r>
    </w:p>
    <w:p>
      <w:pPr>
        <w:jc w:val="left"/>
        <w:rPr>
          <w:rFonts w:ascii="宋体" w:hAnsi="宋体" w:cs="宋体"/>
          <w:sz w:val="24"/>
          <w:highlight w:val="none"/>
        </w:rPr>
      </w:pPr>
      <w:r>
        <w:rPr>
          <w:rFonts w:hint="eastAsia" w:ascii="宋体" w:hAnsi="宋体" w:cs="宋体"/>
          <w:sz w:val="24"/>
          <w:highlight w:val="none"/>
        </w:rPr>
        <w:t>项目名称：海龙街道</w:t>
      </w:r>
      <w:r>
        <w:rPr>
          <w:rFonts w:hint="eastAsia" w:ascii="宋体" w:hAnsi="宋体" w:cs="宋体"/>
          <w:sz w:val="24"/>
          <w:highlight w:val="none"/>
          <w:lang w:val="en-US" w:eastAsia="zh-CN"/>
        </w:rPr>
        <w:t>增滘、</w:t>
      </w:r>
      <w:r>
        <w:rPr>
          <w:rFonts w:hint="eastAsia" w:ascii="宋体" w:hAnsi="宋体" w:cs="宋体"/>
          <w:sz w:val="24"/>
          <w:highlight w:val="none"/>
        </w:rPr>
        <w:t>龙溪党群服务中心（社区居委会）修缮改造项目</w:t>
      </w:r>
    </w:p>
    <w:tbl>
      <w:tblPr>
        <w:tblStyle w:val="3"/>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180"/>
        <w:gridCol w:w="1538"/>
        <w:gridCol w:w="169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 w:type="dxa"/>
          </w:tcPr>
          <w:p>
            <w:pPr>
              <w:pStyle w:val="2"/>
              <w:jc w:val="center"/>
              <w:rPr>
                <w:rFonts w:hAnsi="宋体" w:eastAsia="宋体" w:cs="宋体"/>
                <w:sz w:val="24"/>
                <w:szCs w:val="24"/>
                <w:highlight w:val="none"/>
              </w:rPr>
            </w:pPr>
            <w:r>
              <w:rPr>
                <w:rFonts w:hint="eastAsia" w:hAnsi="宋体" w:eastAsia="宋体" w:cs="宋体"/>
                <w:sz w:val="24"/>
                <w:szCs w:val="24"/>
                <w:highlight w:val="none"/>
              </w:rPr>
              <w:t>序号</w:t>
            </w:r>
          </w:p>
        </w:tc>
        <w:tc>
          <w:tcPr>
            <w:tcW w:w="4180" w:type="dxa"/>
          </w:tcPr>
          <w:p>
            <w:pPr>
              <w:pStyle w:val="2"/>
              <w:jc w:val="center"/>
              <w:rPr>
                <w:rFonts w:hAnsi="宋体" w:eastAsia="宋体" w:cs="宋体"/>
                <w:sz w:val="24"/>
                <w:szCs w:val="24"/>
                <w:highlight w:val="none"/>
              </w:rPr>
            </w:pPr>
            <w:r>
              <w:rPr>
                <w:rFonts w:hint="eastAsia" w:hAnsi="宋体" w:eastAsia="宋体" w:cs="宋体"/>
                <w:sz w:val="24"/>
                <w:szCs w:val="24"/>
                <w:highlight w:val="none"/>
              </w:rPr>
              <w:t>审查内容</w:t>
            </w:r>
          </w:p>
        </w:tc>
        <w:tc>
          <w:tcPr>
            <w:tcW w:w="1538" w:type="dxa"/>
          </w:tcPr>
          <w:p>
            <w:pPr>
              <w:pStyle w:val="2"/>
              <w:jc w:val="center"/>
              <w:rPr>
                <w:rFonts w:hAnsi="宋体" w:eastAsia="宋体" w:cs="宋体"/>
                <w:sz w:val="24"/>
                <w:szCs w:val="24"/>
                <w:highlight w:val="none"/>
              </w:rPr>
            </w:pPr>
            <w:r>
              <w:rPr>
                <w:rFonts w:hint="eastAsia" w:hAnsi="宋体" w:eastAsia="宋体" w:cs="宋体"/>
                <w:sz w:val="24"/>
                <w:szCs w:val="24"/>
                <w:highlight w:val="none"/>
              </w:rPr>
              <w:t>报价人1</w:t>
            </w:r>
          </w:p>
        </w:tc>
        <w:tc>
          <w:tcPr>
            <w:tcW w:w="1695" w:type="dxa"/>
          </w:tcPr>
          <w:p>
            <w:pPr>
              <w:pStyle w:val="2"/>
              <w:jc w:val="center"/>
              <w:rPr>
                <w:rFonts w:hAnsi="宋体" w:eastAsia="宋体" w:cs="宋体"/>
                <w:sz w:val="24"/>
                <w:szCs w:val="24"/>
                <w:highlight w:val="none"/>
              </w:rPr>
            </w:pPr>
            <w:r>
              <w:rPr>
                <w:rFonts w:hint="eastAsia" w:hAnsi="宋体" w:eastAsia="宋体" w:cs="宋体"/>
                <w:sz w:val="24"/>
                <w:szCs w:val="24"/>
                <w:highlight w:val="none"/>
              </w:rPr>
              <w:t>报价人2</w:t>
            </w:r>
          </w:p>
        </w:tc>
        <w:tc>
          <w:tcPr>
            <w:tcW w:w="1482" w:type="dxa"/>
          </w:tcPr>
          <w:p>
            <w:pPr>
              <w:pStyle w:val="2"/>
              <w:jc w:val="center"/>
              <w:rPr>
                <w:rFonts w:hAnsi="宋体" w:eastAsia="宋体" w:cs="宋体"/>
                <w:sz w:val="24"/>
                <w:szCs w:val="24"/>
                <w:highlight w:val="none"/>
              </w:rPr>
            </w:pPr>
            <w:r>
              <w:rPr>
                <w:rFonts w:hint="eastAsia"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821" w:type="dxa"/>
            <w:vAlign w:val="center"/>
          </w:tcPr>
          <w:p>
            <w:pPr>
              <w:pStyle w:val="2"/>
              <w:jc w:val="center"/>
              <w:rPr>
                <w:rFonts w:ascii="等线" w:hAnsi="等线" w:eastAsia="等线" w:cs="等线"/>
                <w:sz w:val="24"/>
                <w:szCs w:val="24"/>
                <w:highlight w:val="none"/>
              </w:rPr>
            </w:pPr>
            <w:r>
              <w:rPr>
                <w:rFonts w:hint="eastAsia" w:ascii="等线" w:hAnsi="等线" w:eastAsia="等线" w:cs="等线"/>
                <w:sz w:val="24"/>
                <w:szCs w:val="24"/>
                <w:highlight w:val="none"/>
              </w:rPr>
              <w:t>1</w:t>
            </w:r>
          </w:p>
        </w:tc>
        <w:tc>
          <w:tcPr>
            <w:tcW w:w="4180" w:type="dxa"/>
            <w:vAlign w:val="center"/>
          </w:tcPr>
          <w:p>
            <w:pPr>
              <w:pStyle w:val="2"/>
              <w:jc w:val="left"/>
              <w:rPr>
                <w:rFonts w:ascii="等线" w:hAnsi="等线" w:eastAsia="等线" w:cs="等线"/>
                <w:sz w:val="24"/>
                <w:szCs w:val="24"/>
                <w:highlight w:val="none"/>
              </w:rPr>
            </w:pPr>
            <w:r>
              <w:rPr>
                <w:rFonts w:hint="eastAsia" w:hAnsi="宋体" w:cs="宋体"/>
                <w:color w:val="000000"/>
                <w:sz w:val="24"/>
                <w:highlight w:val="none"/>
              </w:rPr>
              <w:t>具有独立法人资格，持有工商行政管理部门核发的法人营业执照或各级登记管理机关颁发的事业单位法人证书，按国家法律经营，并且为广东政府采购智慧云平台注册供应商。</w:t>
            </w:r>
          </w:p>
        </w:tc>
        <w:tc>
          <w:tcPr>
            <w:tcW w:w="1538" w:type="dxa"/>
          </w:tcPr>
          <w:p>
            <w:pPr>
              <w:pStyle w:val="2"/>
              <w:jc w:val="center"/>
              <w:rPr>
                <w:rFonts w:hAnsi="宋体" w:eastAsia="宋体" w:cs="宋体"/>
                <w:sz w:val="24"/>
                <w:szCs w:val="24"/>
                <w:highlight w:val="none"/>
              </w:rPr>
            </w:pPr>
          </w:p>
        </w:tc>
        <w:tc>
          <w:tcPr>
            <w:tcW w:w="1695" w:type="dxa"/>
          </w:tcPr>
          <w:p>
            <w:pPr>
              <w:pStyle w:val="2"/>
              <w:jc w:val="center"/>
              <w:rPr>
                <w:rFonts w:hAnsi="宋体" w:eastAsia="宋体" w:cs="宋体"/>
                <w:sz w:val="24"/>
                <w:szCs w:val="24"/>
                <w:highlight w:val="none"/>
              </w:rPr>
            </w:pPr>
          </w:p>
        </w:tc>
        <w:tc>
          <w:tcPr>
            <w:tcW w:w="1482" w:type="dxa"/>
          </w:tcPr>
          <w:p>
            <w:pPr>
              <w:pStyle w:val="2"/>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1" w:type="dxa"/>
            <w:vAlign w:val="center"/>
          </w:tcPr>
          <w:p>
            <w:pPr>
              <w:pStyle w:val="2"/>
              <w:jc w:val="center"/>
              <w:rPr>
                <w:rFonts w:ascii="等线" w:hAnsi="等线" w:eastAsia="等线" w:cs="等线"/>
                <w:sz w:val="24"/>
                <w:szCs w:val="24"/>
                <w:highlight w:val="none"/>
              </w:rPr>
            </w:pPr>
            <w:r>
              <w:rPr>
                <w:rFonts w:hint="eastAsia" w:ascii="等线" w:hAnsi="等线" w:eastAsia="等线" w:cs="等线"/>
                <w:sz w:val="24"/>
                <w:szCs w:val="24"/>
                <w:highlight w:val="none"/>
              </w:rPr>
              <w:t>2</w:t>
            </w:r>
          </w:p>
        </w:tc>
        <w:tc>
          <w:tcPr>
            <w:tcW w:w="4180" w:type="dxa"/>
            <w:vAlign w:val="center"/>
          </w:tcPr>
          <w:p>
            <w:pPr>
              <w:pStyle w:val="2"/>
              <w:jc w:val="left"/>
              <w:rPr>
                <w:rFonts w:hAnsi="宋体" w:cs="宋体"/>
                <w:color w:val="000000"/>
                <w:sz w:val="24"/>
                <w:highlight w:val="none"/>
              </w:rPr>
            </w:pPr>
            <w:r>
              <w:rPr>
                <w:rFonts w:hint="eastAsia" w:hAnsi="宋体" w:cs="宋体"/>
                <w:color w:val="000000"/>
                <w:sz w:val="24"/>
                <w:highlight w:val="none"/>
              </w:rPr>
              <w:t>投标人须具备国家认定的建筑装修装饰工程专业承包资质或建筑装修装饰工程设计及施工一体资质、具有有效的安全生产许可证。</w:t>
            </w:r>
          </w:p>
        </w:tc>
        <w:tc>
          <w:tcPr>
            <w:tcW w:w="1538" w:type="dxa"/>
          </w:tcPr>
          <w:p>
            <w:pPr>
              <w:pStyle w:val="2"/>
              <w:jc w:val="center"/>
              <w:rPr>
                <w:rFonts w:hAnsi="宋体" w:eastAsia="宋体" w:cs="宋体"/>
                <w:sz w:val="24"/>
                <w:szCs w:val="24"/>
                <w:highlight w:val="none"/>
              </w:rPr>
            </w:pPr>
          </w:p>
        </w:tc>
        <w:tc>
          <w:tcPr>
            <w:tcW w:w="1695" w:type="dxa"/>
          </w:tcPr>
          <w:p>
            <w:pPr>
              <w:pStyle w:val="2"/>
              <w:jc w:val="center"/>
              <w:rPr>
                <w:rFonts w:hAnsi="宋体" w:eastAsia="宋体" w:cs="宋体"/>
                <w:sz w:val="24"/>
                <w:szCs w:val="24"/>
                <w:highlight w:val="none"/>
              </w:rPr>
            </w:pPr>
          </w:p>
        </w:tc>
        <w:tc>
          <w:tcPr>
            <w:tcW w:w="1482" w:type="dxa"/>
          </w:tcPr>
          <w:p>
            <w:pPr>
              <w:pStyle w:val="2"/>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1" w:type="dxa"/>
            <w:vAlign w:val="center"/>
          </w:tcPr>
          <w:p>
            <w:pPr>
              <w:pStyle w:val="2"/>
              <w:jc w:val="center"/>
              <w:rPr>
                <w:rFonts w:ascii="等线" w:hAnsi="等线" w:eastAsia="等线" w:cs="等线"/>
                <w:sz w:val="24"/>
                <w:szCs w:val="24"/>
                <w:highlight w:val="none"/>
              </w:rPr>
            </w:pPr>
            <w:r>
              <w:rPr>
                <w:rFonts w:hint="eastAsia" w:ascii="等线" w:hAnsi="等线" w:eastAsia="等线" w:cs="等线"/>
                <w:sz w:val="24"/>
                <w:szCs w:val="24"/>
                <w:highlight w:val="none"/>
              </w:rPr>
              <w:t>3</w:t>
            </w:r>
          </w:p>
        </w:tc>
        <w:tc>
          <w:tcPr>
            <w:tcW w:w="4180" w:type="dxa"/>
            <w:vAlign w:val="center"/>
          </w:tcPr>
          <w:p>
            <w:pPr>
              <w:pStyle w:val="2"/>
              <w:jc w:val="left"/>
              <w:rPr>
                <w:rFonts w:ascii="等线" w:hAnsi="等线" w:eastAsia="等线" w:cs="等线"/>
                <w:sz w:val="24"/>
                <w:szCs w:val="24"/>
                <w:highlight w:val="none"/>
                <w:u w:val="single"/>
              </w:rPr>
            </w:pPr>
            <w:r>
              <w:rPr>
                <w:rFonts w:hint="eastAsia" w:hAnsi="宋体" w:cs="宋体"/>
                <w:color w:val="000000"/>
                <w:sz w:val="24"/>
                <w:highlight w:val="none"/>
              </w:rPr>
              <w:t>项目负责人具有建</w:t>
            </w:r>
            <w:r>
              <w:rPr>
                <w:rFonts w:hAnsi="宋体" w:cs="宋体"/>
                <w:color w:val="000000"/>
                <w:sz w:val="24"/>
                <w:highlight w:val="none"/>
              </w:rPr>
              <w:t>筑</w:t>
            </w:r>
            <w:r>
              <w:rPr>
                <w:rFonts w:hint="eastAsia" w:hAnsi="宋体" w:cs="宋体"/>
                <w:color w:val="000000"/>
                <w:sz w:val="24"/>
                <w:highlight w:val="none"/>
              </w:rPr>
              <w:t>专业二级建造师（或以上）资格，或小型项目负责人证（建</w:t>
            </w:r>
            <w:r>
              <w:rPr>
                <w:rFonts w:hAnsi="宋体" w:cs="宋体"/>
                <w:color w:val="000000"/>
                <w:sz w:val="24"/>
                <w:highlight w:val="none"/>
              </w:rPr>
              <w:t>筑</w:t>
            </w:r>
            <w:r>
              <w:rPr>
                <w:rFonts w:hint="eastAsia" w:hAnsi="宋体" w:cs="宋体"/>
                <w:color w:val="000000"/>
                <w:sz w:val="24"/>
                <w:highlight w:val="none"/>
              </w:rPr>
              <w:t>）及在有效期内的安全培训考核合格证（B类），或能够提供广东省建筑施工企业管理人员安全生产考核信息系统安全生产管理人员证书信息的打印页，且在报价人单位注册。</w:t>
            </w:r>
          </w:p>
        </w:tc>
        <w:tc>
          <w:tcPr>
            <w:tcW w:w="1538" w:type="dxa"/>
          </w:tcPr>
          <w:p>
            <w:pPr>
              <w:pStyle w:val="2"/>
              <w:jc w:val="center"/>
              <w:rPr>
                <w:rFonts w:hAnsi="宋体" w:eastAsia="宋体" w:cs="宋体"/>
                <w:sz w:val="24"/>
                <w:szCs w:val="24"/>
                <w:highlight w:val="none"/>
              </w:rPr>
            </w:pPr>
          </w:p>
        </w:tc>
        <w:tc>
          <w:tcPr>
            <w:tcW w:w="1695" w:type="dxa"/>
          </w:tcPr>
          <w:p>
            <w:pPr>
              <w:pStyle w:val="2"/>
              <w:jc w:val="center"/>
              <w:rPr>
                <w:rFonts w:hAnsi="宋体" w:eastAsia="宋体" w:cs="宋体"/>
                <w:sz w:val="24"/>
                <w:szCs w:val="24"/>
                <w:highlight w:val="none"/>
              </w:rPr>
            </w:pPr>
          </w:p>
        </w:tc>
        <w:tc>
          <w:tcPr>
            <w:tcW w:w="1482" w:type="dxa"/>
          </w:tcPr>
          <w:p>
            <w:pPr>
              <w:pStyle w:val="2"/>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21" w:type="dxa"/>
            <w:vAlign w:val="center"/>
          </w:tcPr>
          <w:p>
            <w:pPr>
              <w:pStyle w:val="2"/>
              <w:spacing w:line="360" w:lineRule="auto"/>
              <w:jc w:val="center"/>
              <w:rPr>
                <w:rFonts w:ascii="等线" w:hAnsi="等线" w:eastAsia="等线" w:cs="等线"/>
                <w:sz w:val="24"/>
                <w:szCs w:val="24"/>
                <w:highlight w:val="none"/>
              </w:rPr>
            </w:pPr>
            <w:r>
              <w:rPr>
                <w:rFonts w:hint="eastAsia" w:ascii="等线" w:hAnsi="等线" w:eastAsia="等线" w:cs="等线"/>
                <w:sz w:val="24"/>
                <w:szCs w:val="24"/>
                <w:highlight w:val="none"/>
              </w:rPr>
              <w:t>4</w:t>
            </w:r>
          </w:p>
        </w:tc>
        <w:tc>
          <w:tcPr>
            <w:tcW w:w="4180" w:type="dxa"/>
            <w:vAlign w:val="center"/>
          </w:tcPr>
          <w:p>
            <w:pPr>
              <w:pStyle w:val="2"/>
              <w:jc w:val="left"/>
              <w:rPr>
                <w:rFonts w:ascii="等线" w:hAnsi="等线" w:eastAsia="等线" w:cs="等线"/>
                <w:sz w:val="24"/>
                <w:szCs w:val="24"/>
                <w:highlight w:val="none"/>
              </w:rPr>
            </w:pPr>
            <w:r>
              <w:rPr>
                <w:rFonts w:hint="eastAsia" w:hAnsi="宋体" w:cs="宋体"/>
                <w:color w:val="000000"/>
                <w:sz w:val="24"/>
                <w:highlight w:val="none"/>
              </w:rPr>
              <w:t>专职安全人员须具有在有效期内的安全考核合格证书（C类），或提供广东省建筑施工企业管理人员安全生产考核信息系统相应人员信息资料的打印页</w:t>
            </w:r>
          </w:p>
        </w:tc>
        <w:tc>
          <w:tcPr>
            <w:tcW w:w="1538" w:type="dxa"/>
          </w:tcPr>
          <w:p>
            <w:pPr>
              <w:pStyle w:val="2"/>
              <w:spacing w:line="360" w:lineRule="auto"/>
              <w:rPr>
                <w:rFonts w:hAnsi="宋体" w:eastAsia="宋体" w:cs="宋体"/>
                <w:sz w:val="24"/>
                <w:szCs w:val="24"/>
                <w:highlight w:val="none"/>
              </w:rPr>
            </w:pPr>
          </w:p>
        </w:tc>
        <w:tc>
          <w:tcPr>
            <w:tcW w:w="1695" w:type="dxa"/>
          </w:tcPr>
          <w:p>
            <w:pPr>
              <w:pStyle w:val="2"/>
              <w:spacing w:line="360" w:lineRule="auto"/>
              <w:rPr>
                <w:rFonts w:hAnsi="宋体" w:eastAsia="宋体" w:cs="宋体"/>
                <w:sz w:val="24"/>
                <w:szCs w:val="24"/>
                <w:highlight w:val="none"/>
              </w:rPr>
            </w:pPr>
          </w:p>
        </w:tc>
        <w:tc>
          <w:tcPr>
            <w:tcW w:w="1482" w:type="dxa"/>
          </w:tcPr>
          <w:p>
            <w:pPr>
              <w:pStyle w:val="2"/>
              <w:spacing w:line="360" w:lineRule="auto"/>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1" w:type="dxa"/>
            <w:vAlign w:val="center"/>
          </w:tcPr>
          <w:p>
            <w:pPr>
              <w:pStyle w:val="2"/>
              <w:jc w:val="center"/>
              <w:rPr>
                <w:rFonts w:hint="eastAsia" w:ascii="等线" w:hAnsi="等线" w:eastAsia="等线" w:cs="等线"/>
                <w:sz w:val="24"/>
                <w:szCs w:val="24"/>
                <w:highlight w:val="none"/>
                <w:shd w:val="clear" w:color="auto" w:fill="FFFFFF"/>
                <w:lang w:eastAsia="zh-CN"/>
              </w:rPr>
            </w:pPr>
            <w:r>
              <w:rPr>
                <w:rFonts w:hint="eastAsia" w:ascii="等线" w:hAnsi="等线" w:eastAsia="等线" w:cs="等线"/>
                <w:sz w:val="24"/>
                <w:szCs w:val="24"/>
                <w:highlight w:val="none"/>
                <w:lang w:val="en-US" w:eastAsia="zh-CN"/>
              </w:rPr>
              <w:t>5</w:t>
            </w:r>
          </w:p>
        </w:tc>
        <w:tc>
          <w:tcPr>
            <w:tcW w:w="4180" w:type="dxa"/>
            <w:vAlign w:val="center"/>
          </w:tcPr>
          <w:p>
            <w:pPr>
              <w:pStyle w:val="2"/>
              <w:jc w:val="left"/>
              <w:rPr>
                <w:rFonts w:ascii="等线" w:hAnsi="等线" w:eastAsia="等线" w:cs="等线"/>
                <w:sz w:val="24"/>
                <w:szCs w:val="24"/>
                <w:highlight w:val="none"/>
              </w:rPr>
            </w:pPr>
            <w:r>
              <w:rPr>
                <w:rFonts w:hint="eastAsia" w:hAnsi="宋体" w:cs="宋体" w:eastAsiaTheme="minorEastAsia"/>
                <w:color w:val="000000"/>
                <w:sz w:val="24"/>
                <w:highlight w:val="none"/>
              </w:rPr>
              <w:t>项目中选单位不得将项目转包或分包（提</w:t>
            </w:r>
            <w:r>
              <w:rPr>
                <w:rFonts w:hAnsi="宋体" w:cs="宋体" w:eastAsiaTheme="minorEastAsia"/>
                <w:color w:val="000000"/>
                <w:sz w:val="24"/>
                <w:highlight w:val="none"/>
              </w:rPr>
              <w:t>供</w:t>
            </w:r>
            <w:r>
              <w:rPr>
                <w:rFonts w:hint="eastAsia" w:hAnsi="宋体" w:cs="宋体" w:eastAsiaTheme="minorEastAsia"/>
                <w:color w:val="000000"/>
                <w:sz w:val="24"/>
                <w:highlight w:val="none"/>
              </w:rPr>
              <w:t>承诺</w:t>
            </w:r>
            <w:r>
              <w:rPr>
                <w:rFonts w:hAnsi="宋体" w:cs="宋体" w:eastAsiaTheme="minorEastAsia"/>
                <w:color w:val="000000"/>
                <w:sz w:val="24"/>
                <w:highlight w:val="none"/>
              </w:rPr>
              <w:t>函）</w:t>
            </w:r>
            <w:r>
              <w:rPr>
                <w:rFonts w:hint="eastAsia" w:hAnsi="宋体" w:cs="宋体" w:eastAsiaTheme="minorEastAsia"/>
                <w:color w:val="000000"/>
                <w:sz w:val="24"/>
                <w:highlight w:val="none"/>
              </w:rPr>
              <w:t>。</w:t>
            </w:r>
          </w:p>
        </w:tc>
        <w:tc>
          <w:tcPr>
            <w:tcW w:w="1538" w:type="dxa"/>
          </w:tcPr>
          <w:p>
            <w:pPr>
              <w:pStyle w:val="2"/>
              <w:spacing w:line="360" w:lineRule="auto"/>
              <w:rPr>
                <w:rFonts w:hAnsi="宋体" w:eastAsia="宋体" w:cs="宋体"/>
                <w:sz w:val="24"/>
                <w:szCs w:val="24"/>
                <w:highlight w:val="none"/>
              </w:rPr>
            </w:pPr>
          </w:p>
        </w:tc>
        <w:tc>
          <w:tcPr>
            <w:tcW w:w="1695" w:type="dxa"/>
          </w:tcPr>
          <w:p>
            <w:pPr>
              <w:pStyle w:val="2"/>
              <w:spacing w:line="360" w:lineRule="auto"/>
              <w:rPr>
                <w:rFonts w:hAnsi="宋体" w:eastAsia="宋体" w:cs="宋体"/>
                <w:sz w:val="24"/>
                <w:szCs w:val="24"/>
                <w:highlight w:val="none"/>
              </w:rPr>
            </w:pPr>
          </w:p>
        </w:tc>
        <w:tc>
          <w:tcPr>
            <w:tcW w:w="1482" w:type="dxa"/>
          </w:tcPr>
          <w:p>
            <w:pPr>
              <w:pStyle w:val="2"/>
              <w:spacing w:line="360" w:lineRule="auto"/>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21" w:type="dxa"/>
            <w:vAlign w:val="center"/>
          </w:tcPr>
          <w:p>
            <w:pPr>
              <w:pStyle w:val="2"/>
              <w:jc w:val="center"/>
              <w:rPr>
                <w:rFonts w:hint="eastAsia" w:ascii="等线" w:hAnsi="等线" w:eastAsia="等线" w:cs="等线"/>
                <w:sz w:val="24"/>
                <w:szCs w:val="24"/>
                <w:highlight w:val="none"/>
                <w:shd w:val="clear" w:color="auto" w:fill="FFFFFF"/>
                <w:lang w:val="en-US" w:eastAsia="zh-CN"/>
              </w:rPr>
            </w:pPr>
            <w:r>
              <w:rPr>
                <w:rFonts w:hint="eastAsia" w:ascii="等线" w:hAnsi="等线" w:eastAsia="等线" w:cs="等线"/>
                <w:sz w:val="24"/>
                <w:szCs w:val="24"/>
                <w:highlight w:val="none"/>
                <w:shd w:val="clear" w:color="auto" w:fill="FFFFFF"/>
                <w:lang w:val="en-US" w:eastAsia="zh-CN"/>
              </w:rPr>
              <w:t>6</w:t>
            </w:r>
          </w:p>
        </w:tc>
        <w:tc>
          <w:tcPr>
            <w:tcW w:w="4180" w:type="dxa"/>
            <w:vAlign w:val="center"/>
          </w:tcPr>
          <w:p>
            <w:pPr>
              <w:pStyle w:val="2"/>
              <w:jc w:val="left"/>
              <w:rPr>
                <w:rFonts w:ascii="等线" w:hAnsi="等线" w:eastAsia="等线" w:cs="等线"/>
                <w:sz w:val="24"/>
                <w:szCs w:val="24"/>
                <w:highlight w:val="none"/>
                <w:shd w:val="clear" w:color="auto" w:fill="FFFFFF"/>
              </w:rPr>
            </w:pPr>
            <w:r>
              <w:rPr>
                <w:rFonts w:hint="eastAsia" w:hAnsi="宋体" w:cs="宋体" w:eastAsiaTheme="minorEastAsia"/>
                <w:color w:val="000000"/>
                <w:sz w:val="24"/>
                <w:highlight w:val="none"/>
              </w:rPr>
              <w:t>报价文件按询比文件的要求编制、签署及盖章。</w:t>
            </w:r>
          </w:p>
        </w:tc>
        <w:tc>
          <w:tcPr>
            <w:tcW w:w="1538" w:type="dxa"/>
          </w:tcPr>
          <w:p>
            <w:pPr>
              <w:pStyle w:val="2"/>
              <w:spacing w:line="360" w:lineRule="auto"/>
              <w:rPr>
                <w:rFonts w:hAnsi="宋体" w:eastAsia="宋体" w:cs="宋体"/>
                <w:sz w:val="24"/>
                <w:szCs w:val="24"/>
                <w:highlight w:val="none"/>
              </w:rPr>
            </w:pPr>
          </w:p>
        </w:tc>
        <w:tc>
          <w:tcPr>
            <w:tcW w:w="1695" w:type="dxa"/>
          </w:tcPr>
          <w:p>
            <w:pPr>
              <w:pStyle w:val="2"/>
              <w:spacing w:line="360" w:lineRule="auto"/>
              <w:rPr>
                <w:rFonts w:hAnsi="宋体" w:eastAsia="宋体" w:cs="宋体"/>
                <w:sz w:val="24"/>
                <w:szCs w:val="24"/>
                <w:highlight w:val="none"/>
              </w:rPr>
            </w:pPr>
          </w:p>
        </w:tc>
        <w:tc>
          <w:tcPr>
            <w:tcW w:w="1482" w:type="dxa"/>
          </w:tcPr>
          <w:p>
            <w:pPr>
              <w:pStyle w:val="2"/>
              <w:spacing w:line="360" w:lineRule="auto"/>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01" w:type="dxa"/>
            <w:gridSpan w:val="2"/>
          </w:tcPr>
          <w:p>
            <w:pPr>
              <w:pStyle w:val="2"/>
              <w:spacing w:line="360" w:lineRule="auto"/>
              <w:jc w:val="center"/>
              <w:rPr>
                <w:rFonts w:ascii="等线" w:hAnsi="等线" w:eastAsia="等线" w:cs="等线"/>
                <w:sz w:val="24"/>
                <w:szCs w:val="24"/>
                <w:highlight w:val="none"/>
              </w:rPr>
            </w:pPr>
            <w:r>
              <w:rPr>
                <w:rFonts w:hint="eastAsia" w:ascii="等线" w:hAnsi="等线" w:eastAsia="等线" w:cs="等线"/>
                <w:sz w:val="24"/>
                <w:szCs w:val="24"/>
                <w:highlight w:val="none"/>
              </w:rPr>
              <w:t>结论</w:t>
            </w:r>
          </w:p>
        </w:tc>
        <w:tc>
          <w:tcPr>
            <w:tcW w:w="1538" w:type="dxa"/>
          </w:tcPr>
          <w:p>
            <w:pPr>
              <w:pStyle w:val="2"/>
              <w:spacing w:line="360" w:lineRule="auto"/>
              <w:jc w:val="center"/>
              <w:rPr>
                <w:rFonts w:hAnsi="宋体" w:eastAsia="宋体" w:cs="宋体"/>
                <w:sz w:val="24"/>
                <w:szCs w:val="24"/>
                <w:highlight w:val="none"/>
              </w:rPr>
            </w:pPr>
          </w:p>
        </w:tc>
        <w:tc>
          <w:tcPr>
            <w:tcW w:w="1695" w:type="dxa"/>
          </w:tcPr>
          <w:p>
            <w:pPr>
              <w:pStyle w:val="2"/>
              <w:spacing w:line="360" w:lineRule="auto"/>
              <w:jc w:val="center"/>
              <w:rPr>
                <w:rFonts w:hAnsi="宋体" w:eastAsia="宋体" w:cs="宋体"/>
                <w:sz w:val="24"/>
                <w:szCs w:val="24"/>
                <w:highlight w:val="none"/>
              </w:rPr>
            </w:pPr>
          </w:p>
        </w:tc>
        <w:tc>
          <w:tcPr>
            <w:tcW w:w="1482" w:type="dxa"/>
          </w:tcPr>
          <w:p>
            <w:pPr>
              <w:pStyle w:val="2"/>
              <w:spacing w:line="360" w:lineRule="auto"/>
              <w:jc w:val="center"/>
              <w:rPr>
                <w:rFonts w:hAnsi="宋体" w:eastAsia="宋体" w:cs="宋体"/>
                <w:sz w:val="24"/>
                <w:szCs w:val="24"/>
                <w:highlight w:val="none"/>
              </w:rPr>
            </w:pPr>
          </w:p>
        </w:tc>
      </w:tr>
    </w:tbl>
    <w:p>
      <w:pPr>
        <w:pStyle w:val="2"/>
        <w:jc w:val="left"/>
        <w:rPr>
          <w:rFonts w:hAnsi="宋体" w:eastAsia="宋体" w:cs="宋体"/>
          <w:sz w:val="24"/>
          <w:szCs w:val="24"/>
          <w:highlight w:val="none"/>
        </w:rPr>
      </w:pPr>
      <w:r>
        <w:rPr>
          <w:rFonts w:hint="eastAsia" w:hAnsi="宋体" w:eastAsia="宋体" w:cs="宋体"/>
          <w:sz w:val="24"/>
          <w:szCs w:val="24"/>
          <w:highlight w:val="none"/>
        </w:rPr>
        <w:t>注：1. 每一项符合的打“√”，不符合的打“×”。</w:t>
      </w:r>
    </w:p>
    <w:p>
      <w:pPr>
        <w:pStyle w:val="2"/>
        <w:ind w:firstLine="480" w:firstLineChars="200"/>
        <w:jc w:val="left"/>
        <w:rPr>
          <w:rFonts w:hAnsi="宋体" w:eastAsia="宋体" w:cs="宋体"/>
          <w:sz w:val="24"/>
          <w:szCs w:val="24"/>
          <w:highlight w:val="none"/>
        </w:rPr>
      </w:pPr>
      <w:r>
        <w:rPr>
          <w:rFonts w:hint="eastAsia" w:hAnsi="宋体" w:eastAsia="宋体" w:cs="宋体"/>
          <w:sz w:val="24"/>
          <w:szCs w:val="24"/>
          <w:highlight w:val="none"/>
        </w:rPr>
        <w:t>2. “结论”一栏填写“通过”或“不通过”；任何一项出现“×”的，结论为不通过；不通过的为无效报价。</w:t>
      </w:r>
    </w:p>
    <w:p>
      <w:pPr>
        <w:rPr>
          <w:highlight w:val="none"/>
        </w:rPr>
      </w:pPr>
    </w:p>
    <w:p>
      <w:pPr>
        <w:rPr>
          <w:highlight w:val="none"/>
        </w:rPr>
      </w:pPr>
    </w:p>
    <w:p>
      <w:pPr>
        <w:rPr>
          <w:highlight w:val="none"/>
        </w:rPr>
      </w:pPr>
    </w:p>
    <w:p>
      <w:pPr>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moder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92778"/>
    <w:rsid w:val="2729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2023-06-02T12:04:00Z</dcterms:created>
  <dc:creator>李可欣</dc:creator>
  <cp:lastModifiedBy>李可欣</cp:lastModifiedBy>
  <dcterms:modified xsi:type="dcterms:W3CDTF">2023-06-02T12:05:01Z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8A0D3537A7ED4792BB5E0F7E3E343D8E</vt:lpwstr>
  </property>
</Properties>
</file>