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附件</w:t>
      </w:r>
      <w:r>
        <w:rPr>
          <w:rFonts w:ascii="仿宋_GB2312" w:eastAsia="仿宋_GB2312"/>
          <w:sz w:val="30"/>
          <w:szCs w:val="30"/>
          <w:highlight w:val="none"/>
        </w:rPr>
        <w:t>2</w:t>
      </w:r>
    </w:p>
    <w:p>
      <w:pPr>
        <w:jc w:val="center"/>
        <w:rPr>
          <w:rFonts w:ascii="仿宋_GB2312" w:eastAsia="仿宋_GB2312"/>
          <w:b/>
          <w:bCs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6"/>
          <w:szCs w:val="36"/>
          <w:highlight w:val="none"/>
        </w:rPr>
        <w:t>报  价  书</w:t>
      </w:r>
    </w:p>
    <w:p>
      <w:pPr>
        <w:pStyle w:val="5"/>
        <w:ind w:firstLine="640"/>
        <w:rPr>
          <w:rFonts w:ascii="宋体" w:hAnsi="宋体" w:cs="宋体"/>
          <w:highlight w:val="none"/>
        </w:rPr>
      </w:pPr>
    </w:p>
    <w:p>
      <w:pPr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项目名称：</w:t>
      </w:r>
      <w:r>
        <w:rPr>
          <w:rFonts w:hint="eastAsia" w:ascii="宋体" w:hAnsi="宋体" w:cs="宋体"/>
          <w:sz w:val="24"/>
          <w:highlight w:val="none"/>
        </w:rPr>
        <w:t>海龙街道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增滘</w:t>
      </w:r>
      <w:r>
        <w:rPr>
          <w:rFonts w:hint="eastAsia" w:ascii="宋体" w:hAnsi="宋体" w:cs="宋体"/>
          <w:sz w:val="24"/>
          <w:highlight w:val="none"/>
        </w:rPr>
        <w:t>龙溪党群服务中心（社区居委会）修缮改造项目</w:t>
      </w:r>
    </w:p>
    <w:tbl>
      <w:tblPr>
        <w:tblStyle w:val="3"/>
        <w:tblW w:w="8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05"/>
        <w:gridCol w:w="1575"/>
        <w:gridCol w:w="1455"/>
        <w:gridCol w:w="1260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序号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项目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限价（元）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报价（元）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下浮率</w:t>
            </w:r>
          </w:p>
        </w:tc>
        <w:tc>
          <w:tcPr>
            <w:tcW w:w="14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4"/>
                <w:szCs w:val="20"/>
                <w:highlight w:val="none"/>
              </w:rPr>
              <w:t>海龙街道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增滘</w:t>
            </w:r>
            <w:r>
              <w:rPr>
                <w:rFonts w:hint="eastAsia" w:ascii="宋体" w:hAnsi="宋体" w:eastAsia="Times New Roman" w:cs="宋体"/>
                <w:color w:val="000000"/>
                <w:sz w:val="24"/>
                <w:szCs w:val="20"/>
                <w:highlight w:val="none"/>
              </w:rPr>
              <w:t>党群服务中心（社区居委会）修缮改造项目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highlight w:val="none"/>
                <w:u w:val="single"/>
                <w:lang w:val="en-US" w:eastAsia="zh-CN"/>
              </w:rPr>
              <w:t>52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highlight w:val="none"/>
                <w:u w:val="single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highlight w:val="none"/>
                <w:u w:val="single"/>
                <w:lang w:val="en-US" w:eastAsia="zh-CN"/>
              </w:rPr>
              <w:t xml:space="preserve">元 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%</w:t>
            </w:r>
          </w:p>
        </w:tc>
        <w:tc>
          <w:tcPr>
            <w:tcW w:w="147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设</w:t>
            </w:r>
            <w:r>
              <w:rPr>
                <w:rFonts w:ascii="宋体" w:hAnsi="宋体" w:cs="宋体"/>
                <w:sz w:val="24"/>
                <w:highlight w:val="none"/>
              </w:rPr>
              <w:t>计、施工下浮率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相</w:t>
            </w:r>
            <w:r>
              <w:rPr>
                <w:rFonts w:ascii="宋体" w:hAnsi="宋体" w:cs="宋体"/>
                <w:sz w:val="24"/>
                <w:highlight w:val="none"/>
              </w:rPr>
              <w:t>同，最终结算将执行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该</w:t>
            </w:r>
            <w:r>
              <w:rPr>
                <w:rFonts w:ascii="宋体" w:hAnsi="宋体" w:cs="宋体"/>
                <w:sz w:val="24"/>
                <w:highlight w:val="none"/>
              </w:rPr>
              <w:t>下浮率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Times New Roman" w:cs="宋体"/>
                <w:color w:val="00000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Times New Roman" w:cs="宋体"/>
                <w:color w:val="000000"/>
                <w:sz w:val="24"/>
                <w:szCs w:val="20"/>
                <w:highlight w:val="none"/>
              </w:rPr>
              <w:t>海龙街道龙溪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</w:t>
            </w:r>
            <w:r>
              <w:rPr>
                <w:rFonts w:hint="eastAsia" w:ascii="宋体" w:hAnsi="宋体" w:eastAsia="Times New Roman" w:cs="宋体"/>
                <w:color w:val="000000"/>
                <w:sz w:val="24"/>
                <w:szCs w:val="20"/>
                <w:highlight w:val="none"/>
              </w:rPr>
              <w:t>党群服务中心（社区居委会）修缮改造项目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highlight w:val="none"/>
                <w:u w:val="single"/>
                <w:lang w:val="en-US" w:eastAsia="zh-CN"/>
              </w:rPr>
              <w:t>49万元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%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7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合计</w:t>
            </w:r>
          </w:p>
        </w:tc>
        <w:tc>
          <w:tcPr>
            <w:tcW w:w="4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小写：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大写：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</w:t>
            </w:r>
          </w:p>
        </w:tc>
        <w:tc>
          <w:tcPr>
            <w:tcW w:w="14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="93" w:beforeLines="30" w:line="360" w:lineRule="auto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说明：</w:t>
      </w:r>
    </w:p>
    <w:p>
      <w:pPr>
        <w:adjustRightInd w:val="0"/>
        <w:snapToGrid w:val="0"/>
        <w:spacing w:before="93" w:beforeLines="30" w:line="360" w:lineRule="auto"/>
        <w:ind w:left="480"/>
        <w:rPr>
          <w:rFonts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1、保留小数点后二位，第三位四舍五入。若用小写表示的金额和用大写表示的金额不一致，以大写表示的金额为准。以上报价均为人民币。</w:t>
      </w:r>
    </w:p>
    <w:p>
      <w:pPr>
        <w:adjustRightInd w:val="0"/>
        <w:snapToGrid w:val="0"/>
        <w:spacing w:before="93" w:beforeLines="30" w:line="360" w:lineRule="auto"/>
        <w:ind w:left="480"/>
        <w:rPr>
          <w:rFonts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2.若报价总金额与报价下浮率不一致时，以报价总金额为准，并修改报价下浮率。</w:t>
      </w:r>
    </w:p>
    <w:p>
      <w:pPr>
        <w:pStyle w:val="2"/>
        <w:adjustRightInd w:val="0"/>
        <w:snapToGrid w:val="0"/>
        <w:jc w:val="center"/>
        <w:rPr>
          <w:rFonts w:hAnsi="宋体" w:eastAsia="宋体" w:cs="宋体"/>
          <w:b/>
          <w:bCs/>
          <w:sz w:val="24"/>
          <w:szCs w:val="24"/>
          <w:highlight w:val="none"/>
        </w:rPr>
      </w:pPr>
    </w:p>
    <w:p>
      <w:pPr>
        <w:pStyle w:val="2"/>
        <w:adjustRightInd w:val="0"/>
        <w:snapToGrid w:val="0"/>
        <w:jc w:val="center"/>
        <w:rPr>
          <w:rFonts w:hAnsi="宋体" w:eastAsia="宋体" w:cs="宋体"/>
          <w:b/>
          <w:bCs/>
          <w:sz w:val="24"/>
          <w:szCs w:val="24"/>
          <w:highlight w:val="none"/>
        </w:rPr>
      </w:pPr>
    </w:p>
    <w:p>
      <w:pPr>
        <w:pStyle w:val="2"/>
        <w:adjustRightInd w:val="0"/>
        <w:snapToGrid w:val="0"/>
        <w:jc w:val="center"/>
        <w:rPr>
          <w:rFonts w:hAnsi="宋体" w:eastAsia="宋体" w:cs="宋体"/>
          <w:b/>
          <w:bCs/>
          <w:sz w:val="24"/>
          <w:szCs w:val="24"/>
          <w:highlight w:val="none"/>
        </w:rPr>
      </w:pPr>
    </w:p>
    <w:p>
      <w:pPr>
        <w:pStyle w:val="2"/>
        <w:adjustRightInd w:val="0"/>
        <w:snapToGrid w:val="0"/>
        <w:jc w:val="center"/>
        <w:rPr>
          <w:rFonts w:hAnsi="宋体" w:eastAsia="宋体" w:cs="宋体"/>
          <w:b/>
          <w:bCs/>
          <w:sz w:val="24"/>
          <w:szCs w:val="24"/>
          <w:highlight w:val="none"/>
        </w:rPr>
      </w:pPr>
    </w:p>
    <w:p>
      <w:pPr>
        <w:pStyle w:val="2"/>
        <w:adjustRightInd w:val="0"/>
        <w:snapToGrid w:val="0"/>
        <w:jc w:val="center"/>
        <w:rPr>
          <w:rFonts w:hAnsi="宋体" w:eastAsia="宋体" w:cs="宋体"/>
          <w:b/>
          <w:bCs/>
          <w:sz w:val="24"/>
          <w:szCs w:val="24"/>
          <w:highlight w:val="none"/>
        </w:rPr>
      </w:pPr>
    </w:p>
    <w:p>
      <w:pPr>
        <w:pStyle w:val="2"/>
        <w:adjustRightInd w:val="0"/>
        <w:snapToGrid w:val="0"/>
        <w:jc w:val="center"/>
        <w:rPr>
          <w:rFonts w:hAnsi="宋体" w:eastAsia="宋体" w:cs="宋体"/>
          <w:b/>
          <w:bCs/>
          <w:sz w:val="24"/>
          <w:szCs w:val="24"/>
          <w:highlight w:val="none"/>
        </w:rPr>
      </w:pPr>
    </w:p>
    <w:p>
      <w:pPr>
        <w:pStyle w:val="2"/>
        <w:adjustRightInd w:val="0"/>
        <w:snapToGrid w:val="0"/>
        <w:jc w:val="center"/>
        <w:rPr>
          <w:rFonts w:hAnsi="宋体" w:eastAsia="宋体" w:cs="宋体"/>
          <w:b/>
          <w:bCs/>
          <w:sz w:val="24"/>
          <w:szCs w:val="24"/>
          <w:highlight w:val="none"/>
        </w:rPr>
      </w:pPr>
    </w:p>
    <w:p>
      <w:pPr>
        <w:pStyle w:val="2"/>
        <w:adjustRightInd w:val="0"/>
        <w:snapToGrid w:val="0"/>
        <w:jc w:val="center"/>
        <w:rPr>
          <w:rFonts w:hAnsi="宋体" w:eastAsia="宋体" w:cs="宋体"/>
          <w:b/>
          <w:bCs/>
          <w:sz w:val="24"/>
          <w:szCs w:val="24"/>
          <w:highlight w:val="none"/>
        </w:rPr>
      </w:pPr>
    </w:p>
    <w:p>
      <w:pPr>
        <w:tabs>
          <w:tab w:val="left" w:pos="13320"/>
        </w:tabs>
        <w:snapToGrid w:val="0"/>
        <w:spacing w:line="360" w:lineRule="auto"/>
        <w:ind w:left="718" w:leftChars="342" w:right="-52" w:firstLine="2397" w:firstLineChars="999"/>
        <w:rPr>
          <w:rFonts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报价人（公章）：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</w:t>
      </w:r>
    </w:p>
    <w:p>
      <w:pPr>
        <w:tabs>
          <w:tab w:val="left" w:pos="13320"/>
        </w:tabs>
        <w:snapToGrid w:val="0"/>
        <w:spacing w:line="360" w:lineRule="auto"/>
        <w:ind w:left="718" w:leftChars="342" w:right="-52" w:firstLine="2397" w:firstLineChars="999"/>
        <w:rPr>
          <w:rFonts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法定代表人或授权代表（签字或盖章）：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</w:t>
      </w:r>
    </w:p>
    <w:p>
      <w:pPr>
        <w:pStyle w:val="2"/>
        <w:adjustRightInd w:val="0"/>
        <w:snapToGrid w:val="0"/>
        <w:jc w:val="center"/>
        <w:rPr>
          <w:rFonts w:hAnsi="宋体" w:eastAsia="宋体" w:cs="宋体"/>
          <w:sz w:val="24"/>
          <w:szCs w:val="24"/>
          <w:highlight w:val="none"/>
        </w:rPr>
      </w:pPr>
      <w:r>
        <w:rPr>
          <w:rFonts w:hint="eastAsia" w:hAnsi="宋体" w:eastAsia="宋体" w:cs="宋体"/>
          <w:sz w:val="24"/>
          <w:szCs w:val="24"/>
          <w:highlight w:val="none"/>
        </w:rPr>
        <w:t xml:space="preserve">            日期：_____年______月______日</w:t>
      </w:r>
    </w:p>
    <w:p>
      <w:pPr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53283"/>
    <w:rsid w:val="419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customStyle="1" w:styleId="5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2023-06-02T12:05:00Z</dcterms:created>
  <dc:creator>李可欣</dc:creator>
  <cp:lastModifiedBy>李可欣</cp:lastModifiedBy>
  <dcterms:modified xsi:type="dcterms:W3CDTF">2023-06-02T12:05:32Z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17D9AA47021D4E7DAE19521BB03AD789</vt:lpwstr>
  </property>
</Properties>
</file>