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19"/>
        <w:rPr>
          <w:rFonts w:hint="eastAsia" w:ascii="方正公文黑体" w:hAnsi="方正公文黑体" w:eastAsia="方正公文黑体" w:cs="方正公文黑体"/>
          <w:sz w:val="32"/>
          <w:szCs w:val="32"/>
          <w:highlight w:val="none"/>
        </w:rPr>
      </w:pPr>
    </w:p>
    <w:p>
      <w:pPr>
        <w:ind w:right="1319"/>
        <w:rPr>
          <w:rFonts w:hint="eastAsia" w:ascii="方正公文黑体" w:hAnsi="方正公文黑体" w:eastAsia="方正公文黑体" w:cs="方正公文黑体"/>
          <w:sz w:val="32"/>
          <w:szCs w:val="32"/>
          <w:highlight w:val="none"/>
        </w:rPr>
      </w:pPr>
    </w:p>
    <w:p>
      <w:pPr>
        <w:ind w:right="1319"/>
        <w:rPr>
          <w:rFonts w:hint="eastAsia" w:ascii="方正公文黑体" w:hAnsi="方正公文黑体" w:eastAsia="方正公文黑体" w:cs="方正公文黑体"/>
          <w:sz w:val="32"/>
          <w:szCs w:val="32"/>
          <w:highlight w:val="none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highlight w:val="none"/>
        </w:rPr>
        <w:t>附</w:t>
      </w:r>
      <w:r>
        <w:rPr>
          <w:rFonts w:hint="eastAsia" w:ascii="方正公文黑体" w:hAnsi="方正公文黑体" w:eastAsia="方正公文黑体" w:cs="方正公文黑体"/>
          <w:sz w:val="32"/>
          <w:szCs w:val="32"/>
          <w:highlight w:val="none"/>
          <w:lang w:eastAsia="zh-CN"/>
        </w:rPr>
        <w:t>件</w:t>
      </w:r>
    </w:p>
    <w:p>
      <w:pPr>
        <w:spacing w:line="560" w:lineRule="exact"/>
        <w:ind w:right="55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  <w:t>广州市荔湾区公益招聘服务</w:t>
      </w:r>
    </w:p>
    <w:p>
      <w:pPr>
        <w:spacing w:line="560" w:lineRule="exact"/>
        <w:ind w:right="55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委托承办项目</w:t>
      </w:r>
    </w:p>
    <w:tbl>
      <w:tblPr>
        <w:tblStyle w:val="3"/>
        <w:tblpPr w:leftFromText="180" w:rightFromText="180" w:vertAnchor="text" w:horzAnchor="page" w:tblpXSpec="center" w:tblpY="7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3273"/>
        <w:gridCol w:w="238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85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GB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GB" w:eastAsia="zh-CN"/>
              </w:rPr>
              <w:t>广州市荔湾区公益招聘服务委托承办项目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具体内容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规模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公益性招聘服务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线上公益性招聘服务（含直播带岗）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不少于50家机构，期限至少3天。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不少于48场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线下公益性招聘服务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不少于20家机构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GB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线下公益性招聘服务（户外）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不少于50家机构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线下公益性招聘服务（校园）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不少于50家机构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不少于2场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1、项目内容根据上级要求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GB" w:eastAsia="zh-CN"/>
        </w:rPr>
        <w:t>和我局工作安排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可能有调整，具体场次、活动主题、举办时间、场地等均由委托方指定。</w: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2、对口帮扶劳务协作专场招聘活动计划暂未列明，具体由委托方在项目实施过程明确。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5E32"/>
    <w:rsid w:val="17115CE7"/>
    <w:rsid w:val="1DD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2023-12-18T08:34:00Z</dcterms:created>
  <dc:creator>admin</dc:creator>
  <cp:lastModifiedBy>admin</cp:lastModifiedBy>
  <dcterms:modified xsi:type="dcterms:W3CDTF">2023-12-18T08:35:52Z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89BE969812F14D92B65E548415772023</vt:lpwstr>
  </property>
</Properties>
</file>