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Times New Roman" w:hAnsi="Times New Roman" w:eastAsia="方正小标宋简体" w:cs="Times New Roman"/>
          <w:color w:val="000000"/>
          <w:sz w:val="30"/>
          <w:szCs w:val="30"/>
        </w:rPr>
      </w:pPr>
      <w:r>
        <w:rPr>
          <w:rFonts w:hint="eastAsia" w:ascii="Times New Roman" w:hAnsi="Times New Roman" w:eastAsia="方正小标宋简体" w:cs="Times New Roman"/>
          <w:color w:val="000000"/>
          <w:sz w:val="30"/>
          <w:szCs w:val="30"/>
        </w:rPr>
        <w:t>广州市荔湾区</w:t>
      </w:r>
      <w:r>
        <w:rPr>
          <w:rFonts w:ascii="Times New Roman" w:hAnsi="Times New Roman" w:eastAsia="方正小标宋简体" w:cs="Times New Roman"/>
          <w:color w:val="000000"/>
          <w:sz w:val="30"/>
          <w:szCs w:val="30"/>
        </w:rPr>
        <w:t>市场监督管理局</w:t>
      </w:r>
      <w:r>
        <w:rPr>
          <w:rFonts w:hint="eastAsia" w:ascii="Times New Roman" w:hAnsi="Times New Roman" w:eastAsia="方正小标宋简体" w:cs="Times New Roman"/>
          <w:color w:val="000000"/>
          <w:sz w:val="30"/>
          <w:szCs w:val="30"/>
        </w:rPr>
        <w:t>燃气热水器</w:t>
      </w:r>
      <w:r>
        <w:rPr>
          <w:rFonts w:ascii="Times New Roman" w:hAnsi="Times New Roman" w:eastAsia="方正小标宋简体" w:cs="Times New Roman"/>
          <w:color w:val="000000"/>
          <w:sz w:val="30"/>
          <w:szCs w:val="30"/>
        </w:rPr>
        <w:t>产品质量监督抽查实施</w:t>
      </w:r>
      <w:r>
        <w:rPr>
          <w:rFonts w:hint="eastAsia" w:ascii="Times New Roman" w:hAnsi="Times New Roman" w:eastAsia="方正小标宋简体" w:cs="Times New Roman"/>
          <w:color w:val="000000"/>
          <w:sz w:val="30"/>
          <w:szCs w:val="30"/>
        </w:rPr>
        <w:t>细则</w:t>
      </w:r>
    </w:p>
    <w:p>
      <w:pPr>
        <w:adjustRightInd w:val="0"/>
        <w:snapToGrid w:val="0"/>
        <w:spacing w:line="360" w:lineRule="auto"/>
        <w:rPr>
          <w:rFonts w:ascii="Times New Roman" w:hAnsi="Times New Roman" w:eastAsia="黑体" w:cs="Times New Roman"/>
          <w:szCs w:val="21"/>
        </w:rPr>
      </w:pPr>
    </w:p>
    <w:p>
      <w:pPr>
        <w:adjustRightInd w:val="0"/>
        <w:snapToGrid w:val="0"/>
        <w:spacing w:line="360" w:lineRule="auto"/>
        <w:rPr>
          <w:rFonts w:ascii="Times New Roman" w:hAnsi="Times New Roman" w:eastAsia="黑体" w:cs="Times New Roman"/>
          <w:szCs w:val="21"/>
        </w:rPr>
      </w:pPr>
      <w:r>
        <w:rPr>
          <w:rFonts w:ascii="Times New Roman" w:hAnsi="Times New Roman" w:eastAsia="黑体" w:cs="Times New Roman"/>
          <w:szCs w:val="21"/>
        </w:rPr>
        <w:t xml:space="preserve">1 </w:t>
      </w:r>
      <w:r>
        <w:rPr>
          <w:rFonts w:ascii="Times New Roman" w:hAnsi="Times New Roman" w:eastAsia="黑体" w:cs="Times New Roman"/>
          <w:color w:val="000000"/>
          <w:szCs w:val="21"/>
        </w:rPr>
        <w:t>抽样方法</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在企业的待销产品中随机抽取有产品质量检验合格证明或者以其他形式表明合格的、近期生产的产品。</w:t>
      </w:r>
    </w:p>
    <w:p>
      <w:pPr>
        <w:adjustRightInd w:val="0"/>
        <w:snapToGrid w:val="0"/>
        <w:spacing w:line="360" w:lineRule="auto"/>
        <w:ind w:firstLine="420"/>
        <w:rPr>
          <w:rFonts w:ascii="Times New Roman" w:hAnsi="Times New Roman" w:cs="Times New Roman"/>
          <w:color w:val="000000"/>
          <w:szCs w:val="21"/>
        </w:rPr>
      </w:pPr>
      <w:r>
        <w:rPr>
          <w:rFonts w:ascii="Times New Roman" w:hAnsi="Times New Roman" w:cs="Times New Roman"/>
          <w:color w:val="000000"/>
          <w:szCs w:val="21"/>
        </w:rPr>
        <w:t>抽查样品基数</w:t>
      </w:r>
      <w:r>
        <w:rPr>
          <w:rFonts w:hint="eastAsia" w:ascii="Times New Roman" w:hAnsi="Times New Roman" w:cs="Times New Roman"/>
          <w:color w:val="000000"/>
          <w:szCs w:val="21"/>
        </w:rPr>
        <w:t>应</w:t>
      </w:r>
      <w:r>
        <w:rPr>
          <w:rFonts w:ascii="Times New Roman" w:hAnsi="Times New Roman" w:cs="Times New Roman"/>
          <w:color w:val="000000"/>
          <w:szCs w:val="21"/>
        </w:rPr>
        <w:t>满足抽样数量</w:t>
      </w:r>
      <w:r>
        <w:rPr>
          <w:rFonts w:hint="eastAsia" w:ascii="Times New Roman" w:hAnsi="Times New Roman" w:cs="Times New Roman"/>
          <w:color w:val="000000"/>
          <w:szCs w:val="21"/>
        </w:rPr>
        <w:t>要求</w:t>
      </w:r>
      <w:r>
        <w:rPr>
          <w:rFonts w:ascii="Times New Roman" w:hAnsi="Times New Roman" w:cs="Times New Roman"/>
          <w:color w:val="000000"/>
          <w:szCs w:val="21"/>
        </w:rPr>
        <w:t>。</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szCs w:val="21"/>
        </w:rPr>
        <w:t>每批次产品抽取</w:t>
      </w:r>
      <w:r>
        <w:rPr>
          <w:rFonts w:hint="eastAsia" w:ascii="Times New Roman" w:hAnsi="Times New Roman" w:cs="Times New Roman"/>
          <w:szCs w:val="21"/>
        </w:rPr>
        <w:t>2</w:t>
      </w:r>
      <w:r>
        <w:rPr>
          <w:rFonts w:ascii="Times New Roman" w:hAnsi="Times New Roman" w:cs="Times New Roman"/>
          <w:szCs w:val="21"/>
        </w:rPr>
        <w:t>套，其中</w:t>
      </w:r>
      <w:r>
        <w:rPr>
          <w:rFonts w:hint="eastAsia" w:ascii="Times New Roman" w:hAnsi="Times New Roman" w:cs="Times New Roman"/>
          <w:szCs w:val="21"/>
        </w:rPr>
        <w:t>1</w:t>
      </w:r>
      <w:r>
        <w:rPr>
          <w:rFonts w:ascii="Times New Roman" w:hAnsi="Times New Roman" w:cs="Times New Roman"/>
          <w:szCs w:val="21"/>
        </w:rPr>
        <w:t>套作为检验样品，</w:t>
      </w:r>
      <w:r>
        <w:rPr>
          <w:rFonts w:hint="eastAsia" w:ascii="Times New Roman" w:hAnsi="Times New Roman" w:cs="Times New Roman"/>
          <w:szCs w:val="21"/>
        </w:rPr>
        <w:t>1</w:t>
      </w:r>
      <w:r>
        <w:rPr>
          <w:rFonts w:ascii="Times New Roman" w:hAnsi="Times New Roman" w:cs="Times New Roman"/>
          <w:szCs w:val="21"/>
        </w:rPr>
        <w:t>套作为备用样品。</w:t>
      </w:r>
      <w:r>
        <w:rPr>
          <w:rFonts w:ascii="Times New Roman" w:hAnsi="Times New Roman" w:cs="Times New Roman"/>
          <w:color w:val="000000"/>
          <w:szCs w:val="21"/>
        </w:rPr>
        <w:t>随机数一般可使用随机数表、随机数骰子或扑克牌等方法产生。</w:t>
      </w:r>
    </w:p>
    <w:p>
      <w:pPr>
        <w:adjustRightInd w:val="0"/>
        <w:snapToGrid w:val="0"/>
        <w:spacing w:line="360" w:lineRule="auto"/>
        <w:ind w:firstLine="420" w:firstLineChars="200"/>
        <w:rPr>
          <w:rFonts w:ascii="Times New Roman" w:hAnsi="Times New Roman" w:cs="Times New Roman"/>
          <w:color w:val="000000"/>
          <w:szCs w:val="21"/>
        </w:rPr>
      </w:pPr>
    </w:p>
    <w:p>
      <w:pPr>
        <w:adjustRightInd w:val="0"/>
        <w:snapToGrid w:val="0"/>
        <w:spacing w:line="360" w:lineRule="auto"/>
        <w:rPr>
          <w:rFonts w:ascii="Times New Roman" w:hAnsi="Times New Roman" w:eastAsia="黑体" w:cs="Times New Roman"/>
          <w:color w:val="000000"/>
          <w:szCs w:val="21"/>
        </w:rPr>
      </w:pPr>
      <w:r>
        <w:rPr>
          <w:rFonts w:ascii="Times New Roman" w:hAnsi="Times New Roman" w:eastAsia="黑体" w:cs="Times New Roman"/>
          <w:color w:val="000000"/>
          <w:szCs w:val="21"/>
        </w:rPr>
        <w:t>2 检验依据</w:t>
      </w:r>
    </w:p>
    <w:p>
      <w:pPr>
        <w:adjustRightInd w:val="0"/>
        <w:snapToGrid w:val="0"/>
        <w:spacing w:line="360" w:lineRule="auto"/>
        <w:ind w:firstLine="420" w:firstLineChars="200"/>
        <w:rPr>
          <w:rFonts w:ascii="Times New Roman" w:hAnsi="Times New Roman" w:cs="Times New Roman"/>
          <w:szCs w:val="21"/>
        </w:rPr>
      </w:pPr>
      <w:r>
        <w:rPr>
          <w:rFonts w:ascii="Times New Roman" w:hAnsi="Times New Roman" w:cs="Times New Roman"/>
          <w:szCs w:val="21"/>
        </w:rPr>
        <w:t>本次抽查检验项目和检验方法依据见表1。</w:t>
      </w:r>
    </w:p>
    <w:p>
      <w:pPr>
        <w:adjustRightInd w:val="0"/>
        <w:snapToGrid w:val="0"/>
        <w:spacing w:line="360" w:lineRule="auto"/>
        <w:jc w:val="center"/>
        <w:rPr>
          <w:rFonts w:ascii="Times New Roman" w:hAnsi="Times New Roman" w:cs="Times New Roman"/>
          <w:szCs w:val="21"/>
        </w:rPr>
      </w:pPr>
      <w:r>
        <w:rPr>
          <w:rFonts w:ascii="Times New Roman" w:hAnsi="Times New Roman" w:cs="Times New Roman"/>
          <w:color w:val="000000"/>
          <w:szCs w:val="21"/>
        </w:rPr>
        <w:t>表</w:t>
      </w:r>
      <w:r>
        <w:rPr>
          <w:rFonts w:hint="eastAsia" w:ascii="Times New Roman" w:hAnsi="Times New Roman" w:cs="Times New Roman"/>
          <w:color w:val="000000"/>
          <w:szCs w:val="21"/>
        </w:rPr>
        <w:t xml:space="preserve">1 </w:t>
      </w:r>
      <w:r>
        <w:rPr>
          <w:rFonts w:hint="eastAsia" w:ascii="Times New Roman" w:hAnsi="Times New Roman" w:cs="Times New Roman"/>
          <w:szCs w:val="21"/>
        </w:rPr>
        <w:t>燃气热水器</w:t>
      </w:r>
      <w:r>
        <w:rPr>
          <w:rFonts w:ascii="Times New Roman" w:hAnsi="Times New Roman" w:cs="Times New Roman"/>
          <w:color w:val="000000"/>
          <w:szCs w:val="21"/>
        </w:rPr>
        <w:t>检验项目</w:t>
      </w:r>
    </w:p>
    <w:tbl>
      <w:tblPr>
        <w:tblStyle w:val="5"/>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2800"/>
        <w:gridCol w:w="2134"/>
        <w:gridCol w:w="1959"/>
        <w:gridCol w:w="1129"/>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710" w:type="dxa"/>
            <w:vMerge w:val="restart"/>
            <w:vAlign w:val="center"/>
          </w:tcPr>
          <w:p>
            <w:pPr>
              <w:wordWrap w:val="0"/>
              <w:snapToGrid w:val="0"/>
              <w:spacing w:line="320" w:lineRule="exact"/>
              <w:jc w:val="center"/>
              <w:rPr>
                <w:color w:val="000000"/>
                <w:szCs w:val="21"/>
              </w:rPr>
            </w:pPr>
            <w:r>
              <w:rPr>
                <w:color w:val="000000"/>
                <w:szCs w:val="21"/>
              </w:rPr>
              <w:t>序号</w:t>
            </w:r>
          </w:p>
        </w:tc>
        <w:tc>
          <w:tcPr>
            <w:tcW w:w="2800" w:type="dxa"/>
            <w:vMerge w:val="restart"/>
            <w:vAlign w:val="center"/>
          </w:tcPr>
          <w:p>
            <w:pPr>
              <w:wordWrap w:val="0"/>
              <w:snapToGrid w:val="0"/>
              <w:spacing w:line="320" w:lineRule="exact"/>
              <w:jc w:val="center"/>
              <w:rPr>
                <w:color w:val="000000"/>
                <w:szCs w:val="21"/>
              </w:rPr>
            </w:pPr>
            <w:r>
              <w:rPr>
                <w:color w:val="000000"/>
                <w:szCs w:val="21"/>
              </w:rPr>
              <w:t>检验项目</w:t>
            </w:r>
          </w:p>
        </w:tc>
        <w:tc>
          <w:tcPr>
            <w:tcW w:w="2134" w:type="dxa"/>
            <w:vMerge w:val="restart"/>
            <w:vAlign w:val="center"/>
          </w:tcPr>
          <w:p>
            <w:pPr>
              <w:wordWrap w:val="0"/>
              <w:snapToGrid w:val="0"/>
              <w:spacing w:line="320" w:lineRule="exact"/>
              <w:jc w:val="center"/>
              <w:rPr>
                <w:color w:val="000000"/>
                <w:szCs w:val="21"/>
              </w:rPr>
            </w:pPr>
            <w:r>
              <w:rPr>
                <w:color w:val="000000"/>
                <w:szCs w:val="21"/>
              </w:rPr>
              <w:t>检验依据</w:t>
            </w:r>
          </w:p>
        </w:tc>
        <w:tc>
          <w:tcPr>
            <w:tcW w:w="1959" w:type="dxa"/>
            <w:vMerge w:val="restart"/>
            <w:vAlign w:val="center"/>
          </w:tcPr>
          <w:p>
            <w:pPr>
              <w:wordWrap w:val="0"/>
              <w:snapToGrid w:val="0"/>
              <w:spacing w:line="320" w:lineRule="exact"/>
              <w:jc w:val="center"/>
              <w:rPr>
                <w:color w:val="000000"/>
                <w:szCs w:val="21"/>
              </w:rPr>
            </w:pPr>
            <w:r>
              <w:rPr>
                <w:color w:val="000000"/>
                <w:szCs w:val="21"/>
              </w:rPr>
              <w:t>检</w:t>
            </w:r>
            <w:r>
              <w:rPr>
                <w:rFonts w:hint="eastAsia"/>
                <w:color w:val="000000"/>
                <w:szCs w:val="21"/>
              </w:rPr>
              <w:t>验</w:t>
            </w:r>
            <w:r>
              <w:rPr>
                <w:color w:val="000000"/>
                <w:szCs w:val="21"/>
              </w:rPr>
              <w:t>方法</w:t>
            </w:r>
          </w:p>
        </w:tc>
        <w:tc>
          <w:tcPr>
            <w:tcW w:w="2166" w:type="dxa"/>
            <w:gridSpan w:val="2"/>
            <w:vAlign w:val="center"/>
          </w:tcPr>
          <w:p>
            <w:pPr>
              <w:snapToGrid w:val="0"/>
              <w:spacing w:line="320" w:lineRule="exact"/>
              <w:jc w:val="center"/>
              <w:rPr>
                <w:color w:val="000000"/>
                <w:szCs w:val="21"/>
              </w:rPr>
            </w:pPr>
            <w:r>
              <w:rPr>
                <w:color w:val="000000"/>
                <w:szCs w:val="21"/>
              </w:rPr>
              <w:t>重要程度分类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blHeader/>
          <w:jc w:val="center"/>
        </w:trPr>
        <w:tc>
          <w:tcPr>
            <w:tcW w:w="710" w:type="dxa"/>
            <w:vMerge w:val="continue"/>
            <w:vAlign w:val="center"/>
          </w:tcPr>
          <w:p>
            <w:pPr>
              <w:wordWrap w:val="0"/>
              <w:spacing w:line="320" w:lineRule="exact"/>
              <w:rPr>
                <w:color w:val="000000"/>
                <w:szCs w:val="21"/>
              </w:rPr>
            </w:pPr>
          </w:p>
        </w:tc>
        <w:tc>
          <w:tcPr>
            <w:tcW w:w="2800" w:type="dxa"/>
            <w:vMerge w:val="continue"/>
            <w:vAlign w:val="center"/>
          </w:tcPr>
          <w:p>
            <w:pPr>
              <w:wordWrap w:val="0"/>
              <w:spacing w:line="320" w:lineRule="exact"/>
              <w:rPr>
                <w:color w:val="000000"/>
                <w:szCs w:val="21"/>
              </w:rPr>
            </w:pPr>
          </w:p>
        </w:tc>
        <w:tc>
          <w:tcPr>
            <w:tcW w:w="2134" w:type="dxa"/>
            <w:vMerge w:val="continue"/>
            <w:vAlign w:val="center"/>
          </w:tcPr>
          <w:p>
            <w:pPr>
              <w:wordWrap w:val="0"/>
              <w:spacing w:line="320" w:lineRule="exact"/>
              <w:rPr>
                <w:color w:val="000000"/>
                <w:szCs w:val="21"/>
              </w:rPr>
            </w:pPr>
          </w:p>
        </w:tc>
        <w:tc>
          <w:tcPr>
            <w:tcW w:w="1959" w:type="dxa"/>
            <w:vMerge w:val="continue"/>
          </w:tcPr>
          <w:p>
            <w:pPr>
              <w:wordWrap w:val="0"/>
              <w:spacing w:line="320" w:lineRule="exact"/>
              <w:jc w:val="center"/>
              <w:rPr>
                <w:color w:val="000000"/>
                <w:szCs w:val="21"/>
              </w:rPr>
            </w:pPr>
          </w:p>
        </w:tc>
        <w:tc>
          <w:tcPr>
            <w:tcW w:w="1129" w:type="dxa"/>
            <w:vAlign w:val="center"/>
          </w:tcPr>
          <w:p>
            <w:pPr>
              <w:snapToGrid w:val="0"/>
              <w:spacing w:line="320" w:lineRule="exact"/>
              <w:jc w:val="center"/>
              <w:rPr>
                <w:color w:val="000000"/>
                <w:szCs w:val="21"/>
              </w:rPr>
            </w:pPr>
            <w:r>
              <w:rPr>
                <w:color w:val="000000"/>
                <w:szCs w:val="21"/>
              </w:rPr>
              <w:t>A类</w:t>
            </w:r>
            <w:r>
              <w:rPr>
                <w:color w:val="000000"/>
                <w:szCs w:val="21"/>
                <w:vertAlign w:val="superscript"/>
              </w:rPr>
              <w:t>a</w:t>
            </w:r>
          </w:p>
        </w:tc>
        <w:tc>
          <w:tcPr>
            <w:tcW w:w="1037" w:type="dxa"/>
            <w:vAlign w:val="center"/>
          </w:tcPr>
          <w:p>
            <w:pPr>
              <w:snapToGrid w:val="0"/>
              <w:spacing w:line="320" w:lineRule="exact"/>
              <w:jc w:val="center"/>
              <w:rPr>
                <w:color w:val="000000"/>
                <w:szCs w:val="21"/>
              </w:rPr>
            </w:pPr>
            <w:r>
              <w:rPr>
                <w:color w:val="000000"/>
                <w:szCs w:val="21"/>
              </w:rPr>
              <w:t>B类</w:t>
            </w:r>
            <w:r>
              <w:rPr>
                <w:color w:val="000000"/>
                <w:szCs w:val="21"/>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tblHeader/>
          <w:jc w:val="center"/>
        </w:trPr>
        <w:tc>
          <w:tcPr>
            <w:tcW w:w="710" w:type="dxa"/>
            <w:vAlign w:val="center"/>
          </w:tcPr>
          <w:p>
            <w:pPr>
              <w:wordWrap w:val="0"/>
              <w:snapToGrid w:val="0"/>
              <w:spacing w:line="320" w:lineRule="exact"/>
              <w:jc w:val="center"/>
              <w:rPr>
                <w:color w:val="000000"/>
                <w:szCs w:val="21"/>
              </w:rPr>
            </w:pPr>
            <w:r>
              <w:rPr>
                <w:color w:val="000000"/>
                <w:szCs w:val="21"/>
              </w:rPr>
              <w:t>1</w:t>
            </w:r>
          </w:p>
        </w:tc>
        <w:tc>
          <w:tcPr>
            <w:tcW w:w="2800" w:type="dxa"/>
            <w:shd w:val="clear" w:color="auto" w:fill="FFFFFF" w:themeFill="background1"/>
            <w:vAlign w:val="center"/>
          </w:tcPr>
          <w:p>
            <w:pPr>
              <w:wordWrap w:val="0"/>
              <w:snapToGrid w:val="0"/>
              <w:spacing w:line="320" w:lineRule="exact"/>
              <w:jc w:val="center"/>
              <w:rPr>
                <w:color w:val="000000"/>
                <w:szCs w:val="21"/>
              </w:rPr>
            </w:pPr>
            <w:r>
              <w:rPr>
                <w:rFonts w:hint="eastAsia"/>
                <w:color w:val="000000"/>
                <w:szCs w:val="21"/>
              </w:rPr>
              <w:t>燃气系统气密性</w:t>
            </w:r>
          </w:p>
        </w:tc>
        <w:tc>
          <w:tcPr>
            <w:tcW w:w="2134" w:type="dxa"/>
            <w:vMerge w:val="restart"/>
            <w:vAlign w:val="center"/>
          </w:tcPr>
          <w:p>
            <w:pPr>
              <w:wordWrap w:val="0"/>
              <w:snapToGrid w:val="0"/>
              <w:spacing w:line="320" w:lineRule="exact"/>
              <w:jc w:val="center"/>
              <w:rPr>
                <w:color w:val="000000"/>
                <w:szCs w:val="21"/>
              </w:rPr>
            </w:pPr>
            <w:r>
              <w:rPr>
                <w:sz w:val="23"/>
                <w:szCs w:val="23"/>
              </w:rPr>
              <w:t>GB 6932-2015</w:t>
            </w:r>
          </w:p>
        </w:tc>
        <w:tc>
          <w:tcPr>
            <w:tcW w:w="1959" w:type="dxa"/>
            <w:vMerge w:val="restart"/>
            <w:vAlign w:val="center"/>
          </w:tcPr>
          <w:p>
            <w:pPr>
              <w:wordWrap w:val="0"/>
              <w:snapToGrid w:val="0"/>
              <w:spacing w:line="320" w:lineRule="exact"/>
              <w:jc w:val="center"/>
              <w:rPr>
                <w:color w:val="000000"/>
                <w:szCs w:val="21"/>
              </w:rPr>
            </w:pPr>
            <w:r>
              <w:rPr>
                <w:sz w:val="23"/>
                <w:szCs w:val="23"/>
              </w:rPr>
              <w:t>GB 6932-2015</w:t>
            </w:r>
          </w:p>
        </w:tc>
        <w:tc>
          <w:tcPr>
            <w:tcW w:w="1129" w:type="dxa"/>
            <w:vAlign w:val="center"/>
          </w:tcPr>
          <w:p>
            <w:pPr>
              <w:wordWrap w:val="0"/>
              <w:snapToGrid w:val="0"/>
              <w:spacing w:line="320" w:lineRule="exact"/>
              <w:jc w:val="center"/>
              <w:rPr>
                <w:color w:val="000000"/>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2</w:t>
            </w:r>
          </w:p>
        </w:tc>
        <w:tc>
          <w:tcPr>
            <w:tcW w:w="2800" w:type="dxa"/>
            <w:shd w:val="clear" w:color="auto" w:fill="FFFFFF" w:themeFill="background1"/>
            <w:vAlign w:val="center"/>
          </w:tcPr>
          <w:p>
            <w:pPr>
              <w:wordWrap w:val="0"/>
              <w:snapToGrid w:val="0"/>
              <w:spacing w:line="320" w:lineRule="exact"/>
              <w:jc w:val="center"/>
              <w:rPr>
                <w:color w:val="000000"/>
                <w:szCs w:val="21"/>
              </w:rPr>
            </w:pPr>
            <w:r>
              <w:rPr>
                <w:rFonts w:hint="eastAsia"/>
                <w:color w:val="000000"/>
                <w:szCs w:val="21"/>
              </w:rPr>
              <w:t>热负荷限制</w:t>
            </w:r>
          </w:p>
        </w:tc>
        <w:tc>
          <w:tcPr>
            <w:tcW w:w="2134" w:type="dxa"/>
            <w:vMerge w:val="continue"/>
            <w:vAlign w:val="center"/>
          </w:tcPr>
          <w:p>
            <w:pPr>
              <w:wordWrap w:val="0"/>
              <w:snapToGrid w:val="0"/>
              <w:spacing w:line="320" w:lineRule="exact"/>
              <w:jc w:val="center"/>
              <w:rPr>
                <w:color w:val="000000"/>
                <w:szCs w:val="21"/>
              </w:rPr>
            </w:pPr>
          </w:p>
        </w:tc>
        <w:tc>
          <w:tcPr>
            <w:tcW w:w="1959" w:type="dxa"/>
            <w:vMerge w:val="continue"/>
            <w:vAlign w:val="center"/>
          </w:tcPr>
          <w:p>
            <w:pPr>
              <w:wordWrap w:val="0"/>
              <w:snapToGrid w:val="0"/>
              <w:spacing w:line="320" w:lineRule="exact"/>
              <w:jc w:val="center"/>
              <w:rPr>
                <w:color w:val="000000"/>
                <w:szCs w:val="21"/>
              </w:rPr>
            </w:pPr>
          </w:p>
        </w:tc>
        <w:tc>
          <w:tcPr>
            <w:tcW w:w="1129" w:type="dxa"/>
            <w:vAlign w:val="center"/>
          </w:tcPr>
          <w:p>
            <w:pPr>
              <w:wordWrap w:val="0"/>
              <w:snapToGrid w:val="0"/>
              <w:spacing w:line="320" w:lineRule="exact"/>
              <w:jc w:val="center"/>
              <w:rPr>
                <w:color w:val="000000"/>
                <w:szCs w:val="21"/>
              </w:rPr>
            </w:pPr>
          </w:p>
        </w:tc>
        <w:tc>
          <w:tcPr>
            <w:tcW w:w="1037" w:type="dxa"/>
            <w:vAlign w:val="center"/>
          </w:tcPr>
          <w:p>
            <w:pPr>
              <w:wordWrap w:val="0"/>
              <w:snapToGrid w:val="0"/>
              <w:spacing w:line="320" w:lineRule="exact"/>
              <w:jc w:val="center"/>
              <w:rPr>
                <w:color w:val="000000"/>
                <w:szCs w:val="21"/>
              </w:rPr>
            </w:pPr>
            <w:r>
              <w:rPr>
                <w:rFonts w:hint="eastAsia" w:ascii="宋体" w:hAnsi="宋体"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3</w:t>
            </w:r>
          </w:p>
        </w:tc>
        <w:tc>
          <w:tcPr>
            <w:tcW w:w="2800" w:type="dxa"/>
            <w:shd w:val="clear" w:color="auto" w:fill="FFFFFF" w:themeFill="background1"/>
            <w:vAlign w:val="center"/>
          </w:tcPr>
          <w:p>
            <w:pPr>
              <w:wordWrap w:val="0"/>
              <w:snapToGrid w:val="0"/>
              <w:spacing w:line="320" w:lineRule="exact"/>
              <w:jc w:val="center"/>
              <w:rPr>
                <w:color w:val="000000"/>
                <w:szCs w:val="21"/>
              </w:rPr>
            </w:pPr>
            <w:r>
              <w:rPr>
                <w:rFonts w:hint="eastAsia"/>
                <w:color w:val="000000"/>
                <w:szCs w:val="21"/>
              </w:rPr>
              <w:t>火焰稳定性</w:t>
            </w:r>
          </w:p>
        </w:tc>
        <w:tc>
          <w:tcPr>
            <w:tcW w:w="2134" w:type="dxa"/>
            <w:vMerge w:val="continue"/>
            <w:vAlign w:val="center"/>
          </w:tcPr>
          <w:p>
            <w:pPr>
              <w:wordWrap w:val="0"/>
              <w:snapToGrid w:val="0"/>
              <w:spacing w:line="320" w:lineRule="exact"/>
              <w:jc w:val="center"/>
              <w:rPr>
                <w:color w:val="000000"/>
                <w:szCs w:val="21"/>
              </w:rPr>
            </w:pPr>
          </w:p>
        </w:tc>
        <w:tc>
          <w:tcPr>
            <w:tcW w:w="1959" w:type="dxa"/>
            <w:vMerge w:val="continue"/>
            <w:vAlign w:val="center"/>
          </w:tcPr>
          <w:p>
            <w:pPr>
              <w:wordWrap w:val="0"/>
              <w:snapToGrid w:val="0"/>
              <w:spacing w:line="320" w:lineRule="exact"/>
              <w:jc w:val="center"/>
              <w:rPr>
                <w:color w:val="000000"/>
                <w:szCs w:val="21"/>
              </w:rPr>
            </w:pPr>
          </w:p>
        </w:tc>
        <w:tc>
          <w:tcPr>
            <w:tcW w:w="1129" w:type="dxa"/>
            <w:vAlign w:val="center"/>
          </w:tcPr>
          <w:p>
            <w:pPr>
              <w:wordWrap w:val="0"/>
              <w:snapToGrid w:val="0"/>
              <w:spacing w:line="320" w:lineRule="exact"/>
              <w:jc w:val="center"/>
              <w:rPr>
                <w:color w:val="000000"/>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4</w:t>
            </w:r>
          </w:p>
        </w:tc>
        <w:tc>
          <w:tcPr>
            <w:tcW w:w="2800" w:type="dxa"/>
            <w:shd w:val="clear" w:color="auto" w:fill="FFFFFF" w:themeFill="background1"/>
            <w:vAlign w:val="center"/>
          </w:tcPr>
          <w:p>
            <w:pPr>
              <w:wordWrap w:val="0"/>
              <w:snapToGrid w:val="0"/>
              <w:spacing w:line="320" w:lineRule="exact"/>
              <w:jc w:val="center"/>
              <w:rPr>
                <w:color w:val="000000"/>
                <w:szCs w:val="21"/>
              </w:rPr>
            </w:pPr>
            <w:r>
              <w:rPr>
                <w:rFonts w:hint="eastAsia"/>
                <w:color w:val="000000"/>
                <w:szCs w:val="21"/>
              </w:rPr>
              <w:t>无风状态烟气中CO含量</w:t>
            </w:r>
            <w:r>
              <w:rPr>
                <w:rFonts w:hint="eastAsia" w:ascii="宋体" w:hAnsi="宋体" w:cs="宋体"/>
                <w:sz w:val="24"/>
              </w:rPr>
              <w:t>φ</w:t>
            </w:r>
            <w:r>
              <w:rPr>
                <w:rFonts w:hint="eastAsia"/>
                <w:color w:val="000000"/>
                <w:szCs w:val="21"/>
              </w:rPr>
              <w:t>（</w:t>
            </w:r>
            <w:r>
              <w:rPr>
                <w:rFonts w:hint="eastAsia" w:ascii="宋体" w:hAnsi="宋体" w:cs="宋体"/>
                <w:sz w:val="24"/>
              </w:rPr>
              <w:t>COa=1</w:t>
            </w:r>
            <w:r>
              <w:rPr>
                <w:rFonts w:hint="eastAsia"/>
                <w:color w:val="000000"/>
                <w:szCs w:val="21"/>
              </w:rPr>
              <w:t>）</w:t>
            </w:r>
          </w:p>
        </w:tc>
        <w:tc>
          <w:tcPr>
            <w:tcW w:w="2134" w:type="dxa"/>
            <w:vMerge w:val="continue"/>
            <w:vAlign w:val="center"/>
          </w:tcPr>
          <w:p>
            <w:pPr>
              <w:wordWrap w:val="0"/>
              <w:snapToGrid w:val="0"/>
              <w:spacing w:line="320" w:lineRule="exact"/>
              <w:jc w:val="center"/>
              <w:rPr>
                <w:color w:val="000000"/>
                <w:szCs w:val="21"/>
              </w:rPr>
            </w:pPr>
          </w:p>
        </w:tc>
        <w:tc>
          <w:tcPr>
            <w:tcW w:w="1959" w:type="dxa"/>
            <w:vMerge w:val="continue"/>
            <w:vAlign w:val="center"/>
          </w:tcPr>
          <w:p>
            <w:pPr>
              <w:wordWrap w:val="0"/>
              <w:snapToGrid w:val="0"/>
              <w:spacing w:line="320" w:lineRule="exact"/>
              <w:jc w:val="center"/>
              <w:rPr>
                <w:color w:val="000000"/>
                <w:szCs w:val="21"/>
              </w:rPr>
            </w:pPr>
          </w:p>
        </w:tc>
        <w:tc>
          <w:tcPr>
            <w:tcW w:w="1129" w:type="dxa"/>
            <w:vAlign w:val="center"/>
          </w:tcPr>
          <w:p>
            <w:pPr>
              <w:wordWrap w:val="0"/>
              <w:snapToGrid w:val="0"/>
              <w:spacing w:line="320" w:lineRule="exact"/>
              <w:jc w:val="center"/>
              <w:rPr>
                <w:color w:val="000000"/>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5</w:t>
            </w:r>
          </w:p>
        </w:tc>
        <w:tc>
          <w:tcPr>
            <w:tcW w:w="2800" w:type="dxa"/>
            <w:shd w:val="clear" w:color="auto" w:fill="FFFFFF" w:themeFill="background1"/>
            <w:vAlign w:val="center"/>
          </w:tcPr>
          <w:p>
            <w:pPr>
              <w:wordWrap w:val="0"/>
              <w:snapToGrid w:val="0"/>
              <w:spacing w:line="320" w:lineRule="exact"/>
              <w:jc w:val="center"/>
              <w:rPr>
                <w:color w:val="000000"/>
                <w:szCs w:val="21"/>
              </w:rPr>
            </w:pPr>
            <w:r>
              <w:rPr>
                <w:rFonts w:hint="eastAsia"/>
                <w:color w:val="000000"/>
                <w:szCs w:val="21"/>
              </w:rPr>
              <w:t>熄火保护装置</w:t>
            </w:r>
          </w:p>
        </w:tc>
        <w:tc>
          <w:tcPr>
            <w:tcW w:w="2134" w:type="dxa"/>
            <w:vMerge w:val="continue"/>
            <w:vAlign w:val="center"/>
          </w:tcPr>
          <w:p>
            <w:pPr>
              <w:wordWrap w:val="0"/>
              <w:snapToGrid w:val="0"/>
              <w:spacing w:line="320" w:lineRule="exact"/>
              <w:jc w:val="center"/>
              <w:rPr>
                <w:color w:val="000000"/>
                <w:szCs w:val="21"/>
              </w:rPr>
            </w:pPr>
          </w:p>
        </w:tc>
        <w:tc>
          <w:tcPr>
            <w:tcW w:w="1959" w:type="dxa"/>
            <w:vMerge w:val="continue"/>
            <w:vAlign w:val="center"/>
          </w:tcPr>
          <w:p>
            <w:pPr>
              <w:wordWrap w:val="0"/>
              <w:snapToGrid w:val="0"/>
              <w:spacing w:line="320" w:lineRule="exact"/>
              <w:jc w:val="center"/>
              <w:rPr>
                <w:color w:val="000000"/>
                <w:szCs w:val="21"/>
              </w:rPr>
            </w:pPr>
          </w:p>
        </w:tc>
        <w:tc>
          <w:tcPr>
            <w:tcW w:w="1129" w:type="dxa"/>
            <w:vAlign w:val="center"/>
          </w:tcPr>
          <w:p>
            <w:pPr>
              <w:wordWrap w:val="0"/>
              <w:snapToGrid w:val="0"/>
              <w:spacing w:line="320" w:lineRule="exact"/>
              <w:jc w:val="center"/>
              <w:rPr>
                <w:color w:val="000000"/>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6</w:t>
            </w:r>
          </w:p>
        </w:tc>
        <w:tc>
          <w:tcPr>
            <w:tcW w:w="2800" w:type="dxa"/>
            <w:shd w:val="clear" w:color="auto" w:fill="FFFFFF" w:themeFill="background1"/>
            <w:vAlign w:val="center"/>
          </w:tcPr>
          <w:p>
            <w:pPr>
              <w:wordWrap w:val="0"/>
              <w:snapToGrid w:val="0"/>
              <w:spacing w:line="320" w:lineRule="exact"/>
              <w:jc w:val="center"/>
              <w:rPr>
                <w:color w:val="000000"/>
                <w:szCs w:val="21"/>
              </w:rPr>
            </w:pPr>
            <w:r>
              <w:rPr>
                <w:rFonts w:hint="eastAsia"/>
                <w:color w:val="000000"/>
                <w:szCs w:val="21"/>
              </w:rPr>
              <w:t>烟道堵塞安全装置（强制排气式）</w:t>
            </w:r>
          </w:p>
        </w:tc>
        <w:tc>
          <w:tcPr>
            <w:tcW w:w="2134" w:type="dxa"/>
            <w:vMerge w:val="continue"/>
            <w:vAlign w:val="center"/>
          </w:tcPr>
          <w:p>
            <w:pPr>
              <w:wordWrap w:val="0"/>
              <w:snapToGrid w:val="0"/>
              <w:spacing w:line="320" w:lineRule="exact"/>
              <w:jc w:val="center"/>
              <w:rPr>
                <w:color w:val="000000"/>
                <w:szCs w:val="21"/>
              </w:rPr>
            </w:pPr>
          </w:p>
        </w:tc>
        <w:tc>
          <w:tcPr>
            <w:tcW w:w="1959" w:type="dxa"/>
            <w:vMerge w:val="continue"/>
            <w:vAlign w:val="center"/>
          </w:tcPr>
          <w:p>
            <w:pPr>
              <w:wordWrap w:val="0"/>
              <w:snapToGrid w:val="0"/>
              <w:spacing w:line="320" w:lineRule="exact"/>
              <w:jc w:val="center"/>
              <w:rPr>
                <w:color w:val="000000"/>
                <w:szCs w:val="21"/>
              </w:rPr>
            </w:pPr>
          </w:p>
        </w:tc>
        <w:tc>
          <w:tcPr>
            <w:tcW w:w="1129" w:type="dxa"/>
            <w:vAlign w:val="center"/>
          </w:tcPr>
          <w:p>
            <w:pPr>
              <w:wordWrap w:val="0"/>
              <w:snapToGrid w:val="0"/>
              <w:spacing w:line="320" w:lineRule="exact"/>
              <w:jc w:val="center"/>
              <w:rPr>
                <w:color w:val="000000"/>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7</w:t>
            </w:r>
          </w:p>
        </w:tc>
        <w:tc>
          <w:tcPr>
            <w:tcW w:w="2800" w:type="dxa"/>
            <w:shd w:val="clear" w:color="auto" w:fill="FFFFFF" w:themeFill="background1"/>
            <w:vAlign w:val="center"/>
          </w:tcPr>
          <w:p>
            <w:pPr>
              <w:wordWrap w:val="0"/>
              <w:snapToGrid w:val="0"/>
              <w:spacing w:line="320" w:lineRule="exact"/>
              <w:jc w:val="center"/>
              <w:rPr>
                <w:color w:val="000000"/>
                <w:szCs w:val="21"/>
              </w:rPr>
            </w:pPr>
            <w:r>
              <w:rPr>
                <w:rFonts w:hint="eastAsia"/>
                <w:color w:val="000000"/>
                <w:szCs w:val="21"/>
              </w:rPr>
              <w:t>风压过大安全装置（强制排气式）</w:t>
            </w:r>
          </w:p>
        </w:tc>
        <w:tc>
          <w:tcPr>
            <w:tcW w:w="2134" w:type="dxa"/>
            <w:vMerge w:val="continue"/>
            <w:vAlign w:val="center"/>
          </w:tcPr>
          <w:p>
            <w:pPr>
              <w:wordWrap w:val="0"/>
              <w:snapToGrid w:val="0"/>
              <w:spacing w:line="320" w:lineRule="exact"/>
              <w:jc w:val="center"/>
              <w:rPr>
                <w:color w:val="000000"/>
                <w:szCs w:val="21"/>
              </w:rPr>
            </w:pPr>
          </w:p>
        </w:tc>
        <w:tc>
          <w:tcPr>
            <w:tcW w:w="1959" w:type="dxa"/>
            <w:vMerge w:val="continue"/>
            <w:vAlign w:val="center"/>
          </w:tcPr>
          <w:p>
            <w:pPr>
              <w:wordWrap w:val="0"/>
              <w:snapToGrid w:val="0"/>
              <w:spacing w:line="320" w:lineRule="exact"/>
              <w:jc w:val="center"/>
              <w:rPr>
                <w:color w:val="000000"/>
                <w:szCs w:val="21"/>
              </w:rPr>
            </w:pPr>
          </w:p>
        </w:tc>
        <w:tc>
          <w:tcPr>
            <w:tcW w:w="1129" w:type="dxa"/>
            <w:vAlign w:val="center"/>
          </w:tcPr>
          <w:p>
            <w:pPr>
              <w:wordWrap w:val="0"/>
              <w:snapToGrid w:val="0"/>
              <w:spacing w:line="320" w:lineRule="exact"/>
              <w:jc w:val="center"/>
              <w:rPr>
                <w:color w:val="000000"/>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8</w:t>
            </w:r>
          </w:p>
        </w:tc>
        <w:tc>
          <w:tcPr>
            <w:tcW w:w="2800" w:type="dxa"/>
            <w:shd w:val="clear" w:color="auto" w:fill="FFFFFF" w:themeFill="background1"/>
            <w:vAlign w:val="center"/>
          </w:tcPr>
          <w:p>
            <w:pPr>
              <w:wordWrap w:val="0"/>
              <w:snapToGrid w:val="0"/>
              <w:spacing w:line="320" w:lineRule="exact"/>
              <w:jc w:val="center"/>
              <w:rPr>
                <w:color w:val="000000"/>
                <w:szCs w:val="21"/>
              </w:rPr>
            </w:pPr>
            <w:r>
              <w:rPr>
                <w:rFonts w:hint="eastAsia"/>
                <w:color w:val="000000"/>
                <w:szCs w:val="21"/>
              </w:rPr>
              <w:t>防干烧安全装置</w:t>
            </w:r>
          </w:p>
        </w:tc>
        <w:tc>
          <w:tcPr>
            <w:tcW w:w="2134" w:type="dxa"/>
            <w:vMerge w:val="continue"/>
            <w:vAlign w:val="center"/>
          </w:tcPr>
          <w:p>
            <w:pPr>
              <w:wordWrap w:val="0"/>
              <w:snapToGrid w:val="0"/>
              <w:spacing w:line="320" w:lineRule="exact"/>
              <w:jc w:val="center"/>
              <w:rPr>
                <w:color w:val="000000"/>
                <w:szCs w:val="21"/>
              </w:rPr>
            </w:pPr>
          </w:p>
        </w:tc>
        <w:tc>
          <w:tcPr>
            <w:tcW w:w="1959" w:type="dxa"/>
            <w:vMerge w:val="continue"/>
            <w:vAlign w:val="center"/>
          </w:tcPr>
          <w:p>
            <w:pPr>
              <w:wordWrap w:val="0"/>
              <w:snapToGrid w:val="0"/>
              <w:spacing w:line="320" w:lineRule="exact"/>
              <w:jc w:val="center"/>
              <w:rPr>
                <w:color w:val="000000"/>
                <w:szCs w:val="21"/>
              </w:rPr>
            </w:pPr>
          </w:p>
        </w:tc>
        <w:tc>
          <w:tcPr>
            <w:tcW w:w="1129" w:type="dxa"/>
            <w:vAlign w:val="center"/>
          </w:tcPr>
          <w:p>
            <w:pPr>
              <w:wordWrap w:val="0"/>
              <w:snapToGrid w:val="0"/>
              <w:spacing w:line="320" w:lineRule="exact"/>
              <w:jc w:val="center"/>
              <w:rPr>
                <w:color w:val="000000"/>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9</w:t>
            </w:r>
          </w:p>
        </w:tc>
        <w:tc>
          <w:tcPr>
            <w:tcW w:w="2800" w:type="dxa"/>
            <w:shd w:val="clear" w:color="auto" w:fill="FFFFFF" w:themeFill="background1"/>
            <w:vAlign w:val="center"/>
          </w:tcPr>
          <w:p>
            <w:pPr>
              <w:wordWrap w:val="0"/>
              <w:snapToGrid w:val="0"/>
              <w:spacing w:line="320" w:lineRule="exact"/>
              <w:jc w:val="center"/>
              <w:rPr>
                <w:color w:val="000000"/>
                <w:szCs w:val="21"/>
              </w:rPr>
            </w:pPr>
            <w:r>
              <w:rPr>
                <w:rFonts w:hint="eastAsia"/>
                <w:color w:val="000000"/>
                <w:szCs w:val="21"/>
              </w:rPr>
              <w:t>防止不完全燃烧安全装置（自然排气式）</w:t>
            </w:r>
          </w:p>
        </w:tc>
        <w:tc>
          <w:tcPr>
            <w:tcW w:w="2134" w:type="dxa"/>
            <w:vMerge w:val="continue"/>
            <w:vAlign w:val="center"/>
          </w:tcPr>
          <w:p>
            <w:pPr>
              <w:wordWrap w:val="0"/>
              <w:snapToGrid w:val="0"/>
              <w:spacing w:line="320" w:lineRule="exact"/>
              <w:jc w:val="center"/>
              <w:rPr>
                <w:color w:val="000000"/>
                <w:szCs w:val="21"/>
              </w:rPr>
            </w:pPr>
          </w:p>
        </w:tc>
        <w:tc>
          <w:tcPr>
            <w:tcW w:w="1959" w:type="dxa"/>
            <w:vMerge w:val="continue"/>
            <w:vAlign w:val="center"/>
          </w:tcPr>
          <w:p>
            <w:pPr>
              <w:wordWrap w:val="0"/>
              <w:snapToGrid w:val="0"/>
              <w:spacing w:line="320" w:lineRule="exact"/>
              <w:jc w:val="center"/>
              <w:rPr>
                <w:color w:val="000000"/>
                <w:szCs w:val="21"/>
              </w:rPr>
            </w:pPr>
          </w:p>
        </w:tc>
        <w:tc>
          <w:tcPr>
            <w:tcW w:w="1129" w:type="dxa"/>
            <w:vAlign w:val="center"/>
          </w:tcPr>
          <w:p>
            <w:pPr>
              <w:wordWrap w:val="0"/>
              <w:snapToGrid w:val="0"/>
              <w:spacing w:line="320" w:lineRule="exact"/>
              <w:jc w:val="center"/>
              <w:rPr>
                <w:color w:val="000000"/>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10</w:t>
            </w:r>
          </w:p>
        </w:tc>
        <w:tc>
          <w:tcPr>
            <w:tcW w:w="2800" w:type="dxa"/>
            <w:shd w:val="clear" w:color="auto" w:fill="FFFFFF" w:themeFill="background1"/>
            <w:vAlign w:val="center"/>
          </w:tcPr>
          <w:p>
            <w:pPr>
              <w:wordWrap w:val="0"/>
              <w:snapToGrid w:val="0"/>
              <w:spacing w:line="320" w:lineRule="exact"/>
              <w:jc w:val="center"/>
              <w:rPr>
                <w:color w:val="000000"/>
                <w:szCs w:val="21"/>
              </w:rPr>
            </w:pPr>
            <w:r>
              <w:rPr>
                <w:rFonts w:hint="eastAsia"/>
                <w:color w:val="000000"/>
                <w:szCs w:val="21"/>
              </w:rPr>
              <w:t>接地措施</w:t>
            </w:r>
          </w:p>
        </w:tc>
        <w:tc>
          <w:tcPr>
            <w:tcW w:w="2134" w:type="dxa"/>
            <w:vMerge w:val="continue"/>
            <w:vAlign w:val="center"/>
          </w:tcPr>
          <w:p>
            <w:pPr>
              <w:wordWrap w:val="0"/>
              <w:snapToGrid w:val="0"/>
              <w:spacing w:line="320" w:lineRule="exact"/>
              <w:jc w:val="center"/>
              <w:rPr>
                <w:color w:val="000000"/>
                <w:szCs w:val="21"/>
              </w:rPr>
            </w:pPr>
          </w:p>
        </w:tc>
        <w:tc>
          <w:tcPr>
            <w:tcW w:w="1959" w:type="dxa"/>
            <w:vMerge w:val="continue"/>
            <w:vAlign w:val="center"/>
          </w:tcPr>
          <w:p>
            <w:pPr>
              <w:wordWrap w:val="0"/>
              <w:snapToGrid w:val="0"/>
              <w:spacing w:line="320" w:lineRule="exact"/>
              <w:jc w:val="center"/>
              <w:rPr>
                <w:color w:val="000000"/>
                <w:szCs w:val="21"/>
              </w:rPr>
            </w:pPr>
          </w:p>
        </w:tc>
        <w:tc>
          <w:tcPr>
            <w:tcW w:w="1129" w:type="dxa"/>
            <w:vAlign w:val="center"/>
          </w:tcPr>
          <w:p>
            <w:pPr>
              <w:wordWrap w:val="0"/>
              <w:snapToGrid w:val="0"/>
              <w:spacing w:line="320" w:lineRule="exact"/>
              <w:jc w:val="center"/>
              <w:rPr>
                <w:rFonts w:ascii="宋体" w:hAnsi="宋体"/>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11</w:t>
            </w:r>
          </w:p>
        </w:tc>
        <w:tc>
          <w:tcPr>
            <w:tcW w:w="2800" w:type="dxa"/>
            <w:shd w:val="clear" w:color="auto" w:fill="FFFFFF" w:themeFill="background1"/>
            <w:vAlign w:val="center"/>
          </w:tcPr>
          <w:p>
            <w:pPr>
              <w:wordWrap w:val="0"/>
              <w:snapToGrid w:val="0"/>
              <w:spacing w:line="320" w:lineRule="exact"/>
              <w:jc w:val="center"/>
              <w:rPr>
                <w:color w:val="000000"/>
                <w:szCs w:val="21"/>
              </w:rPr>
            </w:pPr>
            <w:r>
              <w:rPr>
                <w:rFonts w:hint="eastAsia"/>
                <w:color w:val="000000"/>
                <w:szCs w:val="21"/>
              </w:rPr>
              <w:t>电气强度</w:t>
            </w:r>
          </w:p>
        </w:tc>
        <w:tc>
          <w:tcPr>
            <w:tcW w:w="2134" w:type="dxa"/>
            <w:vMerge w:val="continue"/>
            <w:vAlign w:val="center"/>
          </w:tcPr>
          <w:p>
            <w:pPr>
              <w:wordWrap w:val="0"/>
              <w:snapToGrid w:val="0"/>
              <w:spacing w:line="320" w:lineRule="exact"/>
              <w:jc w:val="center"/>
              <w:rPr>
                <w:color w:val="000000"/>
                <w:szCs w:val="21"/>
              </w:rPr>
            </w:pPr>
          </w:p>
        </w:tc>
        <w:tc>
          <w:tcPr>
            <w:tcW w:w="1959" w:type="dxa"/>
            <w:vMerge w:val="continue"/>
            <w:vAlign w:val="center"/>
          </w:tcPr>
          <w:p>
            <w:pPr>
              <w:wordWrap w:val="0"/>
              <w:snapToGrid w:val="0"/>
              <w:spacing w:line="320" w:lineRule="exact"/>
              <w:jc w:val="center"/>
              <w:rPr>
                <w:color w:val="000000"/>
                <w:szCs w:val="21"/>
              </w:rPr>
            </w:pPr>
          </w:p>
        </w:tc>
        <w:tc>
          <w:tcPr>
            <w:tcW w:w="1129" w:type="dxa"/>
            <w:vAlign w:val="center"/>
          </w:tcPr>
          <w:p>
            <w:pPr>
              <w:wordWrap w:val="0"/>
              <w:snapToGrid w:val="0"/>
              <w:spacing w:line="320" w:lineRule="exact"/>
              <w:jc w:val="center"/>
              <w:rPr>
                <w:rFonts w:ascii="宋体" w:hAnsi="宋体"/>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12</w:t>
            </w:r>
          </w:p>
        </w:tc>
        <w:tc>
          <w:tcPr>
            <w:tcW w:w="2800" w:type="dxa"/>
            <w:shd w:val="clear" w:color="auto" w:fill="FFFFFF" w:themeFill="background1"/>
            <w:vAlign w:val="center"/>
          </w:tcPr>
          <w:p>
            <w:pPr>
              <w:wordWrap w:val="0"/>
              <w:snapToGrid w:val="0"/>
              <w:spacing w:line="320" w:lineRule="exact"/>
              <w:jc w:val="center"/>
              <w:rPr>
                <w:rFonts w:hint="eastAsia"/>
                <w:color w:val="000000"/>
                <w:szCs w:val="21"/>
              </w:rPr>
            </w:pPr>
            <w:r>
              <w:rPr>
                <w:rFonts w:hint="eastAsia"/>
                <w:color w:val="000000"/>
                <w:szCs w:val="21"/>
              </w:rPr>
              <w:t>热水产率</w:t>
            </w:r>
          </w:p>
        </w:tc>
        <w:tc>
          <w:tcPr>
            <w:tcW w:w="2134" w:type="dxa"/>
            <w:vMerge w:val="continue"/>
            <w:vAlign w:val="center"/>
          </w:tcPr>
          <w:p>
            <w:pPr>
              <w:wordWrap w:val="0"/>
              <w:snapToGrid w:val="0"/>
              <w:spacing w:line="320" w:lineRule="exact"/>
              <w:jc w:val="center"/>
              <w:rPr>
                <w:color w:val="000000"/>
                <w:szCs w:val="21"/>
              </w:rPr>
            </w:pPr>
          </w:p>
        </w:tc>
        <w:tc>
          <w:tcPr>
            <w:tcW w:w="1959" w:type="dxa"/>
            <w:vMerge w:val="continue"/>
            <w:vAlign w:val="center"/>
          </w:tcPr>
          <w:p>
            <w:pPr>
              <w:wordWrap w:val="0"/>
              <w:snapToGrid w:val="0"/>
              <w:spacing w:line="320" w:lineRule="exact"/>
              <w:jc w:val="center"/>
              <w:rPr>
                <w:color w:val="000000"/>
                <w:szCs w:val="21"/>
              </w:rPr>
            </w:pPr>
          </w:p>
        </w:tc>
        <w:tc>
          <w:tcPr>
            <w:tcW w:w="1129" w:type="dxa"/>
            <w:vAlign w:val="center"/>
          </w:tcPr>
          <w:p>
            <w:pPr>
              <w:wordWrap w:val="0"/>
              <w:snapToGrid w:val="0"/>
              <w:spacing w:line="320" w:lineRule="exact"/>
              <w:jc w:val="center"/>
              <w:rPr>
                <w:color w:val="000000"/>
                <w:szCs w:val="21"/>
              </w:rPr>
            </w:pPr>
          </w:p>
        </w:tc>
        <w:tc>
          <w:tcPr>
            <w:tcW w:w="1037" w:type="dxa"/>
            <w:vAlign w:val="center"/>
          </w:tcPr>
          <w:p>
            <w:pPr>
              <w:wordWrap w:val="0"/>
              <w:snapToGrid w:val="0"/>
              <w:spacing w:line="320" w:lineRule="exact"/>
              <w:jc w:val="center"/>
              <w:rPr>
                <w:color w:val="000000"/>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13</w:t>
            </w:r>
          </w:p>
        </w:tc>
        <w:tc>
          <w:tcPr>
            <w:tcW w:w="2800" w:type="dxa"/>
            <w:shd w:val="clear" w:color="auto" w:fill="FFFFFF" w:themeFill="background1"/>
            <w:vAlign w:val="center"/>
          </w:tcPr>
          <w:p>
            <w:pPr>
              <w:wordWrap w:val="0"/>
              <w:snapToGrid w:val="0"/>
              <w:spacing w:line="320" w:lineRule="exact"/>
              <w:jc w:val="center"/>
              <w:rPr>
                <w:rFonts w:hint="eastAsia"/>
                <w:color w:val="000000"/>
                <w:szCs w:val="21"/>
              </w:rPr>
            </w:pPr>
            <w:r>
              <w:rPr>
                <w:rFonts w:hint="eastAsia"/>
                <w:color w:val="000000"/>
                <w:szCs w:val="21"/>
              </w:rPr>
              <w:t>热效率</w:t>
            </w:r>
          </w:p>
        </w:tc>
        <w:tc>
          <w:tcPr>
            <w:tcW w:w="2134" w:type="dxa"/>
            <w:vAlign w:val="center"/>
          </w:tcPr>
          <w:p>
            <w:pPr>
              <w:wordWrap w:val="0"/>
              <w:snapToGrid w:val="0"/>
              <w:spacing w:line="320" w:lineRule="exact"/>
              <w:jc w:val="center"/>
              <w:rPr>
                <w:color w:val="000000"/>
                <w:szCs w:val="21"/>
              </w:rPr>
            </w:pPr>
            <w:r>
              <w:rPr>
                <w:rFonts w:ascii="宋体"/>
                <w:kern w:val="0"/>
                <w:sz w:val="23"/>
                <w:szCs w:val="23"/>
              </w:rPr>
              <w:t>GB 20665-2015</w:t>
            </w:r>
          </w:p>
        </w:tc>
        <w:tc>
          <w:tcPr>
            <w:tcW w:w="1959" w:type="dxa"/>
            <w:vAlign w:val="center"/>
          </w:tcPr>
          <w:p>
            <w:pPr>
              <w:wordWrap w:val="0"/>
              <w:snapToGrid w:val="0"/>
              <w:spacing w:line="320" w:lineRule="exact"/>
              <w:jc w:val="center"/>
              <w:rPr>
                <w:color w:val="000000"/>
                <w:szCs w:val="21"/>
              </w:rPr>
            </w:pPr>
            <w:r>
              <w:rPr>
                <w:rFonts w:ascii="宋体"/>
                <w:kern w:val="0"/>
                <w:sz w:val="23"/>
                <w:szCs w:val="23"/>
              </w:rPr>
              <w:t>GB 20665-2015</w:t>
            </w:r>
          </w:p>
        </w:tc>
        <w:tc>
          <w:tcPr>
            <w:tcW w:w="1129" w:type="dxa"/>
            <w:vAlign w:val="center"/>
          </w:tcPr>
          <w:p>
            <w:pPr>
              <w:wordWrap w:val="0"/>
              <w:snapToGrid w:val="0"/>
              <w:spacing w:line="320" w:lineRule="exact"/>
              <w:jc w:val="center"/>
              <w:rPr>
                <w:rFonts w:ascii="宋体" w:hAnsi="宋体"/>
                <w:szCs w:val="21"/>
              </w:rPr>
            </w:pPr>
          </w:p>
        </w:tc>
        <w:tc>
          <w:tcPr>
            <w:tcW w:w="1037" w:type="dxa"/>
            <w:vAlign w:val="center"/>
          </w:tcPr>
          <w:p>
            <w:pPr>
              <w:wordWrap w:val="0"/>
              <w:snapToGrid w:val="0"/>
              <w:spacing w:line="320" w:lineRule="exact"/>
              <w:jc w:val="center"/>
              <w:rPr>
                <w:color w:val="000000"/>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69" w:type="dxa"/>
            <w:gridSpan w:val="6"/>
            <w:vAlign w:val="center"/>
          </w:tcPr>
          <w:p>
            <w:pPr>
              <w:snapToGrid w:val="0"/>
              <w:spacing w:line="320" w:lineRule="exact"/>
              <w:rPr>
                <w:color w:val="000000"/>
                <w:sz w:val="18"/>
                <w:szCs w:val="18"/>
              </w:rPr>
            </w:pPr>
            <w:r>
              <w:rPr>
                <w:color w:val="000000"/>
                <w:sz w:val="18"/>
                <w:szCs w:val="18"/>
              </w:rPr>
              <w:t>a极重要质量项目。</w:t>
            </w:r>
          </w:p>
          <w:p>
            <w:pPr>
              <w:wordWrap w:val="0"/>
              <w:snapToGrid w:val="0"/>
              <w:spacing w:line="320" w:lineRule="exact"/>
              <w:jc w:val="left"/>
              <w:rPr>
                <w:rFonts w:ascii="宋体" w:hAnsi="宋体"/>
                <w:szCs w:val="21"/>
              </w:rPr>
            </w:pPr>
            <w:r>
              <w:rPr>
                <w:color w:val="000000"/>
                <w:sz w:val="18"/>
                <w:szCs w:val="18"/>
              </w:rPr>
              <w:t>b重要质量项目。</w:t>
            </w:r>
            <w:bookmarkStart w:id="1" w:name="_GoBack"/>
            <w:bookmarkEnd w:id="1"/>
          </w:p>
        </w:tc>
      </w:tr>
    </w:tbl>
    <w:p>
      <w:pPr>
        <w:adjustRightInd w:val="0"/>
        <w:snapToGrid w:val="0"/>
        <w:ind w:firstLine="422" w:firstLineChars="200"/>
        <w:rPr>
          <w:rFonts w:hint="eastAsia" w:ascii="宋体" w:hAnsi="宋体" w:cs="宋体"/>
          <w:b/>
          <w:bCs/>
          <w:color w:val="000000"/>
        </w:rPr>
      </w:pPr>
      <w:r>
        <w:rPr>
          <w:rFonts w:hint="eastAsia" w:ascii="宋体" w:hAnsi="宋体" w:cs="宋体"/>
          <w:b/>
          <w:bCs/>
          <w:color w:val="000000"/>
        </w:rPr>
        <w:t>注1：在本次抽查中，热效率项目按GB 20665-2015检验，若被抽商品明示质量指标或标准高于GB 20665-2015标准的要求，则按其明示质量指标检验；若被抽商品明示质量指标或标准低于GB 20665-2015标准的要求，则按GB 20665-2015标准检验。</w:t>
      </w:r>
    </w:p>
    <w:p>
      <w:pPr>
        <w:adjustRightInd w:val="0"/>
        <w:snapToGrid w:val="0"/>
        <w:spacing w:line="360" w:lineRule="auto"/>
        <w:ind w:firstLine="420" w:firstLineChars="200"/>
        <w:rPr>
          <w:rFonts w:ascii="Times New Roman" w:hAnsi="Times New Roman" w:cs="Times New Roman"/>
          <w:color w:val="000000"/>
          <w:szCs w:val="21"/>
        </w:rPr>
      </w:pP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凡是注日期的文件，其随后所有的修改单（不包括勘误的内容）或修订版不适用于本</w:t>
      </w:r>
      <w:r>
        <w:rPr>
          <w:rFonts w:hint="eastAsia" w:ascii="Times New Roman" w:hAnsi="Times New Roman" w:cs="Times New Roman"/>
          <w:color w:val="000000"/>
          <w:szCs w:val="21"/>
        </w:rPr>
        <w:t>细则</w:t>
      </w:r>
      <w:r>
        <w:rPr>
          <w:rFonts w:ascii="Times New Roman" w:hAnsi="Times New Roman" w:cs="Times New Roman"/>
          <w:color w:val="000000"/>
          <w:szCs w:val="21"/>
        </w:rPr>
        <w:t>。凡是不注日期的文件，其最新版本适用于本</w:t>
      </w:r>
      <w:r>
        <w:rPr>
          <w:rFonts w:hint="eastAsia" w:ascii="Times New Roman" w:hAnsi="Times New Roman" w:cs="Times New Roman"/>
          <w:color w:val="000000"/>
          <w:szCs w:val="21"/>
        </w:rPr>
        <w:t>细则</w:t>
      </w:r>
      <w:r>
        <w:rPr>
          <w:rFonts w:ascii="Times New Roman" w:hAnsi="Times New Roman" w:cs="Times New Roman"/>
          <w:color w:val="000000"/>
          <w:szCs w:val="21"/>
        </w:rPr>
        <w:t>。</w:t>
      </w:r>
    </w:p>
    <w:p>
      <w:pPr>
        <w:adjustRightInd w:val="0"/>
        <w:snapToGrid w:val="0"/>
        <w:spacing w:line="360" w:lineRule="auto"/>
        <w:ind w:firstLine="420" w:firstLineChars="200"/>
        <w:rPr>
          <w:rFonts w:ascii="Times New Roman" w:hAnsi="Times New Roman" w:cs="Times New Roman"/>
          <w:color w:val="000000"/>
          <w:szCs w:val="21"/>
        </w:rPr>
      </w:pPr>
    </w:p>
    <w:p>
      <w:pPr>
        <w:adjustRightInd w:val="0"/>
        <w:snapToGrid w:val="0"/>
        <w:spacing w:line="360" w:lineRule="auto"/>
        <w:rPr>
          <w:rFonts w:ascii="Times New Roman" w:hAnsi="Times New Roman" w:eastAsia="黑体" w:cs="Times New Roman"/>
          <w:color w:val="000000"/>
          <w:szCs w:val="21"/>
        </w:rPr>
      </w:pPr>
      <w:r>
        <w:rPr>
          <w:rFonts w:ascii="Times New Roman" w:hAnsi="Times New Roman" w:eastAsia="黑体" w:cs="Times New Roman"/>
          <w:color w:val="000000"/>
          <w:szCs w:val="21"/>
        </w:rPr>
        <w:t>3 判定规则</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color w:val="000000"/>
          <w:szCs w:val="21"/>
        </w:rPr>
        <w:t>3.1依据标准</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GB 6932-2015《家用燃气快速热水器》</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GB 20665-2015《家用燃气快速热水器和燃气采暖热水炉能效限定值及能效等级》</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现行有效的企业标准、团体标准、地方标准及产品明示质量要求</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color w:val="000000"/>
          <w:szCs w:val="21"/>
        </w:rPr>
        <w:t>3.2判定原则</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经检验，所检验项目全部符合标准要求，判定为被抽查产品未发现不合格；检验项目中任一项或一项以上不合格，判定为被抽查产品不合格。</w:t>
      </w:r>
      <w:bookmarkStart w:id="0" w:name="OLE_LINK1"/>
      <w:r>
        <w:rPr>
          <w:rFonts w:ascii="Times New Roman" w:hAnsi="Times New Roman" w:cs="Times New Roman"/>
          <w:color w:val="000000"/>
          <w:szCs w:val="21"/>
        </w:rPr>
        <w:t>当产品存在A类项目不合格时，属于严重不合格。</w:t>
      </w:r>
      <w:bookmarkEnd w:id="0"/>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若被检产品明示的质量要求高于本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中检验项目依据的标准要求时，应按被检产品明示的质量要求判定。</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若被检产品明示的质量要求低于本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中检验项目依据的强制性标准要求时，应按照强制性标准要求判定。</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若被检产品明示的质量要求低于或包含本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中检验项目依据的推荐性标准要求时，应以被检产品明示的质量要求判定，但应在检验报告备注中进行说明。</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若被检产品明示的质量要求缺少本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中检验项目依据的强制性标准要求时，应按照强制性标准要求判定。</w:t>
      </w:r>
    </w:p>
    <w:p>
      <w:pPr>
        <w:adjustRightInd w:val="0"/>
        <w:snapToGrid w:val="0"/>
        <w:spacing w:line="360" w:lineRule="auto"/>
        <w:ind w:firstLine="420" w:firstLineChars="200"/>
        <w:rPr>
          <w:rFonts w:ascii="Times New Roman" w:hAnsi="Times New Roman" w:cs="Times New Roman"/>
          <w:szCs w:val="21"/>
        </w:rPr>
      </w:pPr>
      <w:r>
        <w:rPr>
          <w:rFonts w:ascii="Times New Roman" w:hAnsi="Times New Roman" w:cs="Times New Roman"/>
          <w:color w:val="000000"/>
          <w:szCs w:val="21"/>
        </w:rPr>
        <w:t>若被检产品明示的质量要求缺少本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中检验项目依据的推荐性标准要求时，该项目不参与判定，但应在检验报告备注中进行说明。</w:t>
      </w:r>
    </w:p>
    <w:p>
      <w:pPr>
        <w:adjustRightInd w:val="0"/>
        <w:snapToGrid w:val="0"/>
        <w:spacing w:line="360" w:lineRule="auto"/>
        <w:rPr>
          <w:rFonts w:ascii="Times New Roman" w:hAnsi="Times New Roman" w:cs="Times New Roman"/>
          <w:color w:val="000000"/>
          <w:szCs w:val="21"/>
        </w:rPr>
      </w:pP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M2NTUyZWExMzIzMzQ0ZTUxNGVlN2M0ODRmYTg0MWQifQ=="/>
  </w:docVars>
  <w:rsids>
    <w:rsidRoot w:val="00D71C4C"/>
    <w:rsid w:val="002715DF"/>
    <w:rsid w:val="00C60A30"/>
    <w:rsid w:val="00D71C4C"/>
    <w:rsid w:val="05883DC0"/>
    <w:rsid w:val="09F20DDB"/>
    <w:rsid w:val="133C22D3"/>
    <w:rsid w:val="32B30358"/>
    <w:rsid w:val="4ABC2695"/>
    <w:rsid w:val="4B3858B2"/>
    <w:rsid w:val="571D74B1"/>
    <w:rsid w:val="5C2E6481"/>
    <w:rsid w:val="6341620F"/>
    <w:rsid w:val="69E6764A"/>
    <w:rsid w:val="6A2674EB"/>
    <w:rsid w:val="75B66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jc w:val="center"/>
      <w:outlineLvl w:val="0"/>
    </w:pPr>
    <w:rPr>
      <w:rFonts w:ascii="方正小标宋简体" w:eastAsia="方正小标宋简体"/>
      <w:kern w:val="44"/>
      <w:sz w:val="38"/>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customStyle="1" w:styleId="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8">
    <w:name w:val="页眉 Char"/>
    <w:basedOn w:val="6"/>
    <w:link w:val="4"/>
    <w:qFormat/>
    <w:uiPriority w:val="0"/>
    <w:rPr>
      <w:rFonts w:asciiTheme="minorHAnsi" w:hAnsiTheme="minorHAnsi" w:eastAsiaTheme="minorEastAsia" w:cstheme="minorBidi"/>
      <w:kern w:val="2"/>
      <w:sz w:val="18"/>
      <w:szCs w:val="18"/>
    </w:rPr>
  </w:style>
  <w:style w:type="character" w:customStyle="1" w:styleId="9">
    <w:name w:val="页脚 Char"/>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963</Words>
  <Characters>1073</Characters>
  <Lines>8</Lines>
  <Paragraphs>2</Paragraphs>
  <TotalTime>2</TotalTime>
  <ScaleCrop>false</ScaleCrop>
  <LinksUpToDate>false</LinksUpToDate>
  <CharactersWithSpaces>1087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2023-04-28T01:23:00Z</dcterms:created>
  <dc:creator>lwlzl</dc:creator>
  <cp:lastModifiedBy>赖喵</cp:lastModifiedBy>
  <dcterms:modified xsi:type="dcterms:W3CDTF">2023-04-28T02:57:00Z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C598B03E33F04D1E82B1E05D29A87D97</vt:lpwstr>
  </property>
</Properties>
</file>