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lang w:eastAsia="zh-CN"/>
        </w:rPr>
        <w:t>广州市荔湾区</w:t>
      </w:r>
      <w:r>
        <w:rPr>
          <w:rFonts w:ascii="Times New Roman" w:hAnsi="Times New Roman" w:eastAsia="方正小标宋简体" w:cs="Times New Roman"/>
          <w:color w:val="000000"/>
          <w:sz w:val="30"/>
          <w:szCs w:val="30"/>
        </w:rPr>
        <w:t>市场监督管理局</w:t>
      </w:r>
      <w:r>
        <w:rPr>
          <w:rFonts w:hint="eastAsia" w:ascii="Times New Roman" w:hAnsi="Times New Roman" w:eastAsia="方正小标宋简体" w:cs="Times New Roman"/>
          <w:color w:val="000000"/>
          <w:sz w:val="30"/>
          <w:szCs w:val="30"/>
          <w:lang w:val="en-US" w:eastAsia="zh-CN"/>
        </w:rPr>
        <w:t>电器附件</w:t>
      </w:r>
      <w:r>
        <w:rPr>
          <w:rFonts w:hint="eastAsia" w:ascii="Times New Roman" w:hAnsi="Times New Roman" w:eastAsia="方正小标宋简体" w:cs="Times New Roman"/>
          <w:color w:val="000000"/>
          <w:sz w:val="30"/>
          <w:szCs w:val="30"/>
        </w:rPr>
        <w:t>（家用和类似用途固定式电气装置的开关）</w:t>
      </w:r>
      <w:r>
        <w:rPr>
          <w:rFonts w:ascii="Times New Roman" w:hAnsi="Times New Roman" w:eastAsia="方正小标宋简体" w:cs="Times New Roman"/>
          <w:color w:val="000000"/>
          <w:sz w:val="30"/>
          <w:szCs w:val="30"/>
        </w:rPr>
        <w:t>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每批次产品抽取</w:t>
      </w:r>
      <w:r>
        <w:rPr>
          <w:rFonts w:hint="eastAsia" w:ascii="Times New Roman" w:hAnsi="Times New Roman" w:cs="Times New Roman"/>
          <w:szCs w:val="21"/>
          <w:lang w:val="en-US" w:eastAsia="zh-CN"/>
        </w:rPr>
        <w:t>18</w:t>
      </w:r>
      <w:r>
        <w:rPr>
          <w:rFonts w:ascii="Times New Roman" w:hAnsi="Times New Roman" w:cs="Times New Roman"/>
          <w:szCs w:val="21"/>
        </w:rPr>
        <w:t>套，其中</w:t>
      </w:r>
      <w:r>
        <w:rPr>
          <w:rFonts w:hint="eastAsia" w:ascii="Times New Roman" w:hAnsi="Times New Roman" w:cs="Times New Roman"/>
          <w:szCs w:val="21"/>
          <w:lang w:val="en-US" w:eastAsia="zh-CN"/>
        </w:rPr>
        <w:t>12</w:t>
      </w:r>
      <w:r>
        <w:rPr>
          <w:rFonts w:ascii="Times New Roman" w:hAnsi="Times New Roman" w:cs="Times New Roman"/>
          <w:szCs w:val="21"/>
        </w:rPr>
        <w:t>套作为检验样品，</w:t>
      </w:r>
      <w:r>
        <w:rPr>
          <w:rFonts w:hint="eastAsia" w:ascii="Times New Roman" w:hAnsi="Times New Roman" w:cs="Times New Roman"/>
          <w:szCs w:val="21"/>
          <w:lang w:val="en-US" w:eastAsia="zh-CN"/>
        </w:rPr>
        <w:t>6</w:t>
      </w:r>
      <w:r>
        <w:rPr>
          <w:rFonts w:ascii="Times New Roman" w:hAnsi="Times New Roman" w:cs="Times New Roman"/>
          <w:szCs w:val="21"/>
        </w:rPr>
        <w:t>套作为备用样</w:t>
      </w:r>
      <w:bookmarkStart w:id="1" w:name="_GoBack"/>
      <w:bookmarkEnd w:id="1"/>
      <w:r>
        <w:rPr>
          <w:rFonts w:ascii="Times New Roman" w:hAnsi="Times New Roman" w:cs="Times New Roman"/>
          <w:szCs w:val="21"/>
        </w:rPr>
        <w:t>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本次抽查检验项目和检验方法依据见表1。</w:t>
      </w:r>
    </w:p>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表</w:t>
      </w:r>
      <w:r>
        <w:rPr>
          <w:rFonts w:hint="eastAsia" w:ascii="Times New Roman" w:hAnsi="Times New Roman" w:cs="Times New Roman"/>
          <w:color w:val="000000"/>
          <w:szCs w:val="21"/>
          <w:lang w:val="en-US" w:eastAsia="zh-CN"/>
        </w:rPr>
        <w:t xml:space="preserve">1 </w:t>
      </w:r>
      <w:r>
        <w:rPr>
          <w:rFonts w:hint="eastAsia" w:ascii="Times New Roman" w:hAnsi="Times New Roman" w:cs="Times New Roman"/>
          <w:szCs w:val="21"/>
          <w:lang w:val="en-US" w:eastAsia="zh-CN"/>
        </w:rPr>
        <w:t>开关</w:t>
      </w:r>
      <w:r>
        <w:rPr>
          <w:rFonts w:ascii="Times New Roman" w:hAnsi="Times New Roman" w:cs="Times New Roman"/>
          <w:color w:val="000000"/>
          <w:szCs w:val="21"/>
        </w:rPr>
        <w:t>检验项目</w:t>
      </w:r>
    </w:p>
    <w:tbl>
      <w:tblPr>
        <w:tblStyle w:val="3"/>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2265"/>
        <w:gridCol w:w="2160"/>
        <w:gridCol w:w="2070"/>
        <w:gridCol w:w="1320"/>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dxa"/>
            <w:vMerge w:val="restart"/>
            <w:vAlign w:val="center"/>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265" w:type="dxa"/>
            <w:vMerge w:val="restart"/>
            <w:vAlign w:val="center"/>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160" w:type="dxa"/>
            <w:vMerge w:val="restart"/>
            <w:vAlign w:val="center"/>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检验依据</w:t>
            </w:r>
          </w:p>
        </w:tc>
        <w:tc>
          <w:tcPr>
            <w:tcW w:w="2070" w:type="dxa"/>
            <w:vMerge w:val="restart"/>
            <w:vAlign w:val="center"/>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检验方法</w:t>
            </w:r>
          </w:p>
        </w:tc>
        <w:tc>
          <w:tcPr>
            <w:tcW w:w="2794" w:type="dxa"/>
            <w:gridSpan w:val="2"/>
            <w:vAlign w:val="center"/>
          </w:tcPr>
          <w:p>
            <w:pPr>
              <w:snapToGrid w:val="0"/>
              <w:spacing w:line="320" w:lineRule="exact"/>
              <w:jc w:val="center"/>
              <w:rPr>
                <w:rFonts w:ascii="Times New Roman" w:hAnsi="Times New Roman" w:cs="Times New Roman"/>
                <w:color w:val="000000"/>
                <w:szCs w:val="21"/>
              </w:rPr>
            </w:pPr>
            <w:r>
              <w:rPr>
                <w:rFonts w:ascii="Times New Roman" w:hAnsi="Times New Roman" w:cs="Times New Roman"/>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79" w:type="dxa"/>
            <w:vMerge w:val="continue"/>
            <w:vAlign w:val="center"/>
          </w:tcPr>
          <w:p>
            <w:pPr>
              <w:adjustRightInd w:val="0"/>
              <w:snapToGrid w:val="0"/>
              <w:spacing w:line="360" w:lineRule="auto"/>
              <w:jc w:val="center"/>
              <w:rPr>
                <w:rFonts w:ascii="Times New Roman" w:hAnsi="Times New Roman" w:cs="Times New Roman"/>
                <w:color w:val="000000"/>
                <w:szCs w:val="21"/>
              </w:rPr>
            </w:pPr>
          </w:p>
        </w:tc>
        <w:tc>
          <w:tcPr>
            <w:tcW w:w="2265" w:type="dxa"/>
            <w:vMerge w:val="continue"/>
            <w:vAlign w:val="center"/>
          </w:tcPr>
          <w:p>
            <w:pPr>
              <w:adjustRightInd w:val="0"/>
              <w:snapToGrid w:val="0"/>
              <w:spacing w:line="360" w:lineRule="auto"/>
              <w:jc w:val="center"/>
              <w:rPr>
                <w:rFonts w:ascii="Times New Roman" w:hAnsi="Times New Roman" w:cs="Times New Roman"/>
                <w:color w:val="000000"/>
                <w:szCs w:val="21"/>
              </w:rPr>
            </w:pPr>
          </w:p>
        </w:tc>
        <w:tc>
          <w:tcPr>
            <w:tcW w:w="2160" w:type="dxa"/>
            <w:vMerge w:val="continue"/>
            <w:vAlign w:val="center"/>
          </w:tcPr>
          <w:p>
            <w:pPr>
              <w:adjustRightInd w:val="0"/>
              <w:snapToGrid w:val="0"/>
              <w:spacing w:line="360" w:lineRule="auto"/>
              <w:jc w:val="center"/>
              <w:rPr>
                <w:rFonts w:ascii="Times New Roman" w:hAnsi="Times New Roman" w:cs="Times New Roman"/>
                <w:color w:val="000000"/>
                <w:szCs w:val="21"/>
              </w:rPr>
            </w:pPr>
          </w:p>
        </w:tc>
        <w:tc>
          <w:tcPr>
            <w:tcW w:w="2070" w:type="dxa"/>
            <w:vMerge w:val="continue"/>
            <w:vAlign w:val="center"/>
          </w:tcPr>
          <w:p>
            <w:pPr>
              <w:adjustRightInd w:val="0"/>
              <w:snapToGrid w:val="0"/>
              <w:spacing w:line="360" w:lineRule="auto"/>
              <w:jc w:val="center"/>
              <w:rPr>
                <w:rFonts w:ascii="Times New Roman" w:hAnsi="Times New Roman" w:cs="Times New Roman"/>
                <w:color w:val="000000"/>
                <w:szCs w:val="21"/>
              </w:rPr>
            </w:pPr>
          </w:p>
        </w:tc>
        <w:tc>
          <w:tcPr>
            <w:tcW w:w="1320" w:type="dxa"/>
            <w:vAlign w:val="center"/>
          </w:tcPr>
          <w:p>
            <w:pPr>
              <w:snapToGrid w:val="0"/>
              <w:spacing w:line="320" w:lineRule="exact"/>
              <w:jc w:val="center"/>
              <w:rPr>
                <w:rFonts w:ascii="Times New Roman" w:hAnsi="Times New Roman" w:cs="Times New Roman"/>
                <w:color w:val="000000"/>
                <w:szCs w:val="21"/>
              </w:rPr>
            </w:pPr>
            <w:r>
              <w:rPr>
                <w:rFonts w:ascii="Times New Roman" w:hAnsi="Times New Roman" w:cs="Times New Roman"/>
                <w:color w:val="000000"/>
                <w:szCs w:val="21"/>
              </w:rPr>
              <w:t>A类</w:t>
            </w:r>
            <w:r>
              <w:rPr>
                <w:rFonts w:ascii="Times New Roman" w:hAnsi="Times New Roman" w:cs="Times New Roman"/>
                <w:color w:val="000000"/>
                <w:szCs w:val="21"/>
                <w:vertAlign w:val="superscript"/>
              </w:rPr>
              <w:t>a</w:t>
            </w:r>
          </w:p>
        </w:tc>
        <w:tc>
          <w:tcPr>
            <w:tcW w:w="1474" w:type="dxa"/>
            <w:vAlign w:val="center"/>
          </w:tcPr>
          <w:p>
            <w:pPr>
              <w:snapToGrid w:val="0"/>
              <w:spacing w:line="320" w:lineRule="exact"/>
              <w:jc w:val="center"/>
              <w:rPr>
                <w:rFonts w:ascii="Times New Roman" w:hAnsi="Times New Roman" w:cs="Times New Roman"/>
                <w:color w:val="000000"/>
                <w:szCs w:val="21"/>
              </w:rPr>
            </w:pPr>
            <w:r>
              <w:rPr>
                <w:rFonts w:ascii="Times New Roman" w:hAnsi="Times New Roman" w:cs="Times New Roman"/>
                <w:color w:val="000000"/>
                <w:szCs w:val="21"/>
              </w:rPr>
              <w:t>B类</w:t>
            </w:r>
            <w:r>
              <w:rPr>
                <w:rFonts w:ascii="Times New Roman" w:hAnsi="Times New Roman" w:cs="Times New Roman"/>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rPr>
              <w:t>1</w:t>
            </w:r>
          </w:p>
        </w:tc>
        <w:tc>
          <w:tcPr>
            <w:tcW w:w="2265" w:type="dxa"/>
            <w:vAlign w:val="center"/>
          </w:tcPr>
          <w:p>
            <w:pPr>
              <w:adjustRightInd w:val="0"/>
              <w:snapToGrid w:val="0"/>
              <w:spacing w:line="280" w:lineRule="exact"/>
              <w:jc w:val="center"/>
              <w:rPr>
                <w:rFonts w:ascii="Times New Roman" w:hAnsi="Times New Roman" w:cs="Times New Roman"/>
                <w:color w:val="000000"/>
                <w:szCs w:val="21"/>
              </w:rPr>
            </w:pPr>
            <w:r>
              <w:rPr>
                <w:rFonts w:hint="eastAsia"/>
                <w:kern w:val="0"/>
                <w:szCs w:val="21"/>
              </w:rPr>
              <w:t>防触电保护</w:t>
            </w:r>
          </w:p>
        </w:tc>
        <w:tc>
          <w:tcPr>
            <w:tcW w:w="2160" w:type="dxa"/>
            <w:vMerge w:val="restart"/>
            <w:vAlign w:val="center"/>
          </w:tcPr>
          <w:p>
            <w:pPr>
              <w:snapToGrid w:val="0"/>
              <w:jc w:val="center"/>
              <w:rPr>
                <w:kern w:val="0"/>
                <w:szCs w:val="21"/>
              </w:rPr>
            </w:pPr>
            <w:r>
              <w:rPr>
                <w:rFonts w:hint="eastAsia"/>
                <w:kern w:val="0"/>
                <w:szCs w:val="21"/>
              </w:rPr>
              <w:t>GB/T 16915.1-</w:t>
            </w:r>
            <w:r>
              <w:rPr>
                <w:kern w:val="0"/>
                <w:szCs w:val="21"/>
              </w:rPr>
              <w:t>2014</w:t>
            </w:r>
          </w:p>
          <w:p>
            <w:pPr>
              <w:snapToGrid w:val="0"/>
              <w:jc w:val="center"/>
              <w:rPr>
                <w:kern w:val="0"/>
                <w:szCs w:val="21"/>
              </w:rPr>
            </w:pPr>
            <w:r>
              <w:rPr>
                <w:rFonts w:hint="eastAsia"/>
                <w:kern w:val="0"/>
                <w:szCs w:val="21"/>
              </w:rPr>
              <w:t xml:space="preserve"> GB</w:t>
            </w:r>
            <w:r>
              <w:rPr>
                <w:kern w:val="0"/>
                <w:szCs w:val="21"/>
              </w:rPr>
              <w:t>/T</w:t>
            </w:r>
            <w:r>
              <w:rPr>
                <w:rFonts w:hint="eastAsia"/>
                <w:kern w:val="0"/>
                <w:szCs w:val="21"/>
              </w:rPr>
              <w:t xml:space="preserve"> 16915.</w:t>
            </w:r>
            <w:r>
              <w:rPr>
                <w:kern w:val="0"/>
                <w:szCs w:val="21"/>
              </w:rPr>
              <w:t>2</w:t>
            </w:r>
            <w:r>
              <w:rPr>
                <w:rFonts w:hint="eastAsia"/>
                <w:kern w:val="0"/>
                <w:szCs w:val="21"/>
              </w:rPr>
              <w:t>-20</w:t>
            </w:r>
            <w:r>
              <w:rPr>
                <w:kern w:val="0"/>
                <w:szCs w:val="21"/>
              </w:rPr>
              <w:t>12</w:t>
            </w:r>
          </w:p>
          <w:p>
            <w:pPr>
              <w:adjustRightInd w:val="0"/>
              <w:snapToGrid w:val="0"/>
              <w:spacing w:line="360" w:lineRule="auto"/>
              <w:jc w:val="center"/>
              <w:rPr>
                <w:rFonts w:ascii="Times New Roman" w:hAnsi="Times New Roman" w:cs="Times New Roman"/>
                <w:color w:val="000000"/>
                <w:szCs w:val="21"/>
              </w:rPr>
            </w:pPr>
          </w:p>
        </w:tc>
        <w:tc>
          <w:tcPr>
            <w:tcW w:w="2070" w:type="dxa"/>
            <w:vMerge w:val="restart"/>
            <w:vAlign w:val="center"/>
          </w:tcPr>
          <w:p>
            <w:pPr>
              <w:snapToGrid w:val="0"/>
              <w:jc w:val="center"/>
              <w:rPr>
                <w:kern w:val="0"/>
                <w:szCs w:val="21"/>
              </w:rPr>
            </w:pPr>
            <w:r>
              <w:rPr>
                <w:rFonts w:hint="eastAsia"/>
                <w:kern w:val="0"/>
                <w:szCs w:val="21"/>
              </w:rPr>
              <w:t>GB/T 16915.1-</w:t>
            </w:r>
            <w:r>
              <w:rPr>
                <w:kern w:val="0"/>
                <w:szCs w:val="21"/>
              </w:rPr>
              <w:t>2014</w:t>
            </w:r>
          </w:p>
          <w:p>
            <w:pPr>
              <w:snapToGrid w:val="0"/>
              <w:jc w:val="center"/>
              <w:rPr>
                <w:kern w:val="0"/>
                <w:szCs w:val="21"/>
              </w:rPr>
            </w:pPr>
            <w:r>
              <w:rPr>
                <w:rFonts w:hint="eastAsia"/>
                <w:kern w:val="0"/>
                <w:szCs w:val="21"/>
              </w:rPr>
              <w:t xml:space="preserve"> GB</w:t>
            </w:r>
            <w:r>
              <w:rPr>
                <w:kern w:val="0"/>
                <w:szCs w:val="21"/>
              </w:rPr>
              <w:t>/T</w:t>
            </w:r>
            <w:r>
              <w:rPr>
                <w:rFonts w:hint="eastAsia"/>
                <w:kern w:val="0"/>
                <w:szCs w:val="21"/>
              </w:rPr>
              <w:t xml:space="preserve"> 16915.</w:t>
            </w:r>
            <w:r>
              <w:rPr>
                <w:kern w:val="0"/>
                <w:szCs w:val="21"/>
              </w:rPr>
              <w:t>2</w:t>
            </w:r>
            <w:r>
              <w:rPr>
                <w:rFonts w:hint="eastAsia"/>
                <w:kern w:val="0"/>
                <w:szCs w:val="21"/>
              </w:rPr>
              <w:t>-20</w:t>
            </w:r>
            <w:r>
              <w:rPr>
                <w:kern w:val="0"/>
                <w:szCs w:val="21"/>
              </w:rPr>
              <w:t>12</w:t>
            </w:r>
          </w:p>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color w:val="000000"/>
                <w:szCs w:val="21"/>
              </w:rPr>
            </w:pPr>
            <w:r>
              <w:rPr>
                <w:rFonts w:ascii="Times New Roman" w:hAnsi="Times New Roman" w:cs="Times New Roman"/>
              </w:rPr>
              <w:t>2</w:t>
            </w:r>
          </w:p>
        </w:tc>
        <w:tc>
          <w:tcPr>
            <w:tcW w:w="2265" w:type="dxa"/>
            <w:vAlign w:val="center"/>
          </w:tcPr>
          <w:p>
            <w:pPr>
              <w:adjustRightInd w:val="0"/>
              <w:snapToGrid w:val="0"/>
              <w:spacing w:line="280" w:lineRule="exact"/>
              <w:jc w:val="center"/>
              <w:rPr>
                <w:rFonts w:ascii="Times New Roman" w:hAnsi="Times New Roman" w:cs="Times New Roman"/>
                <w:color w:val="000000"/>
                <w:szCs w:val="21"/>
              </w:rPr>
            </w:pPr>
            <w:r>
              <w:rPr>
                <w:rFonts w:hint="eastAsia"/>
                <w:kern w:val="0"/>
                <w:szCs w:val="21"/>
              </w:rPr>
              <w:t>接地措施</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3</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结构要求</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p>
        </w:tc>
        <w:tc>
          <w:tcPr>
            <w:tcW w:w="1474"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4</w:t>
            </w:r>
          </w:p>
        </w:tc>
        <w:tc>
          <w:tcPr>
            <w:tcW w:w="2265" w:type="dxa"/>
            <w:vAlign w:val="center"/>
          </w:tcPr>
          <w:p>
            <w:pPr>
              <w:snapToGrid w:val="0"/>
              <w:jc w:val="center"/>
              <w:rPr>
                <w:rFonts w:ascii="Times New Roman" w:hAnsi="Times New Roman" w:cs="Times New Roman"/>
              </w:rPr>
            </w:pPr>
            <w:r>
              <w:rPr>
                <w:rFonts w:hint="eastAsia"/>
                <w:kern w:val="0"/>
                <w:szCs w:val="21"/>
              </w:rPr>
              <w:t>防</w:t>
            </w:r>
            <w:r>
              <w:rPr>
                <w:kern w:val="0"/>
                <w:szCs w:val="21"/>
              </w:rPr>
              <w:t>潮</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5</w:t>
            </w:r>
          </w:p>
        </w:tc>
        <w:tc>
          <w:tcPr>
            <w:tcW w:w="2265" w:type="dxa"/>
            <w:vAlign w:val="center"/>
          </w:tcPr>
          <w:p>
            <w:pPr>
              <w:snapToGrid w:val="0"/>
              <w:jc w:val="center"/>
              <w:rPr>
                <w:rFonts w:ascii="Times New Roman" w:hAnsi="Times New Roman" w:cs="Times New Roman"/>
              </w:rPr>
            </w:pPr>
            <w:r>
              <w:rPr>
                <w:kern w:val="0"/>
                <w:szCs w:val="21"/>
              </w:rPr>
              <w:t>绝缘电阻和电气强度</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6</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通断能力</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p>
        </w:tc>
        <w:tc>
          <w:tcPr>
            <w:tcW w:w="1474"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7</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正常操作</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p>
        </w:tc>
        <w:tc>
          <w:tcPr>
            <w:tcW w:w="1474"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8</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摆锤冲击试验</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p>
        </w:tc>
        <w:tc>
          <w:tcPr>
            <w:tcW w:w="1474"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9</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耐热</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p>
        </w:tc>
        <w:tc>
          <w:tcPr>
            <w:tcW w:w="1474"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10</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爬电距离、电气间隙和通过密封胶的距离</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79" w:type="dxa"/>
          </w:tcPr>
          <w:p>
            <w:pPr>
              <w:adjustRightInd w:val="0"/>
              <w:snapToGrid w:val="0"/>
              <w:spacing w:line="360" w:lineRule="auto"/>
              <w:jc w:val="center"/>
              <w:rPr>
                <w:rFonts w:ascii="Times New Roman" w:hAnsi="Times New Roman" w:cs="Times New Roman"/>
              </w:rPr>
            </w:pPr>
            <w:r>
              <w:rPr>
                <w:rFonts w:hint="eastAsia" w:ascii="Times New Roman" w:hAnsi="Times New Roman" w:cs="Times New Roman"/>
              </w:rPr>
              <w:t>11</w:t>
            </w:r>
          </w:p>
        </w:tc>
        <w:tc>
          <w:tcPr>
            <w:tcW w:w="2265" w:type="dxa"/>
            <w:vAlign w:val="center"/>
          </w:tcPr>
          <w:p>
            <w:pPr>
              <w:adjustRightInd w:val="0"/>
              <w:snapToGrid w:val="0"/>
              <w:spacing w:line="280" w:lineRule="exact"/>
              <w:jc w:val="center"/>
              <w:rPr>
                <w:rFonts w:ascii="Times New Roman" w:hAnsi="Times New Roman" w:cs="Times New Roman"/>
              </w:rPr>
            </w:pPr>
            <w:r>
              <w:rPr>
                <w:rFonts w:hint="eastAsia"/>
                <w:kern w:val="0"/>
                <w:szCs w:val="21"/>
              </w:rPr>
              <w:t>绝缘材料的耐非正常热、耐燃和耐漏电痕化</w:t>
            </w:r>
          </w:p>
        </w:tc>
        <w:tc>
          <w:tcPr>
            <w:tcW w:w="2160" w:type="dxa"/>
            <w:vMerge w:val="continue"/>
          </w:tcPr>
          <w:p>
            <w:pPr>
              <w:adjustRightInd w:val="0"/>
              <w:snapToGrid w:val="0"/>
              <w:spacing w:line="360" w:lineRule="auto"/>
              <w:jc w:val="center"/>
              <w:rPr>
                <w:rFonts w:ascii="Times New Roman" w:hAnsi="Times New Roman" w:cs="Times New Roman"/>
                <w:color w:val="000000"/>
                <w:szCs w:val="21"/>
              </w:rPr>
            </w:pPr>
          </w:p>
        </w:tc>
        <w:tc>
          <w:tcPr>
            <w:tcW w:w="2070" w:type="dxa"/>
            <w:vMerge w:val="continue"/>
          </w:tcPr>
          <w:p>
            <w:pPr>
              <w:adjustRightInd w:val="0"/>
              <w:snapToGrid w:val="0"/>
              <w:spacing w:line="360" w:lineRule="auto"/>
              <w:jc w:val="center"/>
              <w:rPr>
                <w:rFonts w:ascii="Times New Roman" w:hAnsi="Times New Roman" w:cs="Times New Roman"/>
                <w:color w:val="000000"/>
                <w:szCs w:val="21"/>
              </w:rPr>
            </w:pPr>
          </w:p>
        </w:tc>
        <w:tc>
          <w:tcPr>
            <w:tcW w:w="1320" w:type="dxa"/>
          </w:tcPr>
          <w:p>
            <w:pPr>
              <w:adjustRightInd w:val="0"/>
              <w:snapToGrid w:val="0"/>
              <w:spacing w:line="360" w:lineRule="auto"/>
              <w:jc w:val="center"/>
              <w:rPr>
                <w:rFonts w:ascii="Times New Roman" w:hAnsi="Times New Roman" w:cs="Times New Roman"/>
              </w:rPr>
            </w:pPr>
            <w:r>
              <w:rPr>
                <w:rFonts w:ascii="Times New Roman" w:hAnsi="Times New Roman" w:cs="Times New Roman"/>
              </w:rPr>
              <w:t>●</w:t>
            </w:r>
          </w:p>
        </w:tc>
        <w:tc>
          <w:tcPr>
            <w:tcW w:w="1474" w:type="dxa"/>
          </w:tcPr>
          <w:p>
            <w:pPr>
              <w:adjustRightInd w:val="0"/>
              <w:snapToGrid w:val="0"/>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9768" w:type="dxa"/>
            <w:gridSpan w:val="6"/>
          </w:tcPr>
          <w:p>
            <w:pPr>
              <w:adjustRightInd w:val="0"/>
              <w:snapToGrid w:val="0"/>
              <w:spacing w:line="360" w:lineRule="auto"/>
              <w:rPr>
                <w:rFonts w:ascii="Times New Roman" w:hAnsi="Times New Roman" w:cs="Times New Roman"/>
                <w:color w:val="000000"/>
                <w:sz w:val="18"/>
                <w:szCs w:val="18"/>
              </w:rPr>
            </w:pPr>
            <w:r>
              <w:rPr>
                <w:rFonts w:ascii="Times New Roman" w:hAnsi="Times New Roman" w:cs="Times New Roman"/>
                <w:color w:val="000000"/>
                <w:sz w:val="18"/>
                <w:szCs w:val="18"/>
              </w:rPr>
              <w:t>a极重要质量项目。</w:t>
            </w:r>
          </w:p>
          <w:p>
            <w:pPr>
              <w:adjustRightInd w:val="0"/>
              <w:snapToGrid w:val="0"/>
              <w:spacing w:line="360" w:lineRule="auto"/>
              <w:jc w:val="left"/>
              <w:rPr>
                <w:rFonts w:ascii="Times New Roman" w:hAnsi="Times New Roman" w:cs="Times New Roman"/>
              </w:rPr>
            </w:pPr>
            <w:r>
              <w:rPr>
                <w:rFonts w:ascii="Times New Roman" w:hAnsi="Times New Roman" w:cs="Times New Roman"/>
                <w:color w:val="000000"/>
                <w:sz w:val="18"/>
                <w:szCs w:val="18"/>
              </w:rPr>
              <w:t>b重要质量项目。</w:t>
            </w:r>
          </w:p>
        </w:tc>
      </w:tr>
    </w:tbl>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djustRightInd w:val="0"/>
        <w:snapToGrid w:val="0"/>
        <w:spacing w:line="360" w:lineRule="auto"/>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GB/T 16915.1-2014 《家用和类似用途固定式电气装置的开关  第一部分：通用要求》</w:t>
      </w:r>
    </w:p>
    <w:p>
      <w:pPr>
        <w:adjustRightInd w:val="0"/>
        <w:snapToGrid w:val="0"/>
        <w:spacing w:line="360" w:lineRule="auto"/>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GB/T 16915.2-2012《家用和类似用途固定式电气装置的开关 第2-1部分：电子开关的特殊要求》</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2NTUyZWExMzIzMzQ0ZTUxNGVlN2M0ODRmYTg0MWQifQ=="/>
  </w:docVars>
  <w:rsids>
    <w:rsidRoot w:val="00000000"/>
    <w:rsid w:val="09F20DDB"/>
    <w:rsid w:val="133C22D3"/>
    <w:rsid w:val="180112A7"/>
    <w:rsid w:val="1E965EF3"/>
    <w:rsid w:val="30BB5DB8"/>
    <w:rsid w:val="32B30358"/>
    <w:rsid w:val="571D74B1"/>
    <w:rsid w:val="5FD02B15"/>
    <w:rsid w:val="6341620F"/>
    <w:rsid w:val="69E6764A"/>
    <w:rsid w:val="75B66F85"/>
    <w:rsid w:val="77A4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875</Words>
  <Characters>969</Characters>
  <Lines>0</Lines>
  <Paragraphs>0</Paragraphs>
  <TotalTime>0</TotalTime>
  <ScaleCrop>false</ScaleCrop>
  <LinksUpToDate>false</LinksUpToDate>
  <CharactersWithSpaces>985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赖喵</cp:lastModifiedBy>
  <dcterms:modified xsi:type="dcterms:W3CDTF">2023-04-28T02:59:45Z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C598B03E33F04D1E82B1E05D29A87D97</vt:lpwstr>
  </property>
</Properties>
</file>