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Times New Roman" w:hAnsi="Times New Roman" w:eastAsia="方正小标宋简体" w:cs="Times New Roman"/>
          <w:color w:val="000000"/>
          <w:sz w:val="30"/>
          <w:szCs w:val="30"/>
        </w:rPr>
      </w:pPr>
      <w:r>
        <w:rPr>
          <w:rFonts w:hint="eastAsia" w:ascii="Times New Roman" w:hAnsi="Times New Roman" w:eastAsia="方正小标宋简体" w:cs="Times New Roman"/>
          <w:color w:val="000000"/>
          <w:sz w:val="30"/>
          <w:szCs w:val="30"/>
          <w:lang w:eastAsia="zh-CN"/>
        </w:rPr>
        <w:t>广州市荔湾区</w:t>
      </w:r>
      <w:r>
        <w:rPr>
          <w:rFonts w:ascii="Times New Roman" w:hAnsi="Times New Roman" w:eastAsia="方正小标宋简体" w:cs="Times New Roman"/>
          <w:color w:val="000000"/>
          <w:sz w:val="30"/>
          <w:szCs w:val="30"/>
        </w:rPr>
        <w:t>市场监督管理局蓄电池产品质量监督抽查实施</w:t>
      </w:r>
      <w:r>
        <w:rPr>
          <w:rFonts w:hint="eastAsia" w:ascii="Times New Roman" w:hAnsi="Times New Roman" w:eastAsia="方正小标宋简体" w:cs="Times New Roman"/>
          <w:color w:val="000000"/>
          <w:sz w:val="30"/>
          <w:szCs w:val="30"/>
        </w:rPr>
        <w:t>细则</w:t>
      </w:r>
    </w:p>
    <w:p>
      <w:pPr>
        <w:adjustRightInd w:val="0"/>
        <w:snapToGrid w:val="0"/>
        <w:spacing w:line="360" w:lineRule="auto"/>
        <w:rPr>
          <w:rFonts w:ascii="Times New Roman" w:hAnsi="Times New Roman" w:eastAsia="黑体" w:cs="Times New Roman"/>
          <w:szCs w:val="21"/>
        </w:rPr>
      </w:pPr>
    </w:p>
    <w:p>
      <w:pPr>
        <w:adjustRightInd w:val="0"/>
        <w:snapToGrid w:val="0"/>
        <w:spacing w:line="360" w:lineRule="auto"/>
        <w:rPr>
          <w:rFonts w:ascii="Times New Roman" w:hAnsi="Times New Roman" w:eastAsia="黑体" w:cs="Times New Roman"/>
          <w:szCs w:val="21"/>
        </w:rPr>
      </w:pPr>
      <w:r>
        <w:rPr>
          <w:rFonts w:ascii="Times New Roman" w:hAnsi="Times New Roman" w:eastAsia="黑体" w:cs="Times New Roman"/>
          <w:szCs w:val="21"/>
        </w:rPr>
        <w:t xml:space="preserve">1 </w:t>
      </w:r>
      <w:r>
        <w:rPr>
          <w:rFonts w:ascii="Times New Roman" w:hAnsi="Times New Roman" w:eastAsia="黑体" w:cs="Times New Roman"/>
          <w:color w:val="000000"/>
          <w:szCs w:val="21"/>
        </w:rPr>
        <w:t>抽样方法</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在企业的待销产品中随机抽取有产品质量检验合格证明或者以其他形式表明合格的、近期生产的产品。</w:t>
      </w:r>
    </w:p>
    <w:p>
      <w:pPr>
        <w:adjustRightInd w:val="0"/>
        <w:snapToGrid w:val="0"/>
        <w:spacing w:line="360" w:lineRule="auto"/>
        <w:ind w:firstLine="420"/>
        <w:rPr>
          <w:rFonts w:ascii="Times New Roman" w:hAnsi="Times New Roman" w:cs="Times New Roman"/>
          <w:color w:val="000000"/>
          <w:szCs w:val="21"/>
        </w:rPr>
      </w:pPr>
      <w:r>
        <w:rPr>
          <w:rFonts w:ascii="Times New Roman" w:hAnsi="Times New Roman" w:cs="Times New Roman"/>
          <w:color w:val="000000"/>
          <w:szCs w:val="21"/>
        </w:rPr>
        <w:t>抽查样品基数</w:t>
      </w:r>
      <w:r>
        <w:rPr>
          <w:rFonts w:hint="eastAsia" w:ascii="Times New Roman" w:hAnsi="Times New Roman" w:cs="Times New Roman"/>
          <w:color w:val="000000"/>
          <w:szCs w:val="21"/>
        </w:rPr>
        <w:t>应</w:t>
      </w:r>
      <w:r>
        <w:rPr>
          <w:rFonts w:ascii="Times New Roman" w:hAnsi="Times New Roman" w:cs="Times New Roman"/>
          <w:color w:val="000000"/>
          <w:szCs w:val="21"/>
        </w:rPr>
        <w:t>满足抽样数量</w:t>
      </w:r>
      <w:r>
        <w:rPr>
          <w:rFonts w:hint="eastAsia" w:ascii="Times New Roman" w:hAnsi="Times New Roman" w:cs="Times New Roman"/>
          <w:color w:val="000000"/>
          <w:szCs w:val="21"/>
        </w:rPr>
        <w:t>要求</w:t>
      </w:r>
      <w:r>
        <w:rPr>
          <w:rFonts w:ascii="Times New Roman" w:hAnsi="Times New Roman" w:cs="Times New Roman"/>
          <w:color w:val="000000"/>
          <w:szCs w:val="21"/>
        </w:rPr>
        <w:t>。</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电动助力车用密封铅酸蓄电池出厂时间3个月内；</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szCs w:val="21"/>
        </w:rPr>
        <w:t>每批次产品</w:t>
      </w:r>
      <w:bookmarkStart w:id="1" w:name="_GoBack"/>
      <w:bookmarkEnd w:id="1"/>
      <w:r>
        <w:rPr>
          <w:rFonts w:ascii="Times New Roman" w:hAnsi="Times New Roman" w:cs="Times New Roman"/>
          <w:szCs w:val="21"/>
        </w:rPr>
        <w:t>抽取16套，其中8套作为检验样品，8套作为备用样品。</w:t>
      </w:r>
      <w:r>
        <w:rPr>
          <w:rFonts w:ascii="Times New Roman" w:hAnsi="Times New Roman" w:cs="Times New Roman"/>
          <w:color w:val="000000"/>
          <w:szCs w:val="21"/>
        </w:rPr>
        <w:t>随机数一般可使用随机数表、随机数骰子或扑克牌等方法产生。</w:t>
      </w:r>
    </w:p>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rPr>
          <w:rFonts w:ascii="Times New Roman" w:hAnsi="Times New Roman" w:eastAsia="黑体" w:cs="Times New Roman"/>
          <w:color w:val="000000"/>
          <w:szCs w:val="21"/>
        </w:rPr>
      </w:pPr>
      <w:r>
        <w:rPr>
          <w:rFonts w:ascii="Times New Roman" w:hAnsi="Times New Roman" w:eastAsia="黑体" w:cs="Times New Roman"/>
          <w:color w:val="000000"/>
          <w:szCs w:val="21"/>
        </w:rPr>
        <w:t>2 检验依据</w:t>
      </w:r>
    </w:p>
    <w:p>
      <w:pPr>
        <w:adjustRightInd w:val="0"/>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本次抽查检验项目和检验方法依据见表1。</w:t>
      </w:r>
    </w:p>
    <w:p>
      <w:pPr>
        <w:adjustRightInd w:val="0"/>
        <w:snapToGrid w:val="0"/>
        <w:spacing w:line="360" w:lineRule="auto"/>
        <w:jc w:val="center"/>
        <w:rPr>
          <w:rFonts w:ascii="Times New Roman" w:hAnsi="Times New Roman" w:cs="Times New Roman"/>
          <w:szCs w:val="21"/>
        </w:rPr>
      </w:pPr>
      <w:r>
        <w:rPr>
          <w:rFonts w:ascii="Times New Roman" w:hAnsi="Times New Roman" w:cs="Times New Roman"/>
          <w:color w:val="000000"/>
          <w:szCs w:val="21"/>
        </w:rPr>
        <w:t>表</w:t>
      </w:r>
      <w:r>
        <w:rPr>
          <w:rFonts w:hint="eastAsia" w:ascii="Times New Roman" w:hAnsi="Times New Roman" w:cs="Times New Roman"/>
          <w:color w:val="000000"/>
          <w:szCs w:val="21"/>
          <w:lang w:val="en-US" w:eastAsia="zh-CN"/>
        </w:rPr>
        <w:t xml:space="preserve">1 </w:t>
      </w:r>
      <w:r>
        <w:rPr>
          <w:rFonts w:ascii="Times New Roman" w:hAnsi="Times New Roman" w:cs="Times New Roman"/>
          <w:szCs w:val="21"/>
        </w:rPr>
        <w:t>电动自行车用蓄电池</w:t>
      </w:r>
      <w:r>
        <w:rPr>
          <w:rFonts w:ascii="Times New Roman" w:hAnsi="Times New Roman" w:cs="Times New Roman"/>
          <w:color w:val="000000"/>
          <w:szCs w:val="21"/>
        </w:rPr>
        <w:t>检验项目</w:t>
      </w:r>
    </w:p>
    <w:tbl>
      <w:tblPr>
        <w:tblStyle w:val="3"/>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630"/>
        <w:gridCol w:w="2557"/>
        <w:gridCol w:w="2987"/>
        <w:gridCol w:w="965"/>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6" w:type="dxa"/>
            <w:vMerge w:val="restart"/>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序号</w:t>
            </w:r>
          </w:p>
        </w:tc>
        <w:tc>
          <w:tcPr>
            <w:tcW w:w="1630" w:type="dxa"/>
            <w:vMerge w:val="restart"/>
            <w:vAlign w:val="center"/>
          </w:tcPr>
          <w:p>
            <w:pPr>
              <w:adjustRightInd w:val="0"/>
              <w:snapToGrid w:val="0"/>
              <w:spacing w:line="360" w:lineRule="auto"/>
              <w:jc w:val="center"/>
              <w:rPr>
                <w:rFonts w:ascii="Times New Roman" w:hAnsi="Times New Roman" w:cs="Times New Roman"/>
                <w:szCs w:val="21"/>
              </w:rPr>
            </w:pPr>
            <w:r>
              <w:rPr>
                <w:rFonts w:ascii="Times New Roman" w:hAnsi="Times New Roman" w:cs="Times New Roman"/>
                <w:color w:val="000000"/>
                <w:szCs w:val="21"/>
              </w:rPr>
              <w:t>检验项目</w:t>
            </w:r>
          </w:p>
        </w:tc>
        <w:tc>
          <w:tcPr>
            <w:tcW w:w="2557" w:type="dxa"/>
            <w:vMerge w:val="restart"/>
            <w:vAlign w:val="center"/>
          </w:tcPr>
          <w:p>
            <w:pPr>
              <w:adjustRightInd w:val="0"/>
              <w:snapToGrid w:val="0"/>
              <w:spacing w:line="360" w:lineRule="auto"/>
              <w:jc w:val="center"/>
              <w:rPr>
                <w:rFonts w:ascii="Times New Roman" w:hAnsi="Times New Roman" w:cs="Times New Roman"/>
                <w:szCs w:val="21"/>
              </w:rPr>
            </w:pPr>
            <w:r>
              <w:rPr>
                <w:rFonts w:ascii="Times New Roman" w:hAnsi="Times New Roman" w:cs="Times New Roman"/>
                <w:color w:val="000000"/>
                <w:szCs w:val="21"/>
              </w:rPr>
              <w:t>检验依据</w:t>
            </w:r>
          </w:p>
        </w:tc>
        <w:tc>
          <w:tcPr>
            <w:tcW w:w="2987" w:type="dxa"/>
            <w:vMerge w:val="restart"/>
            <w:vAlign w:val="center"/>
          </w:tcPr>
          <w:p>
            <w:pPr>
              <w:adjustRightInd w:val="0"/>
              <w:snapToGrid w:val="0"/>
              <w:spacing w:line="360" w:lineRule="auto"/>
              <w:jc w:val="center"/>
              <w:rPr>
                <w:rFonts w:ascii="Times New Roman" w:hAnsi="Times New Roman" w:cs="Times New Roman"/>
                <w:szCs w:val="21"/>
              </w:rPr>
            </w:pPr>
            <w:r>
              <w:rPr>
                <w:rFonts w:ascii="Times New Roman" w:hAnsi="Times New Roman" w:cs="Times New Roman"/>
                <w:color w:val="000000"/>
                <w:szCs w:val="21"/>
              </w:rPr>
              <w:t>检验方法</w:t>
            </w:r>
          </w:p>
        </w:tc>
        <w:tc>
          <w:tcPr>
            <w:tcW w:w="1904" w:type="dxa"/>
            <w:gridSpan w:val="2"/>
            <w:vAlign w:val="center"/>
          </w:tcPr>
          <w:p>
            <w:pPr>
              <w:adjustRightInd w:val="0"/>
              <w:snapToGrid w:val="0"/>
              <w:spacing w:line="360" w:lineRule="auto"/>
              <w:jc w:val="center"/>
              <w:rPr>
                <w:rFonts w:ascii="Times New Roman" w:hAnsi="Times New Roman" w:cs="Times New Roman"/>
                <w:szCs w:val="21"/>
              </w:rPr>
            </w:pPr>
            <w:r>
              <w:rPr>
                <w:rFonts w:ascii="Times New Roman" w:hAnsi="Times New Roman" w:cs="Times New Roman"/>
                <w:color w:val="000000"/>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776" w:type="dxa"/>
            <w:vMerge w:val="continue"/>
          </w:tcPr>
          <w:p>
            <w:pPr>
              <w:adjustRightInd w:val="0"/>
              <w:snapToGrid w:val="0"/>
              <w:rPr>
                <w:rFonts w:ascii="Times New Roman" w:hAnsi="Times New Roman" w:cs="Times New Roman"/>
                <w:szCs w:val="21"/>
              </w:rPr>
            </w:pPr>
          </w:p>
        </w:tc>
        <w:tc>
          <w:tcPr>
            <w:tcW w:w="1630" w:type="dxa"/>
            <w:vMerge w:val="continue"/>
            <w:vAlign w:val="center"/>
          </w:tcPr>
          <w:p>
            <w:pPr>
              <w:adjustRightInd w:val="0"/>
              <w:snapToGrid w:val="0"/>
              <w:spacing w:line="360" w:lineRule="auto"/>
              <w:jc w:val="center"/>
              <w:rPr>
                <w:rFonts w:ascii="Times New Roman" w:hAnsi="Times New Roman" w:cs="Times New Roman"/>
                <w:szCs w:val="21"/>
              </w:rPr>
            </w:pPr>
          </w:p>
        </w:tc>
        <w:tc>
          <w:tcPr>
            <w:tcW w:w="2557" w:type="dxa"/>
            <w:vMerge w:val="continue"/>
            <w:vAlign w:val="center"/>
          </w:tcPr>
          <w:p>
            <w:pPr>
              <w:adjustRightInd w:val="0"/>
              <w:snapToGrid w:val="0"/>
              <w:spacing w:line="360" w:lineRule="auto"/>
              <w:jc w:val="center"/>
              <w:rPr>
                <w:rFonts w:ascii="Times New Roman" w:hAnsi="Times New Roman" w:cs="Times New Roman"/>
                <w:szCs w:val="21"/>
              </w:rPr>
            </w:pPr>
          </w:p>
        </w:tc>
        <w:tc>
          <w:tcPr>
            <w:tcW w:w="2987" w:type="dxa"/>
            <w:vMerge w:val="continue"/>
            <w:vAlign w:val="center"/>
          </w:tcPr>
          <w:p>
            <w:pPr>
              <w:adjustRightInd w:val="0"/>
              <w:snapToGrid w:val="0"/>
              <w:spacing w:line="360" w:lineRule="auto"/>
              <w:jc w:val="center"/>
              <w:rPr>
                <w:rFonts w:ascii="Times New Roman" w:hAnsi="Times New Roman" w:cs="Times New Roman"/>
                <w:szCs w:val="21"/>
              </w:rPr>
            </w:pPr>
          </w:p>
        </w:tc>
        <w:tc>
          <w:tcPr>
            <w:tcW w:w="965" w:type="dxa"/>
            <w:vAlign w:val="center"/>
          </w:tcPr>
          <w:p>
            <w:pPr>
              <w:adjustRightInd w:val="0"/>
              <w:snapToGrid w:val="0"/>
              <w:spacing w:line="360" w:lineRule="auto"/>
              <w:jc w:val="center"/>
              <w:rPr>
                <w:rFonts w:ascii="Times New Roman" w:hAnsi="Times New Roman" w:cs="Times New Roman"/>
                <w:szCs w:val="21"/>
              </w:rPr>
            </w:pPr>
            <w:r>
              <w:rPr>
                <w:rFonts w:ascii="Times New Roman" w:hAnsi="Times New Roman" w:cs="Times New Roman"/>
                <w:color w:val="000000"/>
                <w:szCs w:val="21"/>
              </w:rPr>
              <w:t>A类</w:t>
            </w:r>
            <w:r>
              <w:rPr>
                <w:rFonts w:ascii="Times New Roman" w:hAnsi="Times New Roman" w:cs="Times New Roman"/>
                <w:color w:val="000000"/>
                <w:szCs w:val="21"/>
                <w:vertAlign w:val="superscript"/>
              </w:rPr>
              <w:t>a</w:t>
            </w:r>
          </w:p>
        </w:tc>
        <w:tc>
          <w:tcPr>
            <w:tcW w:w="939" w:type="dxa"/>
            <w:vAlign w:val="center"/>
          </w:tcPr>
          <w:p>
            <w:pPr>
              <w:adjustRightInd w:val="0"/>
              <w:snapToGrid w:val="0"/>
              <w:spacing w:line="360" w:lineRule="auto"/>
              <w:jc w:val="center"/>
              <w:rPr>
                <w:rFonts w:ascii="Times New Roman" w:hAnsi="Times New Roman" w:cs="Times New Roman"/>
                <w:szCs w:val="21"/>
              </w:rPr>
            </w:pPr>
            <w:r>
              <w:rPr>
                <w:rFonts w:ascii="Times New Roman" w:hAnsi="Times New Roman" w:cs="Times New Roman"/>
                <w:color w:val="000000"/>
                <w:szCs w:val="21"/>
              </w:rPr>
              <w:t>B类</w:t>
            </w:r>
            <w:r>
              <w:rPr>
                <w:rFonts w:ascii="Times New Roman" w:hAnsi="Times New Roman" w:cs="Times New Roman"/>
                <w:color w:val="000000"/>
                <w:szCs w:val="21"/>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jc w:val="center"/>
        </w:trPr>
        <w:tc>
          <w:tcPr>
            <w:tcW w:w="77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1</w:t>
            </w:r>
          </w:p>
        </w:tc>
        <w:tc>
          <w:tcPr>
            <w:tcW w:w="1630" w:type="dxa"/>
            <w:vAlign w:val="center"/>
          </w:tcPr>
          <w:p>
            <w:pPr>
              <w:widowControl/>
              <w:jc w:val="center"/>
              <w:textAlignment w:val="center"/>
              <w:rPr>
                <w:rFonts w:ascii="Times New Roman" w:hAnsi="Times New Roman" w:cs="Times New Roman"/>
                <w:szCs w:val="21"/>
              </w:rPr>
            </w:pPr>
            <w:r>
              <w:rPr>
                <w:rFonts w:ascii="Times New Roman" w:hAnsi="Times New Roman" w:eastAsia="宋体" w:cs="Times New Roman"/>
                <w:color w:val="000000"/>
                <w:kern w:val="0"/>
                <w:szCs w:val="21"/>
              </w:rPr>
              <w:t>2hr容量试验</w:t>
            </w:r>
          </w:p>
        </w:tc>
        <w:tc>
          <w:tcPr>
            <w:tcW w:w="2557" w:type="dxa"/>
            <w:vMerge w:val="restart"/>
            <w:vAlign w:val="center"/>
          </w:tcPr>
          <w:p>
            <w:pPr>
              <w:jc w:val="center"/>
              <w:rPr>
                <w:rFonts w:ascii="Times New Roman" w:hAnsi="Times New Roman" w:cs="Times New Roman"/>
                <w:szCs w:val="21"/>
              </w:rPr>
            </w:pPr>
            <w:r>
              <w:rPr>
                <w:rFonts w:ascii="Times New Roman" w:hAnsi="Times New Roman" w:cs="Times New Roman"/>
                <w:szCs w:val="21"/>
              </w:rPr>
              <w:t>GB/T 22199.1-2017</w:t>
            </w:r>
          </w:p>
        </w:tc>
        <w:tc>
          <w:tcPr>
            <w:tcW w:w="2987" w:type="dxa"/>
            <w:vMerge w:val="restart"/>
            <w:vAlign w:val="center"/>
          </w:tcPr>
          <w:p>
            <w:pPr>
              <w:jc w:val="center"/>
              <w:rPr>
                <w:rFonts w:ascii="Times New Roman" w:hAnsi="Times New Roman" w:cs="Times New Roman"/>
                <w:szCs w:val="21"/>
              </w:rPr>
            </w:pPr>
            <w:r>
              <w:rPr>
                <w:rFonts w:ascii="Times New Roman" w:hAnsi="Times New Roman" w:cs="Times New Roman"/>
                <w:szCs w:val="21"/>
              </w:rPr>
              <w:t>GB/T 22199.1-2017</w:t>
            </w:r>
          </w:p>
        </w:tc>
        <w:tc>
          <w:tcPr>
            <w:tcW w:w="965"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w:t>
            </w:r>
          </w:p>
        </w:tc>
        <w:tc>
          <w:tcPr>
            <w:tcW w:w="939" w:type="dxa"/>
            <w:vAlign w:val="center"/>
          </w:tcPr>
          <w:p>
            <w:pPr>
              <w:adjustRightInd w:val="0"/>
              <w:snapToGrid w:val="0"/>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jc w:val="center"/>
        </w:trPr>
        <w:tc>
          <w:tcPr>
            <w:tcW w:w="77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2</w:t>
            </w:r>
          </w:p>
        </w:tc>
        <w:tc>
          <w:tcPr>
            <w:tcW w:w="1630" w:type="dxa"/>
            <w:vAlign w:val="center"/>
          </w:tcPr>
          <w:p>
            <w:pPr>
              <w:widowControl/>
              <w:jc w:val="center"/>
              <w:textAlignment w:val="center"/>
              <w:rPr>
                <w:rFonts w:ascii="Times New Roman" w:hAnsi="Times New Roman" w:cs="Times New Roman"/>
                <w:szCs w:val="21"/>
              </w:rPr>
            </w:pPr>
            <w:r>
              <w:rPr>
                <w:rFonts w:ascii="Times New Roman" w:hAnsi="Times New Roman" w:eastAsia="宋体" w:cs="Times New Roman"/>
                <w:color w:val="000000"/>
                <w:kern w:val="0"/>
                <w:szCs w:val="21"/>
              </w:rPr>
              <w:t>低温容量试验</w:t>
            </w:r>
          </w:p>
        </w:tc>
        <w:tc>
          <w:tcPr>
            <w:tcW w:w="2557" w:type="dxa"/>
            <w:vMerge w:val="continue"/>
            <w:vAlign w:val="center"/>
          </w:tcPr>
          <w:p>
            <w:pPr>
              <w:rPr>
                <w:rFonts w:ascii="Times New Roman" w:hAnsi="Times New Roman" w:cs="Times New Roman"/>
                <w:szCs w:val="21"/>
              </w:rPr>
            </w:pPr>
          </w:p>
        </w:tc>
        <w:tc>
          <w:tcPr>
            <w:tcW w:w="2987" w:type="dxa"/>
            <w:vMerge w:val="continue"/>
            <w:vAlign w:val="center"/>
          </w:tcPr>
          <w:p>
            <w:pPr>
              <w:rPr>
                <w:rFonts w:ascii="Times New Roman" w:hAnsi="Times New Roman" w:cs="Times New Roman"/>
                <w:szCs w:val="21"/>
              </w:rPr>
            </w:pPr>
          </w:p>
        </w:tc>
        <w:tc>
          <w:tcPr>
            <w:tcW w:w="965"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w:t>
            </w:r>
          </w:p>
        </w:tc>
        <w:tc>
          <w:tcPr>
            <w:tcW w:w="939" w:type="dxa"/>
            <w:vAlign w:val="center"/>
          </w:tcPr>
          <w:p>
            <w:pPr>
              <w:adjustRightInd w:val="0"/>
              <w:snapToGrid w:val="0"/>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jc w:val="center"/>
        </w:trPr>
        <w:tc>
          <w:tcPr>
            <w:tcW w:w="776"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3</w:t>
            </w:r>
          </w:p>
        </w:tc>
        <w:tc>
          <w:tcPr>
            <w:tcW w:w="1630" w:type="dxa"/>
            <w:vAlign w:val="center"/>
          </w:tcPr>
          <w:p>
            <w:pPr>
              <w:widowControl/>
              <w:jc w:val="center"/>
              <w:textAlignment w:val="center"/>
              <w:rPr>
                <w:rFonts w:ascii="Times New Roman" w:hAnsi="Times New Roman" w:cs="Times New Roman"/>
                <w:szCs w:val="21"/>
              </w:rPr>
            </w:pPr>
            <w:r>
              <w:rPr>
                <w:rFonts w:ascii="Times New Roman" w:hAnsi="Times New Roman" w:eastAsia="宋体" w:cs="Times New Roman"/>
                <w:color w:val="000000"/>
                <w:kern w:val="0"/>
                <w:szCs w:val="21"/>
              </w:rPr>
              <w:t>大电流放电试验</w:t>
            </w:r>
          </w:p>
        </w:tc>
        <w:tc>
          <w:tcPr>
            <w:tcW w:w="2557" w:type="dxa"/>
            <w:vMerge w:val="continue"/>
            <w:vAlign w:val="center"/>
          </w:tcPr>
          <w:p>
            <w:pPr>
              <w:rPr>
                <w:rFonts w:ascii="Times New Roman" w:hAnsi="Times New Roman" w:cs="Times New Roman"/>
                <w:szCs w:val="21"/>
              </w:rPr>
            </w:pPr>
          </w:p>
        </w:tc>
        <w:tc>
          <w:tcPr>
            <w:tcW w:w="2987" w:type="dxa"/>
            <w:vMerge w:val="continue"/>
            <w:vAlign w:val="center"/>
          </w:tcPr>
          <w:p>
            <w:pPr>
              <w:rPr>
                <w:rFonts w:ascii="Times New Roman" w:hAnsi="Times New Roman" w:cs="Times New Roman"/>
                <w:szCs w:val="21"/>
              </w:rPr>
            </w:pPr>
          </w:p>
        </w:tc>
        <w:tc>
          <w:tcPr>
            <w:tcW w:w="965" w:type="dxa"/>
            <w:vAlign w:val="center"/>
          </w:tcPr>
          <w:p>
            <w:pPr>
              <w:adjustRightInd w:val="0"/>
              <w:snapToGrid w:val="0"/>
              <w:jc w:val="center"/>
              <w:rPr>
                <w:rFonts w:ascii="Times New Roman" w:hAnsi="Times New Roman" w:cs="Times New Roman"/>
                <w:szCs w:val="21"/>
              </w:rPr>
            </w:pPr>
          </w:p>
        </w:tc>
        <w:tc>
          <w:tcPr>
            <w:tcW w:w="93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jc w:val="center"/>
        </w:trPr>
        <w:tc>
          <w:tcPr>
            <w:tcW w:w="776" w:type="dxa"/>
            <w:vAlign w:val="center"/>
          </w:tcPr>
          <w:p>
            <w:pPr>
              <w:adjustRightInd w:val="0"/>
              <w:snapToGrid w:val="0"/>
              <w:jc w:val="center"/>
              <w:rPr>
                <w:rFonts w:ascii="Times New Roman" w:hAnsi="Times New Roman" w:cs="Times New Roman"/>
                <w:szCs w:val="21"/>
              </w:rPr>
            </w:pPr>
            <w:r>
              <w:rPr>
                <w:rFonts w:hint="eastAsia" w:ascii="Times New Roman" w:hAnsi="Times New Roman" w:cs="Times New Roman"/>
                <w:szCs w:val="21"/>
              </w:rPr>
              <w:t>4</w:t>
            </w:r>
          </w:p>
        </w:tc>
        <w:tc>
          <w:tcPr>
            <w:tcW w:w="1630" w:type="dxa"/>
            <w:vAlign w:val="center"/>
          </w:tcPr>
          <w:p>
            <w:pPr>
              <w:widowControl/>
              <w:jc w:val="center"/>
              <w:textAlignment w:val="center"/>
              <w:rPr>
                <w:rFonts w:ascii="Times New Roman" w:hAnsi="Times New Roman" w:cs="Times New Roman"/>
                <w:szCs w:val="21"/>
              </w:rPr>
            </w:pPr>
            <w:r>
              <w:rPr>
                <w:rFonts w:ascii="Times New Roman" w:hAnsi="Times New Roman" w:eastAsia="宋体" w:cs="Times New Roman"/>
                <w:color w:val="000000"/>
                <w:kern w:val="0"/>
                <w:szCs w:val="21"/>
              </w:rPr>
              <w:t>尺寸检查</w:t>
            </w:r>
          </w:p>
        </w:tc>
        <w:tc>
          <w:tcPr>
            <w:tcW w:w="2557" w:type="dxa"/>
            <w:vMerge w:val="continue"/>
            <w:vAlign w:val="center"/>
          </w:tcPr>
          <w:p>
            <w:pPr>
              <w:rPr>
                <w:rFonts w:ascii="Times New Roman" w:hAnsi="Times New Roman" w:cs="Times New Roman"/>
                <w:szCs w:val="21"/>
              </w:rPr>
            </w:pPr>
          </w:p>
        </w:tc>
        <w:tc>
          <w:tcPr>
            <w:tcW w:w="2987" w:type="dxa"/>
            <w:vMerge w:val="continue"/>
            <w:vAlign w:val="center"/>
          </w:tcPr>
          <w:p>
            <w:pPr>
              <w:rPr>
                <w:rFonts w:ascii="Times New Roman" w:hAnsi="Times New Roman" w:cs="Times New Roman"/>
                <w:szCs w:val="21"/>
              </w:rPr>
            </w:pPr>
          </w:p>
        </w:tc>
        <w:tc>
          <w:tcPr>
            <w:tcW w:w="965" w:type="dxa"/>
            <w:vAlign w:val="center"/>
          </w:tcPr>
          <w:p>
            <w:pPr>
              <w:adjustRightInd w:val="0"/>
              <w:snapToGrid w:val="0"/>
              <w:jc w:val="center"/>
              <w:rPr>
                <w:rFonts w:ascii="Times New Roman" w:hAnsi="Times New Roman" w:cs="Times New Roman"/>
                <w:szCs w:val="21"/>
              </w:rPr>
            </w:pPr>
          </w:p>
        </w:tc>
        <w:tc>
          <w:tcPr>
            <w:tcW w:w="93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jc w:val="center"/>
        </w:trPr>
        <w:tc>
          <w:tcPr>
            <w:tcW w:w="776" w:type="dxa"/>
            <w:vAlign w:val="center"/>
          </w:tcPr>
          <w:p>
            <w:pPr>
              <w:adjustRightInd w:val="0"/>
              <w:snapToGrid w:val="0"/>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5</w:t>
            </w:r>
          </w:p>
        </w:tc>
        <w:tc>
          <w:tcPr>
            <w:tcW w:w="1630" w:type="dxa"/>
            <w:vAlign w:val="center"/>
          </w:tcPr>
          <w:p>
            <w:pPr>
              <w:widowControl/>
              <w:jc w:val="center"/>
              <w:textAlignment w:val="center"/>
              <w:rPr>
                <w:rFonts w:ascii="Times New Roman" w:hAnsi="Times New Roman" w:cs="Times New Roman"/>
                <w:szCs w:val="21"/>
              </w:rPr>
            </w:pPr>
            <w:r>
              <w:rPr>
                <w:rFonts w:ascii="Times New Roman" w:hAnsi="Times New Roman" w:eastAsia="宋体" w:cs="Times New Roman"/>
                <w:color w:val="000000"/>
                <w:kern w:val="0"/>
                <w:szCs w:val="21"/>
              </w:rPr>
              <w:t>快速充电能力试验</w:t>
            </w:r>
          </w:p>
        </w:tc>
        <w:tc>
          <w:tcPr>
            <w:tcW w:w="2557" w:type="dxa"/>
            <w:vMerge w:val="continue"/>
            <w:vAlign w:val="center"/>
          </w:tcPr>
          <w:p>
            <w:pPr>
              <w:rPr>
                <w:rFonts w:ascii="Times New Roman" w:hAnsi="Times New Roman" w:cs="Times New Roman"/>
                <w:szCs w:val="21"/>
              </w:rPr>
            </w:pPr>
          </w:p>
        </w:tc>
        <w:tc>
          <w:tcPr>
            <w:tcW w:w="2987" w:type="dxa"/>
            <w:vMerge w:val="continue"/>
            <w:vAlign w:val="center"/>
          </w:tcPr>
          <w:p>
            <w:pPr>
              <w:rPr>
                <w:rFonts w:ascii="Times New Roman" w:hAnsi="Times New Roman" w:cs="Times New Roman"/>
                <w:szCs w:val="21"/>
              </w:rPr>
            </w:pPr>
          </w:p>
        </w:tc>
        <w:tc>
          <w:tcPr>
            <w:tcW w:w="965" w:type="dxa"/>
            <w:vAlign w:val="center"/>
          </w:tcPr>
          <w:p>
            <w:pPr>
              <w:adjustRightInd w:val="0"/>
              <w:snapToGrid w:val="0"/>
              <w:jc w:val="center"/>
              <w:rPr>
                <w:rFonts w:ascii="Times New Roman" w:hAnsi="Times New Roman" w:cs="Times New Roman"/>
                <w:szCs w:val="21"/>
              </w:rPr>
            </w:pPr>
          </w:p>
        </w:tc>
        <w:tc>
          <w:tcPr>
            <w:tcW w:w="93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jc w:val="center"/>
        </w:trPr>
        <w:tc>
          <w:tcPr>
            <w:tcW w:w="776" w:type="dxa"/>
            <w:vAlign w:val="center"/>
          </w:tcPr>
          <w:p>
            <w:pPr>
              <w:adjustRightInd w:val="0"/>
              <w:snapToGrid w:val="0"/>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6</w:t>
            </w:r>
          </w:p>
        </w:tc>
        <w:tc>
          <w:tcPr>
            <w:tcW w:w="1630" w:type="dxa"/>
            <w:vAlign w:val="center"/>
          </w:tcPr>
          <w:p>
            <w:pPr>
              <w:widowControl/>
              <w:jc w:val="center"/>
              <w:textAlignment w:val="center"/>
              <w:rPr>
                <w:rFonts w:ascii="Times New Roman" w:hAnsi="Times New Roman" w:cs="Times New Roman"/>
                <w:szCs w:val="21"/>
              </w:rPr>
            </w:pPr>
            <w:r>
              <w:rPr>
                <w:rFonts w:ascii="Times New Roman" w:hAnsi="Times New Roman" w:eastAsia="宋体" w:cs="Times New Roman"/>
                <w:color w:val="000000"/>
                <w:kern w:val="0"/>
                <w:szCs w:val="21"/>
              </w:rPr>
              <w:t>恒功率放电能力试验</w:t>
            </w:r>
          </w:p>
        </w:tc>
        <w:tc>
          <w:tcPr>
            <w:tcW w:w="2557" w:type="dxa"/>
            <w:vMerge w:val="continue"/>
            <w:vAlign w:val="center"/>
          </w:tcPr>
          <w:p>
            <w:pPr>
              <w:rPr>
                <w:rFonts w:ascii="Times New Roman" w:hAnsi="Times New Roman" w:cs="Times New Roman"/>
                <w:szCs w:val="21"/>
              </w:rPr>
            </w:pPr>
          </w:p>
        </w:tc>
        <w:tc>
          <w:tcPr>
            <w:tcW w:w="2987" w:type="dxa"/>
            <w:vMerge w:val="continue"/>
            <w:vAlign w:val="center"/>
          </w:tcPr>
          <w:p>
            <w:pPr>
              <w:rPr>
                <w:rFonts w:ascii="Times New Roman" w:hAnsi="Times New Roman" w:cs="Times New Roman"/>
                <w:szCs w:val="21"/>
              </w:rPr>
            </w:pPr>
          </w:p>
        </w:tc>
        <w:tc>
          <w:tcPr>
            <w:tcW w:w="965" w:type="dxa"/>
            <w:vAlign w:val="center"/>
          </w:tcPr>
          <w:p>
            <w:pPr>
              <w:adjustRightInd w:val="0"/>
              <w:snapToGrid w:val="0"/>
              <w:jc w:val="center"/>
              <w:rPr>
                <w:rFonts w:ascii="Times New Roman" w:hAnsi="Times New Roman" w:cs="Times New Roman"/>
                <w:szCs w:val="21"/>
              </w:rPr>
            </w:pPr>
          </w:p>
        </w:tc>
        <w:tc>
          <w:tcPr>
            <w:tcW w:w="93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jc w:val="center"/>
        </w:trPr>
        <w:tc>
          <w:tcPr>
            <w:tcW w:w="776" w:type="dxa"/>
            <w:vAlign w:val="center"/>
          </w:tcPr>
          <w:p>
            <w:pPr>
              <w:adjustRightInd w:val="0"/>
              <w:snapToGrid w:val="0"/>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7</w:t>
            </w:r>
          </w:p>
        </w:tc>
        <w:tc>
          <w:tcPr>
            <w:tcW w:w="1630" w:type="dxa"/>
            <w:vAlign w:val="center"/>
          </w:tcPr>
          <w:p>
            <w:pPr>
              <w:widowControl/>
              <w:jc w:val="center"/>
              <w:textAlignment w:val="center"/>
              <w:rPr>
                <w:rFonts w:ascii="Times New Roman" w:hAnsi="Times New Roman" w:cs="Times New Roman"/>
                <w:szCs w:val="21"/>
              </w:rPr>
            </w:pPr>
            <w:r>
              <w:rPr>
                <w:rFonts w:ascii="Times New Roman" w:hAnsi="Times New Roman" w:eastAsia="宋体" w:cs="Times New Roman"/>
                <w:color w:val="000000"/>
                <w:kern w:val="0"/>
                <w:szCs w:val="21"/>
              </w:rPr>
              <w:t>耐振动能力试验</w:t>
            </w:r>
          </w:p>
        </w:tc>
        <w:tc>
          <w:tcPr>
            <w:tcW w:w="2557" w:type="dxa"/>
            <w:vMerge w:val="continue"/>
            <w:vAlign w:val="center"/>
          </w:tcPr>
          <w:p>
            <w:pPr>
              <w:rPr>
                <w:rFonts w:ascii="Times New Roman" w:hAnsi="Times New Roman" w:cs="Times New Roman"/>
                <w:szCs w:val="21"/>
              </w:rPr>
            </w:pPr>
          </w:p>
        </w:tc>
        <w:tc>
          <w:tcPr>
            <w:tcW w:w="2987" w:type="dxa"/>
            <w:vMerge w:val="continue"/>
            <w:vAlign w:val="center"/>
          </w:tcPr>
          <w:p>
            <w:pPr>
              <w:rPr>
                <w:rFonts w:ascii="Times New Roman" w:hAnsi="Times New Roman" w:cs="Times New Roman"/>
                <w:szCs w:val="21"/>
              </w:rPr>
            </w:pPr>
          </w:p>
        </w:tc>
        <w:tc>
          <w:tcPr>
            <w:tcW w:w="965"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w:t>
            </w:r>
          </w:p>
        </w:tc>
        <w:tc>
          <w:tcPr>
            <w:tcW w:w="939" w:type="dxa"/>
            <w:vAlign w:val="center"/>
          </w:tcPr>
          <w:p>
            <w:pPr>
              <w:adjustRightInd w:val="0"/>
              <w:snapToGrid w:val="0"/>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jc w:val="center"/>
        </w:trPr>
        <w:tc>
          <w:tcPr>
            <w:tcW w:w="776" w:type="dxa"/>
            <w:vAlign w:val="center"/>
          </w:tcPr>
          <w:p>
            <w:pPr>
              <w:adjustRightInd w:val="0"/>
              <w:snapToGrid w:val="0"/>
              <w:jc w:val="center"/>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8</w:t>
            </w:r>
          </w:p>
        </w:tc>
        <w:tc>
          <w:tcPr>
            <w:tcW w:w="1630" w:type="dxa"/>
            <w:vAlign w:val="center"/>
          </w:tcPr>
          <w:p>
            <w:pPr>
              <w:widowControl/>
              <w:jc w:val="center"/>
              <w:textAlignment w:val="center"/>
              <w:rPr>
                <w:rFonts w:ascii="Times New Roman" w:hAnsi="Times New Roman" w:cs="Times New Roman"/>
                <w:szCs w:val="21"/>
              </w:rPr>
            </w:pPr>
            <w:r>
              <w:rPr>
                <w:rFonts w:ascii="Times New Roman" w:hAnsi="Times New Roman" w:eastAsia="宋体" w:cs="Times New Roman"/>
                <w:color w:val="000000"/>
                <w:kern w:val="0"/>
                <w:szCs w:val="21"/>
              </w:rPr>
              <w:t>能量密度试验</w:t>
            </w:r>
          </w:p>
        </w:tc>
        <w:tc>
          <w:tcPr>
            <w:tcW w:w="2557" w:type="dxa"/>
            <w:vMerge w:val="continue"/>
            <w:vAlign w:val="center"/>
          </w:tcPr>
          <w:p>
            <w:pPr>
              <w:rPr>
                <w:rFonts w:ascii="Times New Roman" w:hAnsi="Times New Roman" w:cs="Times New Roman"/>
                <w:szCs w:val="21"/>
              </w:rPr>
            </w:pPr>
          </w:p>
        </w:tc>
        <w:tc>
          <w:tcPr>
            <w:tcW w:w="2987" w:type="dxa"/>
            <w:vMerge w:val="continue"/>
            <w:vAlign w:val="center"/>
          </w:tcPr>
          <w:p>
            <w:pPr>
              <w:rPr>
                <w:rFonts w:ascii="Times New Roman" w:hAnsi="Times New Roman" w:cs="Times New Roman"/>
                <w:szCs w:val="21"/>
              </w:rPr>
            </w:pPr>
          </w:p>
        </w:tc>
        <w:tc>
          <w:tcPr>
            <w:tcW w:w="965" w:type="dxa"/>
            <w:vAlign w:val="center"/>
          </w:tcPr>
          <w:p>
            <w:pPr>
              <w:adjustRightInd w:val="0"/>
              <w:snapToGrid w:val="0"/>
              <w:jc w:val="center"/>
              <w:rPr>
                <w:rFonts w:ascii="Times New Roman" w:hAnsi="Times New Roman" w:cs="Times New Roman"/>
                <w:szCs w:val="21"/>
              </w:rPr>
            </w:pPr>
          </w:p>
        </w:tc>
        <w:tc>
          <w:tcPr>
            <w:tcW w:w="939" w:type="dxa"/>
            <w:vAlign w:val="center"/>
          </w:tcPr>
          <w:p>
            <w:pPr>
              <w:adjustRightInd w:val="0"/>
              <w:snapToGrid w:val="0"/>
              <w:jc w:val="center"/>
              <w:rPr>
                <w:rFonts w:ascii="Times New Roman" w:hAnsi="Times New Roman" w:cs="Times New Roman"/>
                <w:szCs w:val="21"/>
              </w:rPr>
            </w:pPr>
            <w:r>
              <w:rPr>
                <w:rFonts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jc w:val="center"/>
        </w:trPr>
        <w:tc>
          <w:tcPr>
            <w:tcW w:w="9854" w:type="dxa"/>
            <w:gridSpan w:val="6"/>
            <w:vAlign w:val="center"/>
          </w:tcPr>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a极重要质量项目。</w:t>
            </w:r>
          </w:p>
          <w:p>
            <w:pPr>
              <w:adjustRightInd w:val="0"/>
              <w:snapToGrid w:val="0"/>
              <w:rPr>
                <w:rFonts w:ascii="Times New Roman" w:hAnsi="Times New Roman" w:cs="Times New Roman"/>
                <w:szCs w:val="21"/>
              </w:rPr>
            </w:pPr>
            <w:r>
              <w:rPr>
                <w:rFonts w:ascii="Times New Roman" w:hAnsi="Times New Roman" w:cs="Times New Roman"/>
                <w:color w:val="000000"/>
                <w:szCs w:val="21"/>
              </w:rPr>
              <w:t>b重要质量项目。</w:t>
            </w:r>
          </w:p>
        </w:tc>
      </w:tr>
    </w:tbl>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凡是注日期的文件，其随后所有的修改单（不包括勘误的内容）或修订版不适用于本</w:t>
      </w:r>
      <w:r>
        <w:rPr>
          <w:rFonts w:hint="eastAsia" w:ascii="Times New Roman" w:hAnsi="Times New Roman" w:cs="Times New Roman"/>
          <w:color w:val="000000"/>
          <w:szCs w:val="21"/>
        </w:rPr>
        <w:t>细则</w:t>
      </w:r>
      <w:r>
        <w:rPr>
          <w:rFonts w:ascii="Times New Roman" w:hAnsi="Times New Roman" w:cs="Times New Roman"/>
          <w:color w:val="000000"/>
          <w:szCs w:val="21"/>
        </w:rPr>
        <w:t>。凡是不注日期的文件，其最新版本适用于本</w:t>
      </w:r>
      <w:r>
        <w:rPr>
          <w:rFonts w:hint="eastAsia" w:ascii="Times New Roman" w:hAnsi="Times New Roman" w:cs="Times New Roman"/>
          <w:color w:val="000000"/>
          <w:szCs w:val="21"/>
        </w:rPr>
        <w:t>细则</w:t>
      </w:r>
      <w:r>
        <w:rPr>
          <w:rFonts w:ascii="Times New Roman" w:hAnsi="Times New Roman" w:cs="Times New Roman"/>
          <w:color w:val="000000"/>
          <w:szCs w:val="21"/>
        </w:rPr>
        <w:t>。</w:t>
      </w:r>
    </w:p>
    <w:p>
      <w:pPr>
        <w:adjustRightInd w:val="0"/>
        <w:snapToGrid w:val="0"/>
        <w:spacing w:line="360" w:lineRule="auto"/>
        <w:ind w:firstLine="420" w:firstLineChars="200"/>
        <w:rPr>
          <w:rFonts w:ascii="Times New Roman" w:hAnsi="Times New Roman" w:cs="Times New Roman"/>
          <w:color w:val="000000"/>
          <w:szCs w:val="21"/>
        </w:rPr>
      </w:pPr>
    </w:p>
    <w:p>
      <w:pPr>
        <w:adjustRightInd w:val="0"/>
        <w:snapToGrid w:val="0"/>
        <w:spacing w:line="360" w:lineRule="auto"/>
        <w:rPr>
          <w:rFonts w:ascii="Times New Roman" w:hAnsi="Times New Roman" w:eastAsia="黑体" w:cs="Times New Roman"/>
          <w:color w:val="000000"/>
          <w:szCs w:val="21"/>
        </w:rPr>
      </w:pPr>
      <w:r>
        <w:rPr>
          <w:rFonts w:ascii="Times New Roman" w:hAnsi="Times New Roman" w:eastAsia="黑体" w:cs="Times New Roman"/>
          <w:color w:val="000000"/>
          <w:szCs w:val="21"/>
        </w:rPr>
        <w:t>3 判定规则</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3.1依据标准</w:t>
      </w:r>
    </w:p>
    <w:p>
      <w:pPr>
        <w:autoSpaceDE w:val="0"/>
        <w:autoSpaceDN w:val="0"/>
        <w:adjustRightInd w:val="0"/>
        <w:snapToGrid w:val="0"/>
        <w:spacing w:line="360" w:lineRule="auto"/>
        <w:ind w:right="26" w:firstLine="420" w:firstLineChars="200"/>
        <w:rPr>
          <w:rFonts w:ascii="Times New Roman" w:hAnsi="Times New Roman" w:cs="Times New Roman"/>
          <w:color w:val="000000"/>
          <w:szCs w:val="21"/>
        </w:rPr>
      </w:pPr>
      <w:r>
        <w:rPr>
          <w:rFonts w:ascii="Times New Roman" w:hAnsi="Times New Roman" w:cs="Times New Roman"/>
          <w:color w:val="000000"/>
          <w:szCs w:val="21"/>
        </w:rPr>
        <w:t>GB/T 22199.1-2017 《电动助力车用阀控式铅酸蓄电池 第1部分：技术条件》</w:t>
      </w:r>
    </w:p>
    <w:p>
      <w:pPr>
        <w:adjustRightInd w:val="0"/>
        <w:snapToGrid w:val="0"/>
        <w:spacing w:line="36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现行有效的企业标准、团体标准、地方标准及产品明示质量要求</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color w:val="000000"/>
          <w:szCs w:val="21"/>
        </w:rPr>
        <w:t>3.2判定原则</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经检验，所检验项目全部符合标准要求，判定为被抽查产品未发现不合格；检验项目中任一项或一项以上不合格，判定为被抽查产品不合格。</w:t>
      </w:r>
      <w:bookmarkStart w:id="0" w:name="OLE_LINK1"/>
      <w:r>
        <w:rPr>
          <w:rFonts w:ascii="Times New Roman" w:hAnsi="Times New Roman" w:cs="Times New Roman"/>
          <w:color w:val="000000"/>
          <w:szCs w:val="21"/>
        </w:rPr>
        <w:t>当产品存在A类项目不合格时，属于严重不合格。</w:t>
      </w:r>
      <w:bookmarkEnd w:id="0"/>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中检验项目依据的标准要求时，应按被检产品明示的质量要求判定。</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中检验项目依据的强制性标准要求时，应按照强制性标准要求判定。</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若被检产品明示的质量要求低于或包含本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中检验项目依据的推荐性标准要求时，应以被检产品明示的质量要求判定，但应在检验报告备注中进行说明。</w:t>
      </w:r>
    </w:p>
    <w:p>
      <w:pPr>
        <w:adjustRightInd w:val="0"/>
        <w:snapToGrid w:val="0"/>
        <w:spacing w:line="360" w:lineRule="auto"/>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中检验项目依据的强制性标准要求时，应按照强制性标准要求判定。</w:t>
      </w:r>
    </w:p>
    <w:p>
      <w:pPr>
        <w:adjustRightInd w:val="0"/>
        <w:snapToGrid w:val="0"/>
        <w:spacing w:line="360" w:lineRule="auto"/>
        <w:ind w:firstLine="420" w:firstLineChars="200"/>
        <w:rPr>
          <w:rFonts w:ascii="Times New Roman" w:hAnsi="Times New Roman" w:cs="Times New Roman"/>
          <w:szCs w:val="21"/>
        </w:rPr>
      </w:pPr>
      <w:r>
        <w:rPr>
          <w:rFonts w:ascii="Times New Roman" w:hAnsi="Times New Roman" w:cs="Times New Roman"/>
          <w:color w:val="000000"/>
          <w:szCs w:val="21"/>
        </w:rPr>
        <w:t>若被检产品明示的质量要求缺少本</w:t>
      </w:r>
      <w:r>
        <w:rPr>
          <w:rFonts w:hint="eastAsia" w:ascii="Times New Roman" w:hAnsi="Times New Roman" w:cs="Times New Roman"/>
          <w:color w:val="000000"/>
          <w:szCs w:val="21"/>
        </w:rPr>
        <w:t>细则</w:t>
      </w:r>
      <w:r>
        <w:rPr>
          <w:rFonts w:ascii="Times New Roman" w:hAnsi="Times New Roman" w:cs="Times New Roman"/>
          <w:color w:val="000000"/>
          <w:szCs w:val="21"/>
        </w:rPr>
        <w:t>中检验项目依据的推荐性标准要求时，该项目不参与判定，但应在检验报告备注中进行说明。</w:t>
      </w:r>
    </w:p>
    <w:p>
      <w:pPr>
        <w:adjustRightInd w:val="0"/>
        <w:snapToGrid w:val="0"/>
        <w:spacing w:line="360" w:lineRule="auto"/>
        <w:rPr>
          <w:rFonts w:ascii="Times New Roman" w:hAnsi="Times New Roman" w:cs="Times New Roman"/>
          <w:color w:val="000000"/>
          <w:szCs w:val="21"/>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F20DDB"/>
    <w:rsid w:val="133C22D3"/>
    <w:rsid w:val="32B30358"/>
    <w:rsid w:val="4ABC2695"/>
    <w:rsid w:val="571D74B1"/>
    <w:rsid w:val="6341620F"/>
    <w:rsid w:val="69E6764A"/>
    <w:rsid w:val="6A2674EB"/>
    <w:rsid w:val="75B66F8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lwlzl</dc:creator>
  <cp:lastModifiedBy>USER</cp:lastModifiedBy>
  <dcterms:modified xsi:type="dcterms:W3CDTF">2023-04-27T10:48:11Z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C598B03E33F04D1E82B1E05D29A87D97</vt:lpwstr>
  </property>
</Properties>
</file>