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F85F9">
      <w:pPr>
        <w:jc w:val="center"/>
        <w:rPr>
          <w:rFonts w:hint="eastAsia" w:ascii="宋体" w:hAnsi="宋体" w:cs="宋体"/>
          <w:b/>
          <w:bCs/>
          <w:color w:val="auto"/>
          <w:sz w:val="44"/>
          <w:highlight w:val="none"/>
        </w:rPr>
      </w:pPr>
    </w:p>
    <w:p w14:paraId="4EE21195">
      <w:pPr>
        <w:jc w:val="center"/>
        <w:rPr>
          <w:rFonts w:ascii="宋体" w:hAnsi="宋体" w:cs="宋体"/>
          <w:color w:val="auto"/>
          <w:sz w:val="32"/>
          <w:szCs w:val="32"/>
          <w:highlight w:val="none"/>
          <w:u w:val="single"/>
        </w:rPr>
      </w:pPr>
    </w:p>
    <w:p w14:paraId="20942BEB">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陈家祠片区老旧小区微改造项目</w:t>
      </w:r>
    </w:p>
    <w:p w14:paraId="07C8EAE2">
      <w:pPr>
        <w:spacing w:line="360" w:lineRule="auto"/>
        <w:jc w:val="center"/>
        <w:rPr>
          <w:rFonts w:ascii="宋体" w:hAnsi="宋体" w:cs="宋体"/>
          <w:b/>
          <w:bCs/>
          <w:color w:val="auto"/>
          <w:sz w:val="44"/>
          <w:highlight w:val="none"/>
        </w:rPr>
      </w:pPr>
      <w:r>
        <w:rPr>
          <w:rFonts w:hint="eastAsia" w:ascii="宋体" w:hAnsi="宋体" w:cs="宋体"/>
          <w:b/>
          <w:bCs/>
          <w:color w:val="auto"/>
          <w:sz w:val="44"/>
          <w:szCs w:val="44"/>
          <w:highlight w:val="none"/>
        </w:rPr>
        <w:t>实施方案编制</w:t>
      </w:r>
    </w:p>
    <w:p w14:paraId="1B9DFD96">
      <w:pPr>
        <w:jc w:val="center"/>
        <w:rPr>
          <w:rFonts w:ascii="宋体" w:hAnsi="宋体" w:cs="宋体"/>
          <w:b/>
          <w:bCs/>
          <w:color w:val="auto"/>
          <w:sz w:val="52"/>
          <w:highlight w:val="none"/>
        </w:rPr>
      </w:pPr>
    </w:p>
    <w:p w14:paraId="74571B3A">
      <w:pPr>
        <w:jc w:val="center"/>
        <w:rPr>
          <w:rFonts w:ascii="宋体" w:hAnsi="宋体" w:cs="宋体"/>
          <w:b/>
          <w:bCs/>
          <w:color w:val="auto"/>
          <w:sz w:val="52"/>
          <w:highlight w:val="none"/>
        </w:rPr>
      </w:pPr>
      <w:r>
        <w:rPr>
          <w:rFonts w:hint="eastAsia" w:ascii="宋体" w:hAnsi="宋体" w:cs="宋体"/>
          <w:b/>
          <w:bCs/>
          <w:color w:val="auto"/>
          <w:sz w:val="52"/>
          <w:highlight w:val="none"/>
        </w:rPr>
        <w:t>询比文件</w:t>
      </w:r>
    </w:p>
    <w:p w14:paraId="18069674">
      <w:pPr>
        <w:rPr>
          <w:rFonts w:ascii="宋体" w:hAnsi="宋体" w:cs="宋体"/>
          <w:b/>
          <w:bCs/>
          <w:color w:val="auto"/>
          <w:sz w:val="44"/>
          <w:highlight w:val="none"/>
        </w:rPr>
      </w:pPr>
    </w:p>
    <w:p w14:paraId="174F3284">
      <w:pPr>
        <w:rPr>
          <w:rFonts w:ascii="宋体" w:hAnsi="宋体" w:cs="宋体"/>
          <w:b/>
          <w:bCs/>
          <w:color w:val="auto"/>
          <w:sz w:val="44"/>
          <w:highlight w:val="none"/>
        </w:rPr>
      </w:pPr>
    </w:p>
    <w:p w14:paraId="6BCF8897">
      <w:pPr>
        <w:rPr>
          <w:rFonts w:ascii="宋体" w:hAnsi="宋体" w:cs="宋体"/>
          <w:b/>
          <w:bCs/>
          <w:color w:val="auto"/>
          <w:sz w:val="44"/>
          <w:highlight w:val="none"/>
        </w:rPr>
      </w:pPr>
    </w:p>
    <w:p w14:paraId="0589FC7B">
      <w:pPr>
        <w:rPr>
          <w:rFonts w:ascii="宋体" w:hAnsi="宋体" w:cs="宋体"/>
          <w:b/>
          <w:bCs/>
          <w:color w:val="auto"/>
          <w:sz w:val="44"/>
          <w:highlight w:val="none"/>
        </w:rPr>
      </w:pPr>
    </w:p>
    <w:p w14:paraId="3B8F76F4">
      <w:pPr>
        <w:rPr>
          <w:rFonts w:ascii="宋体" w:hAnsi="宋体" w:cs="宋体"/>
          <w:b/>
          <w:bCs/>
          <w:color w:val="auto"/>
          <w:sz w:val="44"/>
          <w:highlight w:val="none"/>
        </w:rPr>
      </w:pPr>
    </w:p>
    <w:p w14:paraId="209B4442">
      <w:pPr>
        <w:pStyle w:val="25"/>
        <w:rPr>
          <w:color w:val="auto"/>
          <w:highlight w:val="none"/>
        </w:rPr>
      </w:pPr>
    </w:p>
    <w:p w14:paraId="682D7B26">
      <w:pPr>
        <w:rPr>
          <w:rFonts w:ascii="宋体" w:hAnsi="宋体" w:cs="宋体"/>
          <w:b/>
          <w:bCs/>
          <w:color w:val="auto"/>
          <w:sz w:val="44"/>
          <w:highlight w:val="none"/>
        </w:rPr>
      </w:pPr>
    </w:p>
    <w:p w14:paraId="6676ED52">
      <w:pPr>
        <w:rPr>
          <w:rFonts w:ascii="宋体" w:hAnsi="宋体" w:cs="宋体"/>
          <w:b/>
          <w:bCs/>
          <w:color w:val="auto"/>
          <w:sz w:val="44"/>
          <w:highlight w:val="none"/>
        </w:rPr>
      </w:pPr>
    </w:p>
    <w:p w14:paraId="33CC50C3">
      <w:pPr>
        <w:rPr>
          <w:rFonts w:ascii="宋体" w:hAnsi="宋体" w:cs="宋体"/>
          <w:b/>
          <w:bCs/>
          <w:color w:val="auto"/>
          <w:sz w:val="44"/>
          <w:highlight w:val="none"/>
        </w:rPr>
      </w:pPr>
    </w:p>
    <w:p w14:paraId="6CE27485">
      <w:pPr>
        <w:rPr>
          <w:rFonts w:ascii="宋体" w:hAnsi="宋体" w:cs="宋体"/>
          <w:b/>
          <w:bCs/>
          <w:color w:val="auto"/>
          <w:sz w:val="44"/>
          <w:highlight w:val="none"/>
        </w:rPr>
      </w:pPr>
    </w:p>
    <w:p w14:paraId="6E34D25F">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询比单位：广州市荔湾区城市更新建设项目管理中心</w:t>
      </w:r>
    </w:p>
    <w:p w14:paraId="174D2BE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询比代理单位：成致项目管理有限公司</w:t>
      </w:r>
    </w:p>
    <w:p w14:paraId="361407C1">
      <w:pPr>
        <w:spacing w:line="360" w:lineRule="auto"/>
        <w:jc w:val="center"/>
        <w:rPr>
          <w:rFonts w:ascii="宋体" w:hAnsi="宋体" w:cs="宋体"/>
          <w:b/>
          <w:bCs/>
          <w:color w:val="auto"/>
          <w:sz w:val="32"/>
          <w:szCs w:val="32"/>
          <w:highlight w:val="none"/>
        </w:rPr>
        <w:sectPr>
          <w:headerReference r:id="rId3"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bCs/>
          <w:color w:val="auto"/>
          <w:sz w:val="32"/>
          <w:szCs w:val="32"/>
          <w:highlight w:val="none"/>
        </w:rPr>
        <w:t>二〇二四年</w:t>
      </w:r>
      <w:r>
        <w:rPr>
          <w:rFonts w:hint="eastAsia" w:ascii="宋体" w:hAnsi="宋体" w:cs="宋体"/>
          <w:b/>
          <w:bCs/>
          <w:color w:val="auto"/>
          <w:sz w:val="32"/>
          <w:szCs w:val="32"/>
          <w:highlight w:val="none"/>
          <w:lang w:eastAsia="zh-CN"/>
        </w:rPr>
        <w:t>八</w:t>
      </w:r>
      <w:r>
        <w:rPr>
          <w:rFonts w:hint="eastAsia" w:ascii="宋体" w:hAnsi="宋体" w:cs="宋体"/>
          <w:b/>
          <w:bCs/>
          <w:color w:val="auto"/>
          <w:sz w:val="32"/>
          <w:szCs w:val="32"/>
          <w:highlight w:val="none"/>
        </w:rPr>
        <w:t>月</w:t>
      </w:r>
    </w:p>
    <w:p w14:paraId="099FDF4B">
      <w:pPr>
        <w:numPr>
          <w:ilvl w:val="0"/>
          <w:numId w:val="1"/>
        </w:num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询比公告</w:t>
      </w:r>
    </w:p>
    <w:p w14:paraId="4D73B8A1">
      <w:pPr>
        <w:rPr>
          <w:rFonts w:ascii="宋体" w:hAnsi="宋体" w:cs="宋体"/>
          <w:b/>
          <w:bCs/>
          <w:color w:val="auto"/>
          <w:sz w:val="24"/>
          <w:szCs w:val="24"/>
          <w:highlight w:val="none"/>
        </w:rPr>
      </w:pPr>
    </w:p>
    <w:p w14:paraId="43BB4A7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为更好地择优选取</w:t>
      </w:r>
      <w:r>
        <w:rPr>
          <w:rFonts w:hint="eastAsia" w:ascii="宋体" w:hAnsi="宋体" w:cs="宋体"/>
          <w:color w:val="auto"/>
          <w:sz w:val="24"/>
          <w:highlight w:val="none"/>
          <w:u w:val="single"/>
        </w:rPr>
        <w:t>陈家祠片区老旧小区微改造项目实施方案编制</w:t>
      </w:r>
      <w:r>
        <w:rPr>
          <w:rFonts w:hint="eastAsia" w:ascii="宋体" w:hAnsi="宋体" w:cs="宋体"/>
          <w:color w:val="auto"/>
          <w:sz w:val="24"/>
          <w:szCs w:val="24"/>
          <w:highlight w:val="none"/>
        </w:rPr>
        <w:t>服务单位，</w:t>
      </w:r>
      <w:r>
        <w:rPr>
          <w:rFonts w:hint="eastAsia" w:ascii="宋体" w:hAnsi="宋体" w:cs="宋体"/>
          <w:color w:val="auto"/>
          <w:sz w:val="24"/>
          <w:szCs w:val="24"/>
          <w:highlight w:val="none"/>
          <w:lang w:bidi="ar"/>
        </w:rPr>
        <w:t>现</w:t>
      </w:r>
      <w:r>
        <w:rPr>
          <w:rFonts w:hint="eastAsia" w:ascii="宋体" w:hAnsi="宋体" w:cs="宋体"/>
          <w:color w:val="auto"/>
          <w:sz w:val="24"/>
          <w:szCs w:val="24"/>
          <w:highlight w:val="none"/>
        </w:rPr>
        <w:t>广州市荔湾区城市更新建设项目管理中心进行公开询比，在报名并符合要求的企业内选取一家承办单位，</w:t>
      </w:r>
      <w:bookmarkStart w:id="0" w:name="EBf5670e6d291445918fbaeeb8f3e1df8e"/>
      <w:r>
        <w:rPr>
          <w:rFonts w:hint="eastAsia" w:ascii="宋体" w:hAnsi="宋体" w:cs="宋体"/>
          <w:color w:val="auto"/>
          <w:sz w:val="24"/>
          <w:szCs w:val="24"/>
          <w:highlight w:val="none"/>
        </w:rPr>
        <w:t>欢迎符合资格条件的意向人报名参加。</w:t>
      </w:r>
      <w:bookmarkEnd w:id="0"/>
    </w:p>
    <w:p w14:paraId="3C3147E5">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一、项目概况</w:t>
      </w:r>
    </w:p>
    <w:p w14:paraId="133ACF5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1.询比单位：广州市荔湾区城市更新建设项目管理中心。</w:t>
      </w:r>
    </w:p>
    <w:p w14:paraId="4540C2F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2.建设地点：广州市荔湾区。</w:t>
      </w:r>
    </w:p>
    <w:p w14:paraId="62CA368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概况：为更好地保护、挖掘和传承荔湾区陈家祠堂优秀历史文化遗产，弘扬民族传统文化，编制陈家祠片区老旧小区微改造项目实施方案。项目南至中山七路，北至龙源新街-金雁里，西至荔湾路，东至康王北路，总面积约14.0389公顷。</w:t>
      </w:r>
    </w:p>
    <w:p w14:paraId="6D3FA54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4.资金来源：财政资金。</w:t>
      </w:r>
    </w:p>
    <w:p w14:paraId="6224A7A5">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二、服务范围、期限及其他要求</w:t>
      </w:r>
    </w:p>
    <w:p w14:paraId="7CD13388">
      <w:pPr>
        <w:spacing w:line="360" w:lineRule="auto"/>
        <w:ind w:firstLine="480" w:firstLineChars="200"/>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1.服务范围：编制陈家祠片区老旧小区微改造项目</w:t>
      </w:r>
      <w:r>
        <w:rPr>
          <w:rFonts w:hint="eastAsia" w:asciiTheme="minorEastAsia" w:hAnsiTheme="minorEastAsia" w:cstheme="minorEastAsia"/>
          <w:color w:val="auto"/>
          <w:sz w:val="24"/>
          <w:highlight w:val="none"/>
        </w:rPr>
        <w:t>实施方案</w:t>
      </w:r>
      <w:r>
        <w:rPr>
          <w:rFonts w:hint="eastAsia" w:asciiTheme="minorEastAsia" w:hAnsiTheme="minorEastAsia" w:cstheme="minorEastAsia"/>
          <w:color w:val="auto"/>
          <w:sz w:val="24"/>
          <w:szCs w:val="24"/>
          <w:highlight w:val="none"/>
          <w:shd w:val="clear" w:color="auto" w:fill="FFFFFF"/>
        </w:rPr>
        <w:t>。</w:t>
      </w:r>
    </w:p>
    <w:p w14:paraId="5A7D962A">
      <w:pPr>
        <w:pStyle w:val="44"/>
        <w:spacing w:line="500" w:lineRule="exact"/>
        <w:ind w:firstLine="480" w:firstLineChars="200"/>
        <w:jc w:val="left"/>
        <w:rPr>
          <w:rFonts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2.服务期：</w:t>
      </w:r>
      <w:r>
        <w:rPr>
          <w:rFonts w:hint="eastAsia" w:asciiTheme="minorEastAsia" w:hAnsiTheme="minorEastAsia" w:eastAsiaTheme="minorEastAsia" w:cstheme="minorEastAsia"/>
          <w:color w:val="auto"/>
          <w:kern w:val="0"/>
          <w:sz w:val="24"/>
          <w:szCs w:val="24"/>
          <w:highlight w:val="none"/>
          <w:shd w:val="clear" w:color="auto" w:fill="FFFFFF"/>
        </w:rPr>
        <w:t>本实施方案编制成果通过专家评审及根据相关审批程序批复后并由甲方确认。</w:t>
      </w:r>
    </w:p>
    <w:p w14:paraId="39035B18">
      <w:pPr>
        <w:widowControl/>
        <w:topLinePunct/>
        <w:spacing w:line="360" w:lineRule="auto"/>
        <w:ind w:firstLine="489" w:firstLineChars="204"/>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（1）方案编制：中选人应在成交通知书发出后</w:t>
      </w:r>
      <w:r>
        <w:rPr>
          <w:rFonts w:hint="eastAsia" w:asciiTheme="minorEastAsia" w:hAnsiTheme="minorEastAsia" w:eastAsiaTheme="minorEastAsia" w:cstheme="minorEastAsia"/>
          <w:color w:val="auto"/>
          <w:kern w:val="0"/>
          <w:sz w:val="24"/>
          <w:szCs w:val="24"/>
          <w:highlight w:val="none"/>
          <w:u w:val="single"/>
          <w:shd w:val="clear" w:color="auto" w:fill="FFFFFF"/>
        </w:rPr>
        <w:t xml:space="preserve"> 10 </w:t>
      </w:r>
      <w:r>
        <w:rPr>
          <w:rFonts w:hint="eastAsia" w:asciiTheme="minorEastAsia" w:hAnsiTheme="minorEastAsia" w:eastAsiaTheme="minorEastAsia" w:cstheme="minorEastAsia"/>
          <w:color w:val="auto"/>
          <w:kern w:val="0"/>
          <w:sz w:val="24"/>
          <w:szCs w:val="24"/>
          <w:highlight w:val="none"/>
          <w:shd w:val="clear" w:color="auto" w:fill="FFFFFF"/>
        </w:rPr>
        <w:t>个日历天内完成该实施方案编制成果。</w:t>
      </w:r>
    </w:p>
    <w:p w14:paraId="0BCDF515">
      <w:pPr>
        <w:widowControl/>
        <w:topLinePunct/>
        <w:spacing w:line="360" w:lineRule="auto"/>
        <w:ind w:firstLine="489" w:firstLineChars="204"/>
        <w:jc w:val="left"/>
        <w:rPr>
          <w:rFonts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（2）方案修改：有关部门进行评审后</w:t>
      </w:r>
      <w:r>
        <w:rPr>
          <w:rFonts w:hint="eastAsia" w:asciiTheme="minorEastAsia" w:hAnsiTheme="minorEastAsia" w:eastAsiaTheme="minorEastAsia" w:cstheme="minorEastAsia"/>
          <w:color w:val="auto"/>
          <w:kern w:val="0"/>
          <w:sz w:val="24"/>
          <w:szCs w:val="24"/>
          <w:highlight w:val="none"/>
          <w:u w:val="single"/>
          <w:shd w:val="clear" w:color="auto" w:fill="FFFFFF"/>
        </w:rPr>
        <w:t>5</w:t>
      </w:r>
      <w:r>
        <w:rPr>
          <w:rFonts w:hint="eastAsia" w:asciiTheme="minorEastAsia" w:hAnsiTheme="minorEastAsia" w:eastAsiaTheme="minorEastAsia" w:cstheme="minorEastAsia"/>
          <w:color w:val="auto"/>
          <w:kern w:val="0"/>
          <w:sz w:val="24"/>
          <w:szCs w:val="24"/>
          <w:highlight w:val="none"/>
          <w:shd w:val="clear" w:color="auto" w:fill="FFFFFF"/>
        </w:rPr>
        <w:t>个日历天内完成实施方案的修改。期限结束后，若发现实施方案仍需修改、调整，中选单位应继续提供有关服务。</w:t>
      </w:r>
    </w:p>
    <w:p w14:paraId="04A036C4">
      <w:pPr>
        <w:widowControl/>
        <w:topLinePunct/>
        <w:spacing w:line="360" w:lineRule="auto"/>
        <w:ind w:firstLine="489" w:firstLineChars="204"/>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3.</w:t>
      </w:r>
      <w:r>
        <w:rPr>
          <w:rFonts w:hint="eastAsia" w:asciiTheme="minorEastAsia" w:hAnsiTheme="minorEastAsia" w:cstheme="minorEastAsia"/>
          <w:color w:val="auto"/>
          <w:sz w:val="24"/>
          <w:szCs w:val="24"/>
          <w:highlight w:val="none"/>
          <w:shd w:val="clear" w:color="auto" w:fill="FFFFFF"/>
        </w:rPr>
        <w:t>其他要求：如本项目因政策、有关部门决策等原因暂停或者短期内不实施，自本合同签订之日起三年内都无法实施相关实施方案编制工作的，则本合同自然终止，双方不因此承担任何违约责任。</w:t>
      </w:r>
    </w:p>
    <w:p w14:paraId="3D299049">
      <w:pPr>
        <w:widowControl/>
        <w:spacing w:line="360" w:lineRule="auto"/>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三、报价人资格要求</w:t>
      </w:r>
    </w:p>
    <w:p w14:paraId="5834F56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1.报价人具有独立法人资格，持有市场监督（工商行政）管理部门核发的法人营业执照或各级登记管理机关颁发的事业单位法人证书，按国家法律经营。</w:t>
      </w:r>
    </w:p>
    <w:p w14:paraId="0C67AFBD">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2.报价人具有建设行政主管部门核发的城乡规划编制资质乙级或以上资质。</w:t>
      </w:r>
    </w:p>
    <w:p w14:paraId="49EB169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3.项目负责人具有高级工程师（或以上）职称或具有注册城乡规划师资格及近1个月的本单位社保证明。</w:t>
      </w:r>
    </w:p>
    <w:p w14:paraId="3591815D">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4.本项目不接受联合体报价。</w:t>
      </w:r>
    </w:p>
    <w:p w14:paraId="50BC406A">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四、工作内容及成果要求</w:t>
      </w:r>
    </w:p>
    <w:p w14:paraId="5A588F5B">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统筹兼顾荔湾旧城整体活化提升要求、历史文化资源本底与发展条件、群众改造意愿摸查情况，总体谋划陈家祠片区提升及周边老旧小区微改造项目，明确整体空间与风貌管控与织补、片区功能活化利用、建筑保护与活化、道路与交通设施优化、老旧小区完善提升措施。基于现状摸查与权属情况，形成近远结合的建设实施计划与项目库。具体工作内容如下：</w:t>
      </w:r>
    </w:p>
    <w:p w14:paraId="1E020886">
      <w:pPr>
        <w:pStyle w:val="46"/>
        <w:spacing w:before="0" w:beforeAutospacing="0" w:after="0" w:afterAutospacing="0" w:line="360" w:lineRule="auto"/>
        <w:ind w:firstLine="490"/>
        <w:rPr>
          <w:rFonts w:ascii="等线" w:eastAsia="等线"/>
          <w:color w:val="auto"/>
          <w:highlight w:val="none"/>
        </w:rPr>
      </w:pPr>
      <w:r>
        <w:rPr>
          <w:rFonts w:hint="eastAsia"/>
          <w:b/>
          <w:bCs/>
          <w:color w:val="auto"/>
          <w:highlight w:val="none"/>
        </w:rPr>
        <w:t>（一）现状研究</w:t>
      </w:r>
    </w:p>
    <w:p w14:paraId="48B4E610">
      <w:pPr>
        <w:pStyle w:val="46"/>
        <w:spacing w:before="0" w:beforeAutospacing="0" w:after="0" w:afterAutospacing="0" w:line="360" w:lineRule="auto"/>
        <w:ind w:firstLine="490"/>
        <w:rPr>
          <w:color w:val="auto"/>
          <w:highlight w:val="none"/>
        </w:rPr>
      </w:pPr>
      <w:r>
        <w:rPr>
          <w:rFonts w:hint="eastAsia"/>
          <w:color w:val="auto"/>
          <w:highlight w:val="none"/>
        </w:rPr>
        <w:t>1、通过实地调研，以及相关部门、街道及居民访谈，了解陈家祠片区文物保护、文旅功能、公共服务配套功能需求缺口。</w:t>
      </w:r>
    </w:p>
    <w:p w14:paraId="314CD32D">
      <w:pPr>
        <w:pStyle w:val="46"/>
        <w:spacing w:before="0" w:beforeAutospacing="0" w:after="0" w:afterAutospacing="0" w:line="360" w:lineRule="auto"/>
        <w:ind w:firstLine="490"/>
        <w:rPr>
          <w:rFonts w:ascii="等线" w:eastAsia="等线"/>
          <w:b w:val="0"/>
          <w:bCs w:val="0"/>
          <w:color w:val="auto"/>
          <w:highlight w:val="none"/>
        </w:rPr>
      </w:pPr>
      <w:r>
        <w:rPr>
          <w:rFonts w:hint="eastAsia"/>
          <w:color w:val="auto"/>
          <w:highlight w:val="none"/>
        </w:rPr>
        <w:t>2、开展现状摸查，分析整理陈家祠片区相关基础数据和资料，主要包括历史文化遗产、房屋、现状市政基础设施及管网、公服配套设施等资料，梳理陈家祠片</w:t>
      </w:r>
      <w:r>
        <w:rPr>
          <w:rFonts w:hint="eastAsia"/>
          <w:b w:val="0"/>
          <w:bCs w:val="0"/>
          <w:color w:val="auto"/>
          <w:highlight w:val="none"/>
        </w:rPr>
        <w:t>区范围内的文物保护要求和待改造房屋状况，包括公房的位置、面积、使用性质等。</w:t>
      </w:r>
    </w:p>
    <w:p w14:paraId="21B9DC01">
      <w:pPr>
        <w:pStyle w:val="46"/>
        <w:spacing w:before="0" w:beforeAutospacing="0" w:after="0" w:afterAutospacing="0" w:line="360" w:lineRule="auto"/>
        <w:ind w:firstLine="490"/>
        <w:rPr>
          <w:rFonts w:ascii="等线" w:eastAsia="等线"/>
          <w:b/>
          <w:bCs/>
          <w:color w:val="auto"/>
          <w:highlight w:val="none"/>
        </w:rPr>
      </w:pPr>
      <w:r>
        <w:rPr>
          <w:rFonts w:hint="eastAsia"/>
          <w:b/>
          <w:bCs/>
          <w:color w:val="auto"/>
          <w:highlight w:val="none"/>
        </w:rPr>
        <w:t>（二）总体方案设计</w:t>
      </w:r>
    </w:p>
    <w:p w14:paraId="20EF90E7">
      <w:pPr>
        <w:pStyle w:val="46"/>
        <w:spacing w:before="0" w:beforeAutospacing="0" w:after="0" w:afterAutospacing="0" w:line="360" w:lineRule="auto"/>
        <w:ind w:firstLine="490"/>
        <w:rPr>
          <w:rFonts w:ascii="等线" w:eastAsia="等线"/>
          <w:b w:val="0"/>
          <w:bCs w:val="0"/>
          <w:color w:val="auto"/>
          <w:highlight w:val="none"/>
        </w:rPr>
      </w:pPr>
      <w:r>
        <w:rPr>
          <w:rFonts w:hint="eastAsia"/>
          <w:b w:val="0"/>
          <w:bCs w:val="0"/>
          <w:color w:val="auto"/>
          <w:highlight w:val="none"/>
        </w:rPr>
        <w:t>1、概念规划：对陈家祠总体片区形成整体概念规划及方案设计整合，包括北片区老旧小区、东广场、西广场及南广场区域。</w:t>
      </w:r>
    </w:p>
    <w:p w14:paraId="71228207">
      <w:pPr>
        <w:pStyle w:val="46"/>
        <w:spacing w:before="0" w:beforeAutospacing="0" w:after="0" w:afterAutospacing="0" w:line="360" w:lineRule="auto"/>
        <w:ind w:firstLine="490"/>
        <w:rPr>
          <w:rFonts w:ascii="等线" w:eastAsia="等线"/>
          <w:b w:val="0"/>
          <w:bCs w:val="0"/>
          <w:color w:val="auto"/>
          <w:highlight w:val="none"/>
        </w:rPr>
      </w:pPr>
      <w:r>
        <w:rPr>
          <w:rFonts w:hint="eastAsia"/>
          <w:b w:val="0"/>
          <w:bCs w:val="0"/>
          <w:color w:val="auto"/>
          <w:highlight w:val="none"/>
        </w:rPr>
        <w:t>2、概念方案设计：对陈家祠北片区老旧小区、西广场及南广场进行整体方案设计，并统筹整合东广场已有方案设计，合理优化整体功能分区，形成重点地区节点设计，盘点及优化公共服务设施布局，提升展示策划。</w:t>
      </w:r>
    </w:p>
    <w:p w14:paraId="572D2089">
      <w:pPr>
        <w:pStyle w:val="46"/>
        <w:spacing w:before="0" w:beforeAutospacing="0" w:after="0" w:afterAutospacing="0" w:line="360" w:lineRule="auto"/>
        <w:ind w:firstLine="490"/>
        <w:rPr>
          <w:rFonts w:ascii="等线" w:eastAsia="等线"/>
          <w:b w:val="0"/>
          <w:bCs w:val="0"/>
          <w:color w:val="auto"/>
          <w:highlight w:val="none"/>
        </w:rPr>
      </w:pPr>
      <w:r>
        <w:rPr>
          <w:rFonts w:hint="eastAsia"/>
          <w:b/>
          <w:bCs/>
          <w:color w:val="auto"/>
          <w:highlight w:val="none"/>
        </w:rPr>
        <w:t>（三）专项研究与策略</w:t>
      </w:r>
    </w:p>
    <w:p w14:paraId="3322E2A6">
      <w:pPr>
        <w:pStyle w:val="46"/>
        <w:spacing w:before="0" w:beforeAutospacing="0" w:after="0" w:afterAutospacing="0" w:line="360" w:lineRule="auto"/>
        <w:ind w:firstLine="490"/>
        <w:rPr>
          <w:rFonts w:ascii="等线" w:eastAsia="等线"/>
          <w:b w:val="0"/>
          <w:bCs w:val="0"/>
          <w:color w:val="auto"/>
          <w:highlight w:val="none"/>
        </w:rPr>
      </w:pPr>
      <w:r>
        <w:rPr>
          <w:rFonts w:hint="eastAsia"/>
          <w:b w:val="0"/>
          <w:bCs w:val="0"/>
          <w:color w:val="auto"/>
          <w:highlight w:val="none"/>
        </w:rPr>
        <w:t>1、历史文化遗产保护利用：复核陈家祠片区内文物、历史建筑、传统风貌建筑、历史环境要素等文化遗产，落实文物保护要求，结合片区功能活化定位，制定适合文化遗产及历史要素的保护利用及展示方案。</w:t>
      </w:r>
    </w:p>
    <w:p w14:paraId="616593EF">
      <w:pPr>
        <w:pStyle w:val="46"/>
        <w:spacing w:before="0" w:beforeAutospacing="0" w:after="0" w:afterAutospacing="0" w:line="360" w:lineRule="auto"/>
        <w:ind w:firstLine="490"/>
        <w:rPr>
          <w:rFonts w:ascii="等线" w:eastAsia="等线"/>
          <w:b w:val="0"/>
          <w:bCs w:val="0"/>
          <w:color w:val="auto"/>
          <w:highlight w:val="none"/>
        </w:rPr>
      </w:pPr>
      <w:r>
        <w:rPr>
          <w:rFonts w:hint="eastAsia"/>
          <w:b w:val="0"/>
          <w:bCs w:val="0"/>
          <w:color w:val="auto"/>
          <w:highlight w:val="none"/>
        </w:rPr>
        <w:t>2、公共空间提升与公共服务设施、基础设施优化：全面盘点片区内公共空间现状和问题，包括东广场、西广场及南广场片区对陈家祠堂的文旅服务功能提升，北片区老旧小区按照完整社区、绿色社区、智慧社区标准，提出片区公共空间系统的提升策略和公共服务设施、基础设施布点规划。</w:t>
      </w:r>
    </w:p>
    <w:p w14:paraId="77F5B28C">
      <w:pPr>
        <w:pStyle w:val="46"/>
        <w:spacing w:before="0" w:beforeAutospacing="0" w:after="0" w:afterAutospacing="0" w:line="360" w:lineRule="auto"/>
        <w:ind w:firstLine="490"/>
        <w:rPr>
          <w:rFonts w:hint="eastAsia"/>
          <w:color w:val="auto"/>
          <w:highlight w:val="none"/>
        </w:rPr>
      </w:pPr>
      <w:r>
        <w:rPr>
          <w:rFonts w:hint="eastAsia"/>
          <w:b w:val="0"/>
          <w:bCs w:val="0"/>
          <w:color w:val="auto"/>
          <w:highlight w:val="none"/>
        </w:rPr>
        <w:t>3、交通组织优化：</w:t>
      </w:r>
      <w:r>
        <w:rPr>
          <w:rFonts w:hint="eastAsia"/>
          <w:color w:val="auto"/>
          <w:highlight w:val="none"/>
        </w:rPr>
        <w:t>针对陈家祠片区交通组织特点，提出旅游交通、公共交通、静态交通的疏解提升方案，进行相关出行模式的研究。</w:t>
      </w:r>
    </w:p>
    <w:p w14:paraId="09CD4850">
      <w:pPr>
        <w:pStyle w:val="46"/>
        <w:spacing w:before="0" w:beforeAutospacing="0" w:after="0" w:afterAutospacing="0" w:line="360" w:lineRule="auto"/>
        <w:ind w:firstLine="490"/>
        <w:rPr>
          <w:rFonts w:hint="eastAsia"/>
          <w:color w:val="auto"/>
          <w:highlight w:val="none"/>
        </w:rPr>
      </w:pPr>
      <w:r>
        <w:rPr>
          <w:rFonts w:hint="eastAsia"/>
          <w:color w:val="auto"/>
          <w:highlight w:val="none"/>
        </w:rPr>
        <w:t>4、既有建筑活化利用专章：涉及既有建筑活化利用的，应按《广州市老旧小区既有建筑活化利用实施办法》有关规定编制既有建筑活化利用专章，按要求明确活化利用的建筑范围、功能业态导向、设计指引、相关消防设计安全评估、环境条件相符性分析、周边交通及市政设施承载力分析等内容。</w:t>
      </w:r>
    </w:p>
    <w:p w14:paraId="594C9D33">
      <w:pPr>
        <w:pStyle w:val="46"/>
        <w:spacing w:before="0" w:beforeAutospacing="0" w:after="0" w:afterAutospacing="0" w:line="360" w:lineRule="auto"/>
        <w:ind w:firstLine="490"/>
        <w:rPr>
          <w:rFonts w:hint="eastAsia"/>
          <w:color w:val="auto"/>
          <w:highlight w:val="none"/>
        </w:rPr>
      </w:pPr>
      <w:r>
        <w:rPr>
          <w:rFonts w:hint="eastAsia"/>
          <w:color w:val="auto"/>
          <w:highlight w:val="none"/>
        </w:rPr>
        <w:t>5、存量公有房屋利用专章：涉及利用存量公有房屋的，应按《关于整合利用存量公有房屋促进城镇老旧小区改造的意见》有关规定编制存量公有房屋整合利用专章，按要求明确存量公有房屋使用范围基本信息、使用功能及日常管养要求、使用期限、整合接管运营主体、需求评估方法及标准、管理方式及责任等内容。</w:t>
      </w:r>
    </w:p>
    <w:p w14:paraId="5C1735E4">
      <w:pPr>
        <w:pStyle w:val="46"/>
        <w:spacing w:before="0" w:beforeAutospacing="0" w:after="0" w:afterAutospacing="0" w:line="360" w:lineRule="auto"/>
        <w:ind w:firstLine="490"/>
        <w:rPr>
          <w:rFonts w:hint="eastAsia"/>
          <w:color w:val="auto"/>
          <w:highlight w:val="none"/>
        </w:rPr>
      </w:pPr>
      <w:r>
        <w:rPr>
          <w:rFonts w:hint="eastAsia"/>
          <w:color w:val="auto"/>
          <w:highlight w:val="none"/>
        </w:rPr>
        <w:t>6、社会资本引入专章：需引入社会资本参与老旧小区改造的，应按照《广州市引入社会资本参与城镇老旧小区改造试行办法》有关规定编制社会资本引入专章，按要求明确招标内容、社会资本参与改造的方式及内容、项目概算总投资及项目收益分配方案、政府配置的资源、社会资本可享受的优惠支持政策、项目发包方式等。</w:t>
      </w:r>
    </w:p>
    <w:p w14:paraId="2E5D5B8A">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7、树木保护专章：涉及树木迁移、补种、绿化设计的，应按《广州市城市树木保护管理规定（试行）》《广州市城市树木保护专章编制指引》有关规定编制树木保护专章，按要求明确树木资源调查、方案比选和总体保护利用概况、迁移利用等内容。</w:t>
      </w:r>
    </w:p>
    <w:p w14:paraId="0398989B">
      <w:pPr>
        <w:pStyle w:val="46"/>
        <w:spacing w:before="0" w:beforeAutospacing="0" w:after="0" w:afterAutospacing="0" w:line="360" w:lineRule="auto"/>
        <w:ind w:firstLine="490"/>
        <w:rPr>
          <w:rFonts w:ascii="等线" w:eastAsia="等线"/>
          <w:color w:val="auto"/>
          <w:highlight w:val="none"/>
        </w:rPr>
      </w:pPr>
      <w:r>
        <w:rPr>
          <w:rFonts w:hint="eastAsia"/>
          <w:b/>
          <w:bCs/>
          <w:color w:val="auto"/>
          <w:highlight w:val="none"/>
        </w:rPr>
        <w:t>（四）近期实施方案</w:t>
      </w:r>
    </w:p>
    <w:p w14:paraId="39B9F19E">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基于陈家祠片区整体实施方案，梳理东广场、西广场、南广场及北片区老旧小区近期可实施项目。其中包括东广场整体环境提升，陈家祠堂前广场片区景观一体化提升与南广场交通组织优化，西广场景观提升及交通提升工程及北片区老旧小区微改造与第五立面提升实施方案。</w:t>
      </w:r>
    </w:p>
    <w:p w14:paraId="19EEEE75">
      <w:pPr>
        <w:pStyle w:val="46"/>
        <w:spacing w:before="0" w:beforeAutospacing="0" w:after="0" w:afterAutospacing="0" w:line="360" w:lineRule="auto"/>
        <w:ind w:firstLine="490"/>
        <w:rPr>
          <w:rFonts w:ascii="等线" w:eastAsia="等线"/>
          <w:color w:val="auto"/>
          <w:highlight w:val="none"/>
        </w:rPr>
      </w:pPr>
      <w:r>
        <w:rPr>
          <w:rFonts w:hint="eastAsia"/>
          <w:b/>
          <w:bCs/>
          <w:color w:val="auto"/>
          <w:highlight w:val="none"/>
        </w:rPr>
        <w:t>（五）远期实施方案</w:t>
      </w:r>
    </w:p>
    <w:p w14:paraId="31240009">
      <w:pPr>
        <w:widowControl/>
        <w:topLinePunct/>
        <w:snapToGrid w:val="0"/>
        <w:spacing w:line="360" w:lineRule="auto"/>
        <w:ind w:firstLine="489" w:firstLineChars="204"/>
        <w:jc w:val="left"/>
        <w:rPr>
          <w:rFonts w:asciiTheme="minorEastAsia" w:hAnsiTheme="minorEastAsia" w:eastAsiaTheme="minorEastAsia" w:cstheme="minorEastAsia"/>
          <w:color w:val="auto"/>
          <w:kern w:val="0"/>
          <w:sz w:val="24"/>
          <w:szCs w:val="24"/>
          <w:highlight w:val="none"/>
          <w:shd w:val="clear" w:color="auto" w:fill="FFFFFF"/>
        </w:rPr>
      </w:pPr>
      <w:r>
        <w:rPr>
          <w:rFonts w:hint="eastAsia"/>
          <w:color w:val="auto"/>
          <w:sz w:val="24"/>
          <w:szCs w:val="24"/>
          <w:highlight w:val="none"/>
        </w:rPr>
        <w:t> 基于陈家祠片区整体实施方案，面向整体规划研究范围，形成远期发展规划实施方案，包括东广场远期提升方案、西广场及荔湾体育馆协同提升、北片区老旧小区民生基础设施微改造、北片区重点活化片区协同五行科技创意园提升改造。</w:t>
      </w:r>
    </w:p>
    <w:p w14:paraId="00A274DA">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2.工作成果</w:t>
      </w:r>
    </w:p>
    <w:p w14:paraId="626FCADB">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color w:val="auto"/>
          <w:sz w:val="24"/>
          <w:szCs w:val="24"/>
          <w:highlight w:val="none"/>
        </w:rPr>
        <w:t>提交通过专家评审及根据相关审批程序批复同意实施的《陈家祠片区老旧小区微改造项目实施方案》成果文本。</w:t>
      </w:r>
    </w:p>
    <w:p w14:paraId="77AC38CE">
      <w:p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具体工作成果要求以合同相关约定为准。</w:t>
      </w:r>
    </w:p>
    <w:p w14:paraId="4C1E624C">
      <w:pPr>
        <w:spacing w:line="360" w:lineRule="auto"/>
        <w:textAlignment w:val="top"/>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w:t>
      </w:r>
      <w:r>
        <w:rPr>
          <w:rFonts w:hint="eastAsia" w:asciiTheme="minorEastAsia" w:hAnsiTheme="minorEastAsia" w:eastAsiaTheme="minorEastAsia" w:cstheme="minorEastAsia"/>
          <w:b/>
          <w:color w:val="auto"/>
          <w:sz w:val="24"/>
          <w:szCs w:val="24"/>
          <w:highlight w:val="none"/>
        </w:rPr>
        <w:t>报价及结算方式</w:t>
      </w:r>
    </w:p>
    <w:p w14:paraId="1CEC11BA">
      <w:pPr>
        <w:spacing w:line="360" w:lineRule="auto"/>
        <w:ind w:firstLine="480" w:firstLineChars="200"/>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1.最高报价限价（人民币）：</w:t>
      </w:r>
      <w:r>
        <w:rPr>
          <w:rFonts w:hint="eastAsia" w:asciiTheme="minorEastAsia" w:hAnsiTheme="minorEastAsia" w:eastAsiaTheme="minorEastAsia" w:cstheme="minorEastAsia"/>
          <w:color w:val="auto"/>
          <w:sz w:val="24"/>
          <w:szCs w:val="24"/>
          <w:highlight w:val="none"/>
          <w:u w:val="single"/>
        </w:rPr>
        <w:t>974346.64</w:t>
      </w:r>
      <w:r>
        <w:rPr>
          <w:rFonts w:hint="eastAsia" w:asciiTheme="minorEastAsia" w:hAnsiTheme="minorEastAsia" w:eastAsiaTheme="minorEastAsia" w:cstheme="minorEastAsia"/>
          <w:color w:val="auto"/>
          <w:sz w:val="24"/>
          <w:szCs w:val="24"/>
          <w:highlight w:val="none"/>
        </w:rPr>
        <w:t>元（大写：玖拾柒万肆仟叁佰肆拾陆元陆角肆分）。</w:t>
      </w:r>
      <w:r>
        <w:rPr>
          <w:rFonts w:hint="eastAsia" w:asciiTheme="minorEastAsia" w:hAnsiTheme="minorEastAsia" w:eastAsiaTheme="minorEastAsia" w:cstheme="minorEastAsia"/>
          <w:bCs/>
          <w:color w:val="auto"/>
          <w:sz w:val="24"/>
          <w:szCs w:val="24"/>
          <w:highlight w:val="none"/>
        </w:rPr>
        <w:t>报价总金额是固定价且是唯一的，未超过本项</w:t>
      </w:r>
      <w:r>
        <w:rPr>
          <w:rFonts w:hint="eastAsia" w:ascii="宋体" w:hAnsi="宋体" w:cs="宋体"/>
          <w:bCs/>
          <w:color w:val="auto"/>
          <w:sz w:val="24"/>
          <w:highlight w:val="none"/>
        </w:rPr>
        <w:t>目最高报价限价。有效报价下浮率为0%-</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0%。</w:t>
      </w:r>
    </w:p>
    <w:p w14:paraId="687BAA8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shd w:val="clear" w:color="auto" w:fill="FFFFFF"/>
        </w:rPr>
        <w:t>报价人</w:t>
      </w:r>
      <w:r>
        <w:rPr>
          <w:rFonts w:hint="eastAsia" w:ascii="宋体" w:hAnsi="宋体" w:cs="宋体"/>
          <w:color w:val="auto"/>
          <w:sz w:val="24"/>
          <w:szCs w:val="24"/>
          <w:highlight w:val="none"/>
        </w:rPr>
        <w:t>参照《广东省城市规划收费标准的建议》（2003年10月）的收费标准，结合企业自身及项目情况自行报价，服务费报价超过最高报价限价将按无效报价处理。</w:t>
      </w:r>
    </w:p>
    <w:p w14:paraId="5E85E5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3.具体结算方式，以合同约定为准。</w:t>
      </w:r>
    </w:p>
    <w:p w14:paraId="42D261CA">
      <w:pPr>
        <w:spacing w:line="360" w:lineRule="auto"/>
        <w:textAlignment w:val="top"/>
        <w:rPr>
          <w:rFonts w:ascii="宋体" w:hAnsi="宋体" w:cs="宋体"/>
          <w:b/>
          <w:bCs/>
          <w:color w:val="auto"/>
          <w:sz w:val="24"/>
          <w:szCs w:val="24"/>
          <w:highlight w:val="none"/>
        </w:rPr>
      </w:pPr>
      <w:r>
        <w:rPr>
          <w:rFonts w:hint="eastAsia" w:ascii="宋体" w:hAnsi="宋体" w:cs="宋体"/>
          <w:b/>
          <w:bCs/>
          <w:color w:val="auto"/>
          <w:sz w:val="24"/>
          <w:szCs w:val="24"/>
          <w:highlight w:val="none"/>
        </w:rPr>
        <w:t>六、询比代理服务费及成交通知书的交付</w:t>
      </w:r>
    </w:p>
    <w:p w14:paraId="4136FB02">
      <w:pPr>
        <w:spacing w:line="360" w:lineRule="auto"/>
        <w:ind w:firstLine="480" w:firstLineChars="200"/>
        <w:textAlignment w:val="top"/>
        <w:rPr>
          <w:rFonts w:ascii="宋体" w:hAnsi="宋体" w:cs="宋体"/>
          <w:bCs/>
          <w:color w:val="auto"/>
          <w:sz w:val="24"/>
          <w:szCs w:val="20"/>
          <w:highlight w:val="none"/>
        </w:rPr>
      </w:pPr>
      <w:r>
        <w:rPr>
          <w:rFonts w:hint="eastAsia" w:ascii="宋体" w:hAnsi="宋体" w:cs="宋体"/>
          <w:color w:val="auto"/>
          <w:sz w:val="24"/>
          <w:highlight w:val="none"/>
        </w:rPr>
        <w:t>本次的询比代理服务费人民币1500元（大写：壹仟伍佰元整）由中选单位在收取成交通知书时一次性支付给询比代理服务机构。</w:t>
      </w:r>
    </w:p>
    <w:p w14:paraId="2395C393">
      <w:pPr>
        <w:pStyle w:val="25"/>
        <w:spacing w:line="360" w:lineRule="auto"/>
        <w:rPr>
          <w:rFonts w:ascii="宋体" w:hAnsi="宋体" w:cs="宋体"/>
          <w:b/>
          <w:bCs/>
          <w:color w:val="auto"/>
          <w:sz w:val="24"/>
          <w:szCs w:val="24"/>
          <w:highlight w:val="none"/>
        </w:rPr>
      </w:pPr>
      <w:r>
        <w:rPr>
          <w:rFonts w:hint="eastAsia" w:ascii="宋体" w:hAnsi="宋体" w:cs="宋体"/>
          <w:b/>
          <w:bCs/>
          <w:color w:val="auto"/>
          <w:sz w:val="24"/>
          <w:highlight w:val="none"/>
        </w:rPr>
        <w:t>七、</w:t>
      </w:r>
      <w:r>
        <w:rPr>
          <w:rFonts w:hint="eastAsia" w:ascii="宋体" w:hAnsi="宋体" w:cs="宋体"/>
          <w:b/>
          <w:bCs/>
          <w:color w:val="auto"/>
          <w:sz w:val="24"/>
          <w:szCs w:val="24"/>
          <w:highlight w:val="none"/>
        </w:rPr>
        <w:t>询比文件的获取和公告时间</w:t>
      </w:r>
    </w:p>
    <w:p w14:paraId="00574B91">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1.凡有意参加报价者，请于2024年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bookmarkStart w:id="18" w:name="_GoBack"/>
      <w:bookmarkEnd w:id="18"/>
      <w:r>
        <w:rPr>
          <w:rFonts w:hint="eastAsia" w:ascii="宋体" w:hAnsi="宋体" w:cs="宋体"/>
          <w:color w:val="auto"/>
          <w:sz w:val="24"/>
          <w:szCs w:val="24"/>
          <w:highlight w:val="none"/>
        </w:rPr>
        <w:t>日至2024年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日，登录广州市荔湾区人民政府网站下载询比文件。</w:t>
      </w:r>
    </w:p>
    <w:p w14:paraId="1A01D776">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2.询比公告发布时间：</w:t>
      </w:r>
    </w:p>
    <w:p w14:paraId="0C81F860">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发布询比公告开始日期（含本日）为：2024年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w:t>
      </w:r>
    </w:p>
    <w:p w14:paraId="5704B6A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发布询比公告截止日期（含本日）为：2024年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w:t>
      </w:r>
    </w:p>
    <w:p w14:paraId="078B7C06">
      <w:pPr>
        <w:spacing w:line="360" w:lineRule="auto"/>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rPr>
        <w:t>八、</w:t>
      </w:r>
      <w:r>
        <w:rPr>
          <w:rFonts w:hint="eastAsia" w:ascii="宋体" w:hAnsi="宋体" w:cs="宋体"/>
          <w:b/>
          <w:bCs/>
          <w:color w:val="auto"/>
          <w:sz w:val="24"/>
          <w:szCs w:val="24"/>
          <w:highlight w:val="none"/>
          <w:shd w:val="clear" w:color="auto" w:fill="FFFFFF"/>
        </w:rPr>
        <w:t>报价文件的递交时间和递交地点：</w:t>
      </w:r>
    </w:p>
    <w:p w14:paraId="52B34593">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由报价意向人的法定代表人或授权代表</w:t>
      </w:r>
      <w:r>
        <w:rPr>
          <w:rFonts w:hint="eastAsia" w:ascii="宋体" w:hAnsi="宋体" w:cs="宋体"/>
          <w:b/>
          <w:bCs/>
          <w:color w:val="auto"/>
          <w:sz w:val="24"/>
          <w:szCs w:val="24"/>
          <w:highlight w:val="none"/>
        </w:rPr>
        <w:t>手持法定代表人证明书、授权委托书及身份证原件</w:t>
      </w:r>
      <w:r>
        <w:rPr>
          <w:rFonts w:hint="eastAsia" w:ascii="宋体" w:hAnsi="宋体" w:cs="宋体"/>
          <w:color w:val="auto"/>
          <w:sz w:val="24"/>
          <w:szCs w:val="24"/>
          <w:highlight w:val="none"/>
        </w:rPr>
        <w:t>在2024年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w:t>
      </w:r>
      <w:r>
        <w:rPr>
          <w:rFonts w:hint="eastAsia" w:ascii="宋体" w:hAnsi="宋体" w:cs="宋体"/>
          <w:color w:val="auto"/>
          <w:kern w:val="0"/>
          <w:sz w:val="24"/>
          <w:highlight w:val="none"/>
        </w:rPr>
        <w:t>上午</w:t>
      </w:r>
      <w:r>
        <w:rPr>
          <w:rFonts w:hint="eastAsia" w:ascii="宋体" w:hAnsi="宋体" w:cs="宋体"/>
          <w:color w:val="auto"/>
          <w:kern w:val="0"/>
          <w:sz w:val="24"/>
          <w:highlight w:val="none"/>
          <w:u w:val="single"/>
        </w:rPr>
        <w:t xml:space="preserve"> 9:30—11:30 </w:t>
      </w:r>
      <w:r>
        <w:rPr>
          <w:rFonts w:hint="eastAsia" w:ascii="宋体" w:hAnsi="宋体" w:cs="宋体"/>
          <w:color w:val="auto"/>
          <w:sz w:val="24"/>
          <w:szCs w:val="24"/>
          <w:highlight w:val="none"/>
        </w:rPr>
        <w:t>递交至</w:t>
      </w:r>
      <w:r>
        <w:rPr>
          <w:rFonts w:hint="eastAsia" w:ascii="宋体" w:hAnsi="宋体" w:cs="宋体"/>
          <w:color w:val="auto"/>
          <w:sz w:val="24"/>
          <w:highlight w:val="none"/>
          <w:u w:val="single"/>
        </w:rPr>
        <w:t>广州市天河区黄埔大道中122号412房</w:t>
      </w:r>
      <w:r>
        <w:rPr>
          <w:rFonts w:hint="eastAsia" w:ascii="宋体" w:hAnsi="宋体" w:cs="宋体"/>
          <w:color w:val="auto"/>
          <w:sz w:val="24"/>
          <w:szCs w:val="24"/>
          <w:highlight w:val="none"/>
        </w:rPr>
        <w:t>，逾期恕不受理。</w:t>
      </w:r>
    </w:p>
    <w:p w14:paraId="39DDCC65">
      <w:pPr>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九、询比人不承担报价人参加本次报价活动所发生的任何费用。询比人因故取消或中止询比活动，报价人无条件服从，因报价活动产生的费用报价人自行负责。</w:t>
      </w:r>
    </w:p>
    <w:p w14:paraId="0CCDCD75">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十、询比人将在广州市荔湾区人民政府网上发布中选结果，中选公示期为1天。</w:t>
      </w:r>
    </w:p>
    <w:p w14:paraId="1CEF013A">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十一、广州市荔湾区城市更新建设项目管理中心对公告及询比文件有最终解释权。</w:t>
      </w:r>
    </w:p>
    <w:p w14:paraId="42F0E513">
      <w:pPr>
        <w:spacing w:line="360" w:lineRule="auto"/>
        <w:textAlignment w:val="top"/>
        <w:rPr>
          <w:rFonts w:ascii="宋体" w:hAnsi="宋体" w:cs="宋体"/>
          <w:b/>
          <w:bCs/>
          <w:color w:val="auto"/>
          <w:sz w:val="24"/>
          <w:szCs w:val="24"/>
          <w:highlight w:val="none"/>
        </w:rPr>
      </w:pPr>
      <w:r>
        <w:rPr>
          <w:rFonts w:hint="eastAsia" w:ascii="宋体" w:hAnsi="宋体" w:cs="宋体"/>
          <w:b/>
          <w:bCs/>
          <w:color w:val="auto"/>
          <w:sz w:val="24"/>
          <w:szCs w:val="24"/>
          <w:highlight w:val="none"/>
        </w:rPr>
        <w:t>十二、联系方式：</w:t>
      </w:r>
    </w:p>
    <w:p w14:paraId="3A901C2B">
      <w:pPr>
        <w:spacing w:line="360" w:lineRule="auto"/>
        <w:ind w:firstLine="480" w:firstLineChars="200"/>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询比单位：</w:t>
      </w:r>
      <w:r>
        <w:rPr>
          <w:rFonts w:hint="eastAsia" w:ascii="宋体" w:hAnsi="宋体" w:cs="宋体"/>
          <w:color w:val="auto"/>
          <w:sz w:val="24"/>
          <w:szCs w:val="24"/>
          <w:highlight w:val="none"/>
          <w:u w:val="single"/>
        </w:rPr>
        <w:t>广州市荔湾区城市更新建设项目管理中心</w:t>
      </w:r>
    </w:p>
    <w:p w14:paraId="09F91E76">
      <w:pPr>
        <w:spacing w:line="360" w:lineRule="auto"/>
        <w:ind w:firstLine="480" w:firstLineChars="200"/>
        <w:jc w:val="left"/>
        <w:textAlignment w:val="top"/>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梁工             </w:t>
      </w:r>
    </w:p>
    <w:p w14:paraId="743D4B72">
      <w:pPr>
        <w:spacing w:line="360" w:lineRule="auto"/>
        <w:ind w:firstLine="480" w:firstLineChars="200"/>
        <w:jc w:val="left"/>
        <w:textAlignment w:val="top"/>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020-81812810       </w:t>
      </w:r>
      <w:r>
        <w:rPr>
          <w:rFonts w:hint="eastAsia" w:ascii="宋体" w:hAnsi="宋体" w:cs="宋体"/>
          <w:color w:val="auto"/>
          <w:sz w:val="24"/>
          <w:szCs w:val="24"/>
          <w:highlight w:val="none"/>
          <w:u w:val="single"/>
          <w:lang w:val="en-US" w:eastAsia="zh-CN"/>
        </w:rPr>
        <w:t xml:space="preserve"> </w:t>
      </w:r>
    </w:p>
    <w:p w14:paraId="39D5D9EC">
      <w:pPr>
        <w:spacing w:line="360" w:lineRule="auto"/>
        <w:ind w:firstLine="480" w:firstLineChars="200"/>
        <w:jc w:val="left"/>
        <w:textAlignment w:val="top"/>
        <w:rPr>
          <w:rFonts w:ascii="宋体" w:hAnsi="宋体" w:cs="宋体"/>
          <w:color w:val="auto"/>
          <w:sz w:val="24"/>
          <w:szCs w:val="24"/>
          <w:highlight w:val="none"/>
        </w:rPr>
      </w:pPr>
    </w:p>
    <w:p w14:paraId="66955927">
      <w:pPr>
        <w:spacing w:line="360" w:lineRule="auto"/>
        <w:ind w:firstLine="480" w:firstLineChars="200"/>
        <w:jc w:val="left"/>
        <w:textAlignment w:val="top"/>
        <w:rPr>
          <w:rFonts w:ascii="宋体" w:hAnsi="宋体" w:cs="宋体"/>
          <w:color w:val="auto"/>
          <w:sz w:val="24"/>
          <w:highlight w:val="none"/>
        </w:rPr>
      </w:pPr>
      <w:r>
        <w:rPr>
          <w:rFonts w:hint="eastAsia" w:ascii="宋体" w:hAnsi="宋体" w:cs="宋体"/>
          <w:color w:val="auto"/>
          <w:sz w:val="24"/>
          <w:szCs w:val="24"/>
          <w:highlight w:val="none"/>
        </w:rPr>
        <w:t>询比代理单位：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成致项目管理有限公司</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 xml:space="preserve"> </w:t>
      </w:r>
    </w:p>
    <w:p w14:paraId="274C92AD">
      <w:pPr>
        <w:spacing w:line="360" w:lineRule="auto"/>
        <w:ind w:firstLine="480" w:firstLineChars="200"/>
        <w:jc w:val="left"/>
        <w:textAlignment w:val="top"/>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李先生            </w:t>
      </w:r>
    </w:p>
    <w:p w14:paraId="661C9599">
      <w:pPr>
        <w:spacing w:line="360" w:lineRule="auto"/>
        <w:ind w:firstLine="480" w:firstLineChars="200"/>
        <w:jc w:val="left"/>
        <w:textAlignment w:val="top"/>
        <w:rPr>
          <w:rFonts w:ascii="宋体" w:hAnsi="宋体" w:cs="宋体"/>
          <w:color w:val="auto"/>
          <w:sz w:val="24"/>
          <w:szCs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18928782297         </w:t>
      </w:r>
    </w:p>
    <w:p w14:paraId="7393AC7D">
      <w:pPr>
        <w:spacing w:line="360" w:lineRule="auto"/>
        <w:ind w:firstLine="480" w:firstLineChars="200"/>
        <w:jc w:val="right"/>
        <w:textAlignment w:val="top"/>
        <w:rPr>
          <w:rFonts w:ascii="宋体" w:hAnsi="宋体" w:cs="宋体"/>
          <w:color w:val="auto"/>
          <w:sz w:val="24"/>
          <w:szCs w:val="24"/>
          <w:highlight w:val="none"/>
        </w:rPr>
      </w:pPr>
    </w:p>
    <w:p w14:paraId="44951274">
      <w:pPr>
        <w:spacing w:line="360" w:lineRule="auto"/>
        <w:ind w:firstLine="480" w:firstLineChars="200"/>
        <w:jc w:val="center"/>
        <w:textAlignment w:val="top"/>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1A9D227">
      <w:pPr>
        <w:spacing w:line="360" w:lineRule="auto"/>
        <w:ind w:firstLine="480" w:firstLineChars="200"/>
        <w:jc w:val="right"/>
        <w:textAlignment w:val="top"/>
        <w:rPr>
          <w:rFonts w:ascii="宋体" w:hAnsi="宋体" w:cs="宋体"/>
          <w:color w:val="auto"/>
          <w:sz w:val="24"/>
          <w:szCs w:val="24"/>
          <w:highlight w:val="none"/>
        </w:rPr>
      </w:pPr>
      <w:r>
        <w:rPr>
          <w:rFonts w:hint="eastAsia" w:ascii="宋体" w:hAnsi="宋体" w:cs="宋体"/>
          <w:color w:val="auto"/>
          <w:sz w:val="24"/>
          <w:szCs w:val="24"/>
          <w:highlight w:val="none"/>
        </w:rPr>
        <w:t xml:space="preserve">                        广州市荔湾区城市更新建设项目管理中心</w:t>
      </w:r>
    </w:p>
    <w:p w14:paraId="293FD3A6">
      <w:pPr>
        <w:spacing w:line="360" w:lineRule="auto"/>
        <w:ind w:firstLine="480" w:firstLineChars="200"/>
        <w:jc w:val="center"/>
        <w:textAlignment w:val="top"/>
        <w:rPr>
          <w:rFonts w:ascii="宋体" w:hAnsi="宋体" w:cs="宋体"/>
          <w:b/>
          <w:color w:val="auto"/>
          <w:sz w:val="24"/>
          <w:szCs w:val="24"/>
          <w:highlight w:val="none"/>
        </w:rPr>
        <w:sectPr>
          <w:headerReference r:id="rId5" w:type="default"/>
          <w:footerReference r:id="rId6" w:type="default"/>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color w:val="auto"/>
          <w:sz w:val="24"/>
          <w:szCs w:val="24"/>
          <w:highlight w:val="none"/>
        </w:rPr>
        <w:t xml:space="preserve">                                       2024年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w:t>
      </w:r>
    </w:p>
    <w:p w14:paraId="687F6883">
      <w:pPr>
        <w:pStyle w:val="11"/>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第二章 评审办法</w:t>
      </w:r>
    </w:p>
    <w:p w14:paraId="2166C49E">
      <w:pPr>
        <w:pStyle w:val="11"/>
        <w:spacing w:line="360" w:lineRule="auto"/>
        <w:jc w:val="left"/>
        <w:rPr>
          <w:rFonts w:hAnsi="宋体" w:eastAsia="宋体" w:cs="宋体"/>
          <w:color w:val="auto"/>
          <w:sz w:val="24"/>
          <w:szCs w:val="24"/>
          <w:highlight w:val="none"/>
        </w:rPr>
      </w:pPr>
    </w:p>
    <w:p w14:paraId="01992621">
      <w:pPr>
        <w:pStyle w:val="11"/>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14:paraId="19DE503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cs="宋体"/>
          <w:color w:val="auto"/>
          <w:kern w:val="0"/>
          <w:sz w:val="24"/>
          <w:szCs w:val="24"/>
          <w:highlight w:val="none"/>
        </w:rPr>
        <w:t>（详见附件一：</w:t>
      </w:r>
      <w:r>
        <w:rPr>
          <w:rFonts w:hint="eastAsia" w:ascii="宋体" w:hAnsi="宋体" w:cs="宋体"/>
          <w:color w:val="auto"/>
          <w:sz w:val="24"/>
          <w:szCs w:val="24"/>
          <w:highlight w:val="none"/>
        </w:rPr>
        <w:t>资格性和符合性审查表</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p>
    <w:p w14:paraId="7449E15A">
      <w:pPr>
        <w:pStyle w:val="11"/>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2.询比人对满足询比文件实质性要求的报价文件，按照询比文件规定的评分标准进行打分，评审过程中如发现存在不满足询比文件实质性要求的报价文件不予评分。</w:t>
      </w:r>
    </w:p>
    <w:p w14:paraId="0FC936BA">
      <w:pPr>
        <w:pStyle w:val="11"/>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14:paraId="7625D400">
      <w:pPr>
        <w:pStyle w:val="11"/>
        <w:spacing w:line="360" w:lineRule="auto"/>
        <w:ind w:firstLine="480" w:firstLineChars="200"/>
        <w:jc w:val="left"/>
        <w:rPr>
          <w:rFonts w:hint="eastAsia" w:hAnsi="宋体" w:eastAsia="宋体" w:cs="宋体"/>
          <w:color w:val="auto"/>
          <w:sz w:val="24"/>
          <w:szCs w:val="24"/>
          <w:highlight w:val="none"/>
        </w:rPr>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Ansi="宋体" w:eastAsia="宋体" w:cs="宋体"/>
          <w:color w:val="auto"/>
          <w:sz w:val="24"/>
          <w:szCs w:val="24"/>
          <w:highlight w:val="none"/>
        </w:rPr>
        <w:t>4.若本项目满足资格性和符合性审查合格条件的报价人不足3家或经评审有效的报价人不足</w:t>
      </w:r>
      <w:r>
        <w:rPr>
          <w:rFonts w:hint="eastAsia" w:hAnsi="宋体" w:eastAsia="宋体" w:cs="宋体"/>
          <w:color w:val="auto"/>
          <w:sz w:val="24"/>
          <w:szCs w:val="24"/>
          <w:highlight w:val="none"/>
          <w:lang w:val="en-US" w:eastAsia="zh-CN"/>
        </w:rPr>
        <w:t>2</w:t>
      </w:r>
      <w:r>
        <w:rPr>
          <w:rFonts w:hint="eastAsia" w:hAnsi="宋体" w:eastAsia="宋体" w:cs="宋体"/>
          <w:color w:val="auto"/>
          <w:sz w:val="24"/>
          <w:szCs w:val="24"/>
          <w:highlight w:val="none"/>
        </w:rPr>
        <w:t>家，则本次询比失败，询比人将视情况重新组织询比。</w:t>
      </w:r>
    </w:p>
    <w:p w14:paraId="120E99E6">
      <w:pPr>
        <w:tabs>
          <w:tab w:val="left" w:pos="5220"/>
        </w:tabs>
        <w:adjustRightInd w:val="0"/>
        <w:snapToGrid w:val="0"/>
        <w:spacing w:line="360" w:lineRule="auto"/>
        <w:jc w:val="center"/>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第三章 报价文件</w:t>
      </w:r>
    </w:p>
    <w:p w14:paraId="6C0D9A9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一.报价文件编制要求</w:t>
      </w:r>
    </w:p>
    <w:p w14:paraId="6714B660">
      <w:pPr>
        <w:spacing w:line="360" w:lineRule="auto"/>
        <w:ind w:firstLine="480" w:firstLineChars="200"/>
        <w:textAlignment w:val="top"/>
        <w:rPr>
          <w:rFonts w:ascii="宋体" w:hAnsi="宋体" w:cs="宋体"/>
          <w:color w:val="auto"/>
          <w:sz w:val="24"/>
          <w:highlight w:val="none"/>
        </w:rPr>
      </w:pPr>
      <w:r>
        <w:rPr>
          <w:rFonts w:hint="eastAsia" w:ascii="宋体" w:hAnsi="宋体" w:cs="宋体"/>
          <w:color w:val="auto"/>
          <w:sz w:val="24"/>
          <w:highlight w:val="none"/>
        </w:rPr>
        <w:t>1.报价文件编制规范、签署合格、报价唯一固定、报价无重大漏项及重大不合理。</w:t>
      </w:r>
    </w:p>
    <w:p w14:paraId="59EAE272">
      <w:pPr>
        <w:spacing w:line="360" w:lineRule="auto"/>
        <w:ind w:firstLine="480" w:firstLineChars="200"/>
        <w:textAlignment w:val="top"/>
        <w:rPr>
          <w:rFonts w:ascii="宋体" w:hAnsi="宋体" w:cs="宋体"/>
          <w:color w:val="auto"/>
          <w:sz w:val="24"/>
          <w:highlight w:val="none"/>
        </w:rPr>
      </w:pPr>
      <w:r>
        <w:rPr>
          <w:rFonts w:hint="eastAsia" w:ascii="宋体" w:hAnsi="宋体" w:cs="宋体"/>
          <w:color w:val="auto"/>
          <w:sz w:val="24"/>
          <w:highlight w:val="none"/>
        </w:rPr>
        <w:t>2.报价文件份数为一式二份，一份为正本，一份为副本，正本和副本不一致的以正本为准。报价文件须用不褪色的黑色墨水书写或打印，报价文件应装订成册，</w:t>
      </w:r>
      <w:bookmarkStart w:id="1" w:name="_Hlk93265209"/>
      <w:r>
        <w:rPr>
          <w:rFonts w:hint="eastAsia" w:ascii="宋体" w:hAnsi="宋体" w:cs="宋体"/>
          <w:color w:val="auto"/>
          <w:sz w:val="24"/>
          <w:highlight w:val="none"/>
        </w:rPr>
        <w:t>封面右上角注明正本或副本</w:t>
      </w:r>
      <w:bookmarkEnd w:id="1"/>
      <w:r>
        <w:rPr>
          <w:rFonts w:hint="eastAsia" w:ascii="宋体" w:hAnsi="宋体" w:cs="宋体"/>
          <w:color w:val="auto"/>
          <w:sz w:val="24"/>
          <w:highlight w:val="none"/>
        </w:rPr>
        <w:t>，</w:t>
      </w:r>
      <w:r>
        <w:rPr>
          <w:rFonts w:hint="eastAsia" w:ascii="宋体" w:hAnsi="宋体" w:cs="宋体"/>
          <w:color w:val="auto"/>
          <w:kern w:val="0"/>
          <w:sz w:val="24"/>
          <w:highlight w:val="none"/>
        </w:rPr>
        <w:t>报价文件（纸质版）须加盖单位公章后扫描拷贝至光盘或u盘，光盘或u盘内的文件内容应与纸质版的报价文件内容一致，并与报价文件（纸质版）装入同一个密封袋。</w:t>
      </w:r>
      <w:r>
        <w:rPr>
          <w:rFonts w:hint="eastAsia" w:ascii="宋体" w:hAnsi="宋体" w:cs="宋体"/>
          <w:b/>
          <w:bCs/>
          <w:color w:val="auto"/>
          <w:kern w:val="0"/>
          <w:sz w:val="24"/>
          <w:highlight w:val="none"/>
        </w:rPr>
        <w:t>封口须加盖公章密封，否则报价文件当无效处理。</w:t>
      </w:r>
    </w:p>
    <w:p w14:paraId="625D79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3.报价文件密封在一个包封内，外包装材料不应留有可在包封后添加或抽取报价文件的空隙。外面应标注“项目名称”、“报价文件”、“联系人”、“联系方式”和“报价单位”等字样。</w:t>
      </w:r>
    </w:p>
    <w:p w14:paraId="1AE9E957">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4.报价文件中的所有材料内容（复印件、截图证明等）</w:t>
      </w:r>
      <w:r>
        <w:rPr>
          <w:rFonts w:hint="eastAsia" w:ascii="宋体" w:hAnsi="宋体" w:cs="宋体"/>
          <w:b/>
          <w:bCs/>
          <w:color w:val="auto"/>
          <w:sz w:val="24"/>
          <w:highlight w:val="none"/>
        </w:rPr>
        <w:t>须清晰可见，模糊不清晰的则当无效材料处理</w:t>
      </w:r>
      <w:r>
        <w:rPr>
          <w:rFonts w:hint="eastAsia" w:ascii="宋体" w:hAnsi="宋体" w:cs="宋体"/>
          <w:color w:val="auto"/>
          <w:sz w:val="24"/>
          <w:highlight w:val="none"/>
        </w:rPr>
        <w:t>。报价文件须附上材料目录（附页码）。</w:t>
      </w:r>
    </w:p>
    <w:p w14:paraId="163B1B03">
      <w:pPr>
        <w:widowControl/>
        <w:adjustRightInd w:val="0"/>
        <w:snapToGri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14:paraId="6AF9922C">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1.报价表（原件，格式详见附件三）；</w:t>
      </w:r>
    </w:p>
    <w:p w14:paraId="69AD89EA">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2.企业营业执照或事业单位法人证书（复印件）；</w:t>
      </w:r>
    </w:p>
    <w:p w14:paraId="538C7AAD">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3.法定代表人身份证明书（原件）、授权代表委托书（原件）；</w:t>
      </w:r>
    </w:p>
    <w:p w14:paraId="17DCF7FD">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4.业绩情况汇总表（原件，格式详见附件四）；</w:t>
      </w:r>
    </w:p>
    <w:p w14:paraId="7DBB5ADA">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5.项目负责人相关证书（复印件）；</w:t>
      </w:r>
    </w:p>
    <w:p w14:paraId="2AE8E961">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6.综合评分表上要求提供的其他材料（复印件）；</w:t>
      </w:r>
    </w:p>
    <w:p w14:paraId="6417AD24">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7.承诺书（原件，详见附件六）；</w:t>
      </w:r>
    </w:p>
    <w:p w14:paraId="74997BFA">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8.其他报价人认为需要提供的资料。</w:t>
      </w:r>
    </w:p>
    <w:p w14:paraId="27FED139">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以上复印件材料均需加盖单位公章。</w:t>
      </w:r>
    </w:p>
    <w:p w14:paraId="18223A54">
      <w:pPr>
        <w:adjustRightInd w:val="0"/>
        <w:snapToGri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附件：</w:t>
      </w:r>
    </w:p>
    <w:p w14:paraId="2C873FD2">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1.资格性和符合性审查表；</w:t>
      </w:r>
    </w:p>
    <w:p w14:paraId="591A7C98">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2.综合评分表；</w:t>
      </w:r>
    </w:p>
    <w:p w14:paraId="14199C86">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3.报价表；</w:t>
      </w:r>
    </w:p>
    <w:p w14:paraId="26AFFA58">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4.业绩情况汇总表；</w:t>
      </w:r>
    </w:p>
    <w:p w14:paraId="2A274225">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5.项目负责人及其他人员配备情况表；</w:t>
      </w:r>
    </w:p>
    <w:p w14:paraId="216B91B5">
      <w:pPr>
        <w:pStyle w:val="11"/>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6.承诺书。</w:t>
      </w:r>
    </w:p>
    <w:p w14:paraId="1A9F8FAD">
      <w:pPr>
        <w:pStyle w:val="11"/>
        <w:adjustRightInd w:val="0"/>
        <w:snapToGrid w:val="0"/>
        <w:spacing w:line="360" w:lineRule="auto"/>
        <w:ind w:firstLine="480" w:firstLineChars="200"/>
        <w:jc w:val="left"/>
        <w:rPr>
          <w:rFonts w:hAnsi="宋体" w:eastAsia="宋体" w:cs="宋体"/>
          <w:color w:val="auto"/>
          <w:sz w:val="24"/>
          <w:szCs w:val="24"/>
          <w:highlight w:val="none"/>
        </w:rPr>
        <w:sectPr>
          <w:pgSz w:w="11906" w:h="16838"/>
          <w:pgMar w:top="1327" w:right="1519" w:bottom="1327" w:left="1519" w:header="851" w:footer="709" w:gutter="0"/>
          <w:pgBorders>
            <w:top w:val="none" w:sz="0" w:space="0"/>
            <w:left w:val="none" w:sz="0" w:space="0"/>
            <w:bottom w:val="none" w:sz="0" w:space="0"/>
            <w:right w:val="none" w:sz="0" w:space="0"/>
          </w:pgBorders>
          <w:cols w:space="0" w:num="1"/>
          <w:docGrid w:type="lines" w:linePitch="312" w:charSpace="0"/>
        </w:sectPr>
      </w:pPr>
    </w:p>
    <w:p w14:paraId="27D6E16A">
      <w:pPr>
        <w:pStyle w:val="11"/>
        <w:spacing w:line="360" w:lineRule="auto"/>
        <w:jc w:val="left"/>
        <w:rPr>
          <w:rFonts w:hAnsi="宋体" w:eastAsia="宋体" w:cs="宋体"/>
          <w:color w:val="auto"/>
          <w:sz w:val="24"/>
          <w:szCs w:val="24"/>
          <w:highlight w:val="none"/>
        </w:rPr>
      </w:pPr>
      <w:r>
        <w:rPr>
          <w:rFonts w:hint="eastAsia" w:hAnsi="宋体" w:eastAsia="宋体" w:cs="宋体"/>
          <w:color w:val="auto"/>
          <w:sz w:val="24"/>
          <w:szCs w:val="24"/>
          <w:highlight w:val="none"/>
        </w:rPr>
        <w:t>附表一</w:t>
      </w:r>
    </w:p>
    <w:p w14:paraId="52BB0AF1">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资格性和符合性审查表</w:t>
      </w:r>
    </w:p>
    <w:p w14:paraId="3736C204">
      <w:pPr>
        <w:pStyle w:val="25"/>
        <w:rPr>
          <w:color w:val="auto"/>
          <w:highlight w:val="none"/>
        </w:rPr>
      </w:pPr>
    </w:p>
    <w:p w14:paraId="182B29D7">
      <w:pPr>
        <w:jc w:val="left"/>
        <w:rPr>
          <w:rFonts w:ascii="宋体" w:hAnsi="宋体" w:cs="宋体"/>
          <w:color w:val="auto"/>
          <w:sz w:val="28"/>
          <w:szCs w:val="28"/>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陈家祠片区老旧小区微改造项目实施方案编制</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451"/>
        <w:gridCol w:w="1189"/>
        <w:gridCol w:w="1155"/>
        <w:gridCol w:w="965"/>
      </w:tblGrid>
      <w:tr w14:paraId="370B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8" w:type="dxa"/>
            <w:vAlign w:val="center"/>
          </w:tcPr>
          <w:p w14:paraId="4760B283">
            <w:pPr>
              <w:pStyle w:val="11"/>
              <w:jc w:val="center"/>
              <w:rPr>
                <w:rFonts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451" w:type="dxa"/>
            <w:vAlign w:val="center"/>
          </w:tcPr>
          <w:p w14:paraId="49D64B9D">
            <w:pPr>
              <w:pStyle w:val="11"/>
              <w:jc w:val="center"/>
              <w:rPr>
                <w:rFonts w:hAnsi="宋体" w:eastAsia="宋体" w:cs="宋体"/>
                <w:color w:val="auto"/>
                <w:sz w:val="24"/>
                <w:szCs w:val="24"/>
                <w:highlight w:val="none"/>
              </w:rPr>
            </w:pPr>
            <w:r>
              <w:rPr>
                <w:rFonts w:hint="eastAsia" w:hAnsi="宋体" w:eastAsia="宋体" w:cs="宋体"/>
                <w:color w:val="auto"/>
                <w:sz w:val="24"/>
                <w:szCs w:val="24"/>
                <w:highlight w:val="none"/>
              </w:rPr>
              <w:t>审查内容</w:t>
            </w:r>
          </w:p>
        </w:tc>
        <w:tc>
          <w:tcPr>
            <w:tcW w:w="1189" w:type="dxa"/>
            <w:vAlign w:val="center"/>
          </w:tcPr>
          <w:p w14:paraId="1A4DE72E">
            <w:pPr>
              <w:pStyle w:val="11"/>
              <w:jc w:val="center"/>
              <w:rPr>
                <w:rFonts w:hAnsi="宋体" w:eastAsia="宋体" w:cs="宋体"/>
                <w:color w:val="auto"/>
                <w:sz w:val="24"/>
                <w:szCs w:val="24"/>
                <w:highlight w:val="none"/>
              </w:rPr>
            </w:pPr>
            <w:r>
              <w:rPr>
                <w:rFonts w:hint="eastAsia" w:hAnsi="宋体" w:eastAsia="宋体" w:cs="宋体"/>
                <w:color w:val="auto"/>
                <w:sz w:val="24"/>
                <w:szCs w:val="24"/>
                <w:highlight w:val="none"/>
              </w:rPr>
              <w:t>报价人1</w:t>
            </w:r>
          </w:p>
        </w:tc>
        <w:tc>
          <w:tcPr>
            <w:tcW w:w="1155" w:type="dxa"/>
            <w:vAlign w:val="center"/>
          </w:tcPr>
          <w:p w14:paraId="52BE72D4">
            <w:pPr>
              <w:pStyle w:val="11"/>
              <w:jc w:val="center"/>
              <w:rPr>
                <w:rFonts w:hAnsi="宋体" w:eastAsia="宋体" w:cs="宋体"/>
                <w:color w:val="auto"/>
                <w:sz w:val="24"/>
                <w:szCs w:val="24"/>
                <w:highlight w:val="none"/>
              </w:rPr>
            </w:pPr>
            <w:r>
              <w:rPr>
                <w:rFonts w:hint="eastAsia" w:hAnsi="宋体" w:eastAsia="宋体" w:cs="宋体"/>
                <w:color w:val="auto"/>
                <w:sz w:val="24"/>
                <w:szCs w:val="24"/>
                <w:highlight w:val="none"/>
              </w:rPr>
              <w:t>报价人2</w:t>
            </w:r>
          </w:p>
        </w:tc>
        <w:tc>
          <w:tcPr>
            <w:tcW w:w="965" w:type="dxa"/>
            <w:vAlign w:val="center"/>
          </w:tcPr>
          <w:p w14:paraId="28787201">
            <w:pPr>
              <w:pStyle w:val="11"/>
              <w:jc w:val="center"/>
              <w:rPr>
                <w:rFonts w:hAnsi="宋体" w:eastAsia="宋体" w:cs="宋体"/>
                <w:color w:val="auto"/>
                <w:sz w:val="24"/>
                <w:szCs w:val="24"/>
                <w:highlight w:val="none"/>
              </w:rPr>
            </w:pPr>
            <w:r>
              <w:rPr>
                <w:rFonts w:hint="eastAsia" w:hAnsi="宋体" w:eastAsia="宋体" w:cs="宋体"/>
                <w:color w:val="auto"/>
                <w:sz w:val="24"/>
                <w:szCs w:val="24"/>
                <w:highlight w:val="none"/>
              </w:rPr>
              <w:t>.....</w:t>
            </w:r>
          </w:p>
        </w:tc>
      </w:tr>
      <w:tr w14:paraId="4530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68" w:type="dxa"/>
            <w:vAlign w:val="center"/>
          </w:tcPr>
          <w:p w14:paraId="56F6E7E6">
            <w:pPr>
              <w:pStyle w:val="11"/>
              <w:spacing w:line="360" w:lineRule="auto"/>
              <w:jc w:val="center"/>
              <w:rPr>
                <w:rFonts w:hAnsi="宋体" w:eastAsia="宋体" w:cs="宋体"/>
                <w:color w:val="auto"/>
                <w:szCs w:val="21"/>
                <w:highlight w:val="none"/>
              </w:rPr>
            </w:pPr>
            <w:r>
              <w:rPr>
                <w:rFonts w:hint="eastAsia" w:hAnsi="宋体" w:eastAsia="宋体" w:cs="宋体"/>
                <w:color w:val="auto"/>
                <w:szCs w:val="21"/>
                <w:highlight w:val="none"/>
              </w:rPr>
              <w:t>1</w:t>
            </w:r>
          </w:p>
        </w:tc>
        <w:tc>
          <w:tcPr>
            <w:tcW w:w="4451" w:type="dxa"/>
            <w:vAlign w:val="center"/>
          </w:tcPr>
          <w:p w14:paraId="52ABFA57">
            <w:pPr>
              <w:jc w:val="left"/>
              <w:rPr>
                <w:rFonts w:ascii="宋体" w:hAnsi="宋体" w:cs="宋体"/>
                <w:color w:val="auto"/>
                <w:szCs w:val="21"/>
                <w:highlight w:val="none"/>
              </w:rPr>
            </w:pPr>
            <w:r>
              <w:rPr>
                <w:rFonts w:hint="eastAsia" w:ascii="宋体" w:hAnsi="宋体" w:cs="宋体"/>
                <w:color w:val="auto"/>
                <w:szCs w:val="21"/>
                <w:highlight w:val="none"/>
              </w:rPr>
              <w:t>报价人具有独立法人资格，持有市场监督（工商行政）管理部门核发的法人营业执照或各级登记管理机关颁发的事业单位法人证书，按国家法律经营。</w:t>
            </w:r>
          </w:p>
        </w:tc>
        <w:tc>
          <w:tcPr>
            <w:tcW w:w="1189" w:type="dxa"/>
          </w:tcPr>
          <w:p w14:paraId="36A2C644">
            <w:pPr>
              <w:pStyle w:val="11"/>
              <w:jc w:val="center"/>
              <w:rPr>
                <w:rFonts w:hAnsi="宋体" w:eastAsia="宋体" w:cs="宋体"/>
                <w:color w:val="auto"/>
                <w:sz w:val="24"/>
                <w:szCs w:val="24"/>
                <w:highlight w:val="none"/>
              </w:rPr>
            </w:pPr>
          </w:p>
        </w:tc>
        <w:tc>
          <w:tcPr>
            <w:tcW w:w="1155" w:type="dxa"/>
          </w:tcPr>
          <w:p w14:paraId="36A9BE2E">
            <w:pPr>
              <w:pStyle w:val="11"/>
              <w:jc w:val="center"/>
              <w:rPr>
                <w:rFonts w:hAnsi="宋体" w:eastAsia="宋体" w:cs="宋体"/>
                <w:color w:val="auto"/>
                <w:sz w:val="24"/>
                <w:szCs w:val="24"/>
                <w:highlight w:val="none"/>
              </w:rPr>
            </w:pPr>
          </w:p>
        </w:tc>
        <w:tc>
          <w:tcPr>
            <w:tcW w:w="965" w:type="dxa"/>
          </w:tcPr>
          <w:p w14:paraId="3E5DDE84">
            <w:pPr>
              <w:pStyle w:val="11"/>
              <w:jc w:val="center"/>
              <w:rPr>
                <w:rFonts w:hAnsi="宋体" w:eastAsia="宋体" w:cs="宋体"/>
                <w:color w:val="auto"/>
                <w:sz w:val="24"/>
                <w:szCs w:val="24"/>
                <w:highlight w:val="none"/>
              </w:rPr>
            </w:pPr>
          </w:p>
        </w:tc>
      </w:tr>
      <w:tr w14:paraId="0389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68" w:type="dxa"/>
            <w:vAlign w:val="center"/>
          </w:tcPr>
          <w:p w14:paraId="0ED6E321">
            <w:pPr>
              <w:pStyle w:val="11"/>
              <w:spacing w:line="360" w:lineRule="auto"/>
              <w:jc w:val="center"/>
              <w:rPr>
                <w:rFonts w:hAnsi="宋体" w:eastAsia="宋体" w:cs="宋体"/>
                <w:color w:val="auto"/>
                <w:szCs w:val="21"/>
                <w:highlight w:val="none"/>
              </w:rPr>
            </w:pPr>
            <w:r>
              <w:rPr>
                <w:rFonts w:hint="eastAsia" w:hAnsi="宋体" w:eastAsia="宋体" w:cs="宋体"/>
                <w:color w:val="auto"/>
                <w:szCs w:val="21"/>
                <w:highlight w:val="none"/>
              </w:rPr>
              <w:t>2</w:t>
            </w:r>
          </w:p>
        </w:tc>
        <w:tc>
          <w:tcPr>
            <w:tcW w:w="4451" w:type="dxa"/>
            <w:vAlign w:val="center"/>
          </w:tcPr>
          <w:p w14:paraId="094CC98D">
            <w:pPr>
              <w:jc w:val="left"/>
              <w:rPr>
                <w:rFonts w:ascii="宋体" w:hAnsi="宋体" w:cs="宋体"/>
                <w:color w:val="auto"/>
                <w:kern w:val="0"/>
                <w:szCs w:val="21"/>
                <w:highlight w:val="none"/>
              </w:rPr>
            </w:pPr>
            <w:r>
              <w:rPr>
                <w:rFonts w:hint="eastAsia" w:ascii="宋体" w:hAnsi="宋体" w:cs="宋体"/>
                <w:color w:val="auto"/>
                <w:szCs w:val="21"/>
                <w:highlight w:val="none"/>
              </w:rPr>
              <w:t>报价人具有</w:t>
            </w:r>
            <w:r>
              <w:rPr>
                <w:rFonts w:hint="eastAsia" w:ascii="宋体" w:hAnsi="宋体" w:cs="宋体"/>
                <w:bCs/>
                <w:color w:val="auto"/>
                <w:szCs w:val="21"/>
                <w:highlight w:val="none"/>
              </w:rPr>
              <w:t>建设行政主管部门核发的</w:t>
            </w:r>
            <w:r>
              <w:rPr>
                <w:rFonts w:hint="eastAsia" w:ascii="宋体" w:hAnsi="宋体" w:cs="宋体"/>
                <w:color w:val="auto"/>
                <w:szCs w:val="21"/>
                <w:highlight w:val="none"/>
              </w:rPr>
              <w:t>城乡规划编制资质乙级或以上资质。</w:t>
            </w:r>
          </w:p>
        </w:tc>
        <w:tc>
          <w:tcPr>
            <w:tcW w:w="1189" w:type="dxa"/>
          </w:tcPr>
          <w:p w14:paraId="3109B68F">
            <w:pPr>
              <w:pStyle w:val="11"/>
              <w:jc w:val="center"/>
              <w:rPr>
                <w:rFonts w:hAnsi="宋体" w:eastAsia="宋体" w:cs="宋体"/>
                <w:color w:val="auto"/>
                <w:sz w:val="24"/>
                <w:szCs w:val="24"/>
                <w:highlight w:val="none"/>
              </w:rPr>
            </w:pPr>
          </w:p>
        </w:tc>
        <w:tc>
          <w:tcPr>
            <w:tcW w:w="1155" w:type="dxa"/>
          </w:tcPr>
          <w:p w14:paraId="57C2CAC5">
            <w:pPr>
              <w:pStyle w:val="11"/>
              <w:jc w:val="center"/>
              <w:rPr>
                <w:rFonts w:hAnsi="宋体" w:eastAsia="宋体" w:cs="宋体"/>
                <w:color w:val="auto"/>
                <w:sz w:val="24"/>
                <w:szCs w:val="24"/>
                <w:highlight w:val="none"/>
              </w:rPr>
            </w:pPr>
          </w:p>
        </w:tc>
        <w:tc>
          <w:tcPr>
            <w:tcW w:w="965" w:type="dxa"/>
          </w:tcPr>
          <w:p w14:paraId="60658F36">
            <w:pPr>
              <w:pStyle w:val="11"/>
              <w:jc w:val="center"/>
              <w:rPr>
                <w:rFonts w:hAnsi="宋体" w:eastAsia="宋体" w:cs="宋体"/>
                <w:color w:val="auto"/>
                <w:sz w:val="24"/>
                <w:szCs w:val="24"/>
                <w:highlight w:val="none"/>
              </w:rPr>
            </w:pPr>
          </w:p>
        </w:tc>
      </w:tr>
      <w:tr w14:paraId="31DC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68" w:type="dxa"/>
            <w:vAlign w:val="center"/>
          </w:tcPr>
          <w:p w14:paraId="06EFEAF8">
            <w:pPr>
              <w:pStyle w:val="11"/>
              <w:spacing w:line="360" w:lineRule="auto"/>
              <w:jc w:val="center"/>
              <w:rPr>
                <w:rFonts w:hAnsi="宋体" w:eastAsia="宋体" w:cs="宋体"/>
                <w:color w:val="auto"/>
                <w:szCs w:val="21"/>
                <w:highlight w:val="none"/>
              </w:rPr>
            </w:pPr>
            <w:r>
              <w:rPr>
                <w:rFonts w:hint="eastAsia" w:hAnsi="宋体" w:eastAsia="宋体" w:cs="宋体"/>
                <w:color w:val="auto"/>
                <w:szCs w:val="21"/>
                <w:highlight w:val="none"/>
              </w:rPr>
              <w:t>3</w:t>
            </w:r>
          </w:p>
        </w:tc>
        <w:tc>
          <w:tcPr>
            <w:tcW w:w="4451" w:type="dxa"/>
            <w:vAlign w:val="center"/>
          </w:tcPr>
          <w:p w14:paraId="7F0AF782">
            <w:pPr>
              <w:pStyle w:val="25"/>
              <w:jc w:val="left"/>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项目负责人具有高级工程师（或以上）职称或具有注册城乡规划师资格及近1个月的本单位社保证明。</w:t>
            </w:r>
          </w:p>
        </w:tc>
        <w:tc>
          <w:tcPr>
            <w:tcW w:w="1189" w:type="dxa"/>
          </w:tcPr>
          <w:p w14:paraId="1C832626">
            <w:pPr>
              <w:pStyle w:val="11"/>
              <w:jc w:val="center"/>
              <w:rPr>
                <w:rFonts w:hAnsi="宋体" w:eastAsia="宋体" w:cs="宋体"/>
                <w:color w:val="auto"/>
                <w:sz w:val="24"/>
                <w:szCs w:val="24"/>
                <w:highlight w:val="none"/>
              </w:rPr>
            </w:pPr>
          </w:p>
        </w:tc>
        <w:tc>
          <w:tcPr>
            <w:tcW w:w="1155" w:type="dxa"/>
          </w:tcPr>
          <w:p w14:paraId="1AF493F4">
            <w:pPr>
              <w:pStyle w:val="11"/>
              <w:jc w:val="center"/>
              <w:rPr>
                <w:rFonts w:hAnsi="宋体" w:eastAsia="宋体" w:cs="宋体"/>
                <w:color w:val="auto"/>
                <w:sz w:val="24"/>
                <w:szCs w:val="24"/>
                <w:highlight w:val="none"/>
              </w:rPr>
            </w:pPr>
          </w:p>
        </w:tc>
        <w:tc>
          <w:tcPr>
            <w:tcW w:w="965" w:type="dxa"/>
          </w:tcPr>
          <w:p w14:paraId="430923ED">
            <w:pPr>
              <w:pStyle w:val="11"/>
              <w:jc w:val="center"/>
              <w:rPr>
                <w:rFonts w:hAnsi="宋体" w:eastAsia="宋体" w:cs="宋体"/>
                <w:color w:val="auto"/>
                <w:sz w:val="24"/>
                <w:szCs w:val="24"/>
                <w:highlight w:val="none"/>
              </w:rPr>
            </w:pPr>
          </w:p>
        </w:tc>
      </w:tr>
      <w:tr w14:paraId="6D2A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68" w:type="dxa"/>
            <w:vAlign w:val="center"/>
          </w:tcPr>
          <w:p w14:paraId="115D27EB">
            <w:pPr>
              <w:pStyle w:val="11"/>
              <w:spacing w:line="360" w:lineRule="auto"/>
              <w:jc w:val="center"/>
              <w:rPr>
                <w:rFonts w:hAnsi="宋体" w:eastAsia="宋体" w:cs="宋体"/>
                <w:color w:val="auto"/>
                <w:szCs w:val="21"/>
                <w:highlight w:val="none"/>
              </w:rPr>
            </w:pPr>
            <w:r>
              <w:rPr>
                <w:rFonts w:hint="eastAsia" w:hAnsi="宋体" w:eastAsia="宋体" w:cs="宋体"/>
                <w:color w:val="auto"/>
                <w:szCs w:val="21"/>
                <w:highlight w:val="none"/>
              </w:rPr>
              <w:t>4</w:t>
            </w:r>
          </w:p>
        </w:tc>
        <w:tc>
          <w:tcPr>
            <w:tcW w:w="4451" w:type="dxa"/>
            <w:vAlign w:val="center"/>
          </w:tcPr>
          <w:p w14:paraId="1C4ECAE2">
            <w:pPr>
              <w:pStyle w:val="11"/>
              <w:jc w:val="left"/>
              <w:rPr>
                <w:rFonts w:hAnsi="宋体" w:eastAsia="宋体" w:cs="宋体"/>
                <w:color w:val="auto"/>
                <w:szCs w:val="21"/>
                <w:highlight w:val="none"/>
              </w:rPr>
            </w:pPr>
            <w:r>
              <w:rPr>
                <w:rFonts w:hint="eastAsia" w:hAnsi="宋体" w:eastAsia="宋体" w:cs="宋体"/>
                <w:color w:val="auto"/>
                <w:szCs w:val="21"/>
                <w:highlight w:val="none"/>
              </w:rPr>
              <w:t>本项目不接受联合体报价。</w:t>
            </w:r>
          </w:p>
        </w:tc>
        <w:tc>
          <w:tcPr>
            <w:tcW w:w="1189" w:type="dxa"/>
          </w:tcPr>
          <w:p w14:paraId="7FC6C35C">
            <w:pPr>
              <w:pStyle w:val="11"/>
              <w:jc w:val="center"/>
              <w:rPr>
                <w:rFonts w:hAnsi="宋体" w:eastAsia="宋体" w:cs="宋体"/>
                <w:color w:val="auto"/>
                <w:sz w:val="24"/>
                <w:szCs w:val="24"/>
                <w:highlight w:val="none"/>
              </w:rPr>
            </w:pPr>
          </w:p>
        </w:tc>
        <w:tc>
          <w:tcPr>
            <w:tcW w:w="1155" w:type="dxa"/>
          </w:tcPr>
          <w:p w14:paraId="2E37AE6E">
            <w:pPr>
              <w:pStyle w:val="11"/>
              <w:jc w:val="center"/>
              <w:rPr>
                <w:rFonts w:hAnsi="宋体" w:eastAsia="宋体" w:cs="宋体"/>
                <w:color w:val="auto"/>
                <w:sz w:val="24"/>
                <w:szCs w:val="24"/>
                <w:highlight w:val="none"/>
              </w:rPr>
            </w:pPr>
          </w:p>
        </w:tc>
        <w:tc>
          <w:tcPr>
            <w:tcW w:w="965" w:type="dxa"/>
          </w:tcPr>
          <w:p w14:paraId="46A257BB">
            <w:pPr>
              <w:pStyle w:val="11"/>
              <w:jc w:val="center"/>
              <w:rPr>
                <w:rFonts w:hAnsi="宋体" w:eastAsia="宋体" w:cs="宋体"/>
                <w:color w:val="auto"/>
                <w:sz w:val="24"/>
                <w:szCs w:val="24"/>
                <w:highlight w:val="none"/>
              </w:rPr>
            </w:pPr>
          </w:p>
        </w:tc>
      </w:tr>
      <w:tr w14:paraId="754D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68" w:type="dxa"/>
            <w:vAlign w:val="center"/>
          </w:tcPr>
          <w:p w14:paraId="5495BC60">
            <w:pPr>
              <w:pStyle w:val="11"/>
              <w:spacing w:line="360" w:lineRule="auto"/>
              <w:jc w:val="center"/>
              <w:rPr>
                <w:rFonts w:hAnsi="宋体" w:eastAsia="宋体" w:cs="宋体"/>
                <w:color w:val="auto"/>
                <w:szCs w:val="21"/>
                <w:highlight w:val="none"/>
                <w:shd w:val="clear" w:color="auto" w:fill="FFFFFF"/>
              </w:rPr>
            </w:pPr>
            <w:r>
              <w:rPr>
                <w:rFonts w:hint="eastAsia" w:hAnsi="宋体" w:eastAsia="宋体" w:cs="宋体"/>
                <w:color w:val="auto"/>
                <w:szCs w:val="21"/>
                <w:highlight w:val="none"/>
              </w:rPr>
              <w:t>5</w:t>
            </w:r>
          </w:p>
        </w:tc>
        <w:tc>
          <w:tcPr>
            <w:tcW w:w="4451" w:type="dxa"/>
            <w:vAlign w:val="center"/>
          </w:tcPr>
          <w:p w14:paraId="66AD696A">
            <w:pPr>
              <w:pStyle w:val="11"/>
              <w:jc w:val="left"/>
              <w:rPr>
                <w:rFonts w:hAnsi="宋体" w:eastAsia="宋体" w:cs="宋体"/>
                <w:color w:val="auto"/>
                <w:szCs w:val="21"/>
                <w:highlight w:val="none"/>
              </w:rPr>
            </w:pPr>
            <w:r>
              <w:rPr>
                <w:rFonts w:hint="eastAsia" w:hAnsi="宋体" w:eastAsia="宋体" w:cs="宋体"/>
                <w:color w:val="auto"/>
                <w:szCs w:val="21"/>
                <w:highlight w:val="none"/>
              </w:rPr>
              <w:t>报价总金额是固定价且是唯一的，未超过本项目最高报价限价，有效报价下浮率为0%-</w:t>
            </w:r>
            <w:r>
              <w:rPr>
                <w:rFonts w:hint="eastAsia" w:hAnsi="宋体" w:eastAsia="宋体" w:cs="宋体"/>
                <w:color w:val="auto"/>
                <w:szCs w:val="21"/>
                <w:highlight w:val="none"/>
                <w:lang w:val="en-US" w:eastAsia="zh-CN"/>
              </w:rPr>
              <w:t>1</w:t>
            </w:r>
            <w:r>
              <w:rPr>
                <w:rFonts w:hint="eastAsia" w:hAnsi="宋体" w:eastAsia="宋体" w:cs="宋体"/>
                <w:color w:val="auto"/>
                <w:szCs w:val="21"/>
                <w:highlight w:val="none"/>
              </w:rPr>
              <w:t>0%。</w:t>
            </w:r>
          </w:p>
        </w:tc>
        <w:tc>
          <w:tcPr>
            <w:tcW w:w="1189" w:type="dxa"/>
          </w:tcPr>
          <w:p w14:paraId="054BDE29">
            <w:pPr>
              <w:pStyle w:val="11"/>
              <w:jc w:val="center"/>
              <w:rPr>
                <w:rFonts w:hAnsi="宋体" w:eastAsia="宋体" w:cs="宋体"/>
                <w:color w:val="auto"/>
                <w:sz w:val="24"/>
                <w:szCs w:val="24"/>
                <w:highlight w:val="none"/>
              </w:rPr>
            </w:pPr>
          </w:p>
        </w:tc>
        <w:tc>
          <w:tcPr>
            <w:tcW w:w="1155" w:type="dxa"/>
          </w:tcPr>
          <w:p w14:paraId="310F09BA">
            <w:pPr>
              <w:pStyle w:val="11"/>
              <w:jc w:val="center"/>
              <w:rPr>
                <w:rFonts w:hAnsi="宋体" w:eastAsia="宋体" w:cs="宋体"/>
                <w:color w:val="auto"/>
                <w:sz w:val="24"/>
                <w:szCs w:val="24"/>
                <w:highlight w:val="none"/>
              </w:rPr>
            </w:pPr>
          </w:p>
        </w:tc>
        <w:tc>
          <w:tcPr>
            <w:tcW w:w="965" w:type="dxa"/>
          </w:tcPr>
          <w:p w14:paraId="6A1AD1B1">
            <w:pPr>
              <w:pStyle w:val="11"/>
              <w:jc w:val="center"/>
              <w:rPr>
                <w:rFonts w:hAnsi="宋体" w:eastAsia="宋体" w:cs="宋体"/>
                <w:color w:val="auto"/>
                <w:sz w:val="24"/>
                <w:szCs w:val="24"/>
                <w:highlight w:val="none"/>
              </w:rPr>
            </w:pPr>
          </w:p>
        </w:tc>
      </w:tr>
      <w:tr w14:paraId="5746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68" w:type="dxa"/>
            <w:vAlign w:val="center"/>
          </w:tcPr>
          <w:p w14:paraId="4DEC50DC">
            <w:pPr>
              <w:pStyle w:val="11"/>
              <w:spacing w:line="360" w:lineRule="auto"/>
              <w:jc w:val="center"/>
              <w:rPr>
                <w:rFonts w:hAnsi="宋体" w:eastAsia="宋体" w:cs="宋体"/>
                <w:color w:val="auto"/>
                <w:szCs w:val="21"/>
                <w:highlight w:val="none"/>
                <w:shd w:val="clear" w:color="auto" w:fill="FFFFFF"/>
              </w:rPr>
            </w:pPr>
            <w:r>
              <w:rPr>
                <w:rFonts w:hint="eastAsia" w:hAnsi="宋体" w:eastAsia="宋体" w:cs="宋体"/>
                <w:color w:val="auto"/>
                <w:szCs w:val="21"/>
                <w:highlight w:val="none"/>
              </w:rPr>
              <w:t>6</w:t>
            </w:r>
          </w:p>
        </w:tc>
        <w:tc>
          <w:tcPr>
            <w:tcW w:w="4451" w:type="dxa"/>
            <w:vAlign w:val="center"/>
          </w:tcPr>
          <w:p w14:paraId="5FED0755">
            <w:pPr>
              <w:pStyle w:val="11"/>
              <w:jc w:val="left"/>
              <w:rPr>
                <w:rFonts w:hAnsi="宋体" w:eastAsia="宋体" w:cs="宋体"/>
                <w:color w:val="auto"/>
                <w:szCs w:val="21"/>
                <w:highlight w:val="none"/>
                <w:shd w:val="clear" w:color="auto" w:fill="FFFFFF"/>
              </w:rPr>
            </w:pPr>
            <w:r>
              <w:rPr>
                <w:rFonts w:hint="eastAsia" w:hAnsi="宋体" w:eastAsia="宋体" w:cs="宋体"/>
                <w:color w:val="auto"/>
                <w:szCs w:val="21"/>
                <w:highlight w:val="none"/>
              </w:rPr>
              <w:t>报价文件按询比文件的要求编制、签署及盖章。</w:t>
            </w:r>
          </w:p>
        </w:tc>
        <w:tc>
          <w:tcPr>
            <w:tcW w:w="1189" w:type="dxa"/>
          </w:tcPr>
          <w:p w14:paraId="2B0F3B4B">
            <w:pPr>
              <w:pStyle w:val="11"/>
              <w:jc w:val="center"/>
              <w:rPr>
                <w:rFonts w:hAnsi="宋体" w:eastAsia="宋体" w:cs="宋体"/>
                <w:color w:val="auto"/>
                <w:sz w:val="24"/>
                <w:szCs w:val="24"/>
                <w:highlight w:val="none"/>
              </w:rPr>
            </w:pPr>
          </w:p>
        </w:tc>
        <w:tc>
          <w:tcPr>
            <w:tcW w:w="1155" w:type="dxa"/>
          </w:tcPr>
          <w:p w14:paraId="44A0F35E">
            <w:pPr>
              <w:pStyle w:val="11"/>
              <w:jc w:val="center"/>
              <w:rPr>
                <w:rFonts w:hAnsi="宋体" w:eastAsia="宋体" w:cs="宋体"/>
                <w:color w:val="auto"/>
                <w:sz w:val="24"/>
                <w:szCs w:val="24"/>
                <w:highlight w:val="none"/>
              </w:rPr>
            </w:pPr>
          </w:p>
        </w:tc>
        <w:tc>
          <w:tcPr>
            <w:tcW w:w="965" w:type="dxa"/>
          </w:tcPr>
          <w:p w14:paraId="7126289C">
            <w:pPr>
              <w:pStyle w:val="11"/>
              <w:jc w:val="center"/>
              <w:rPr>
                <w:rFonts w:hAnsi="宋体" w:eastAsia="宋体" w:cs="宋体"/>
                <w:color w:val="auto"/>
                <w:sz w:val="24"/>
                <w:szCs w:val="24"/>
                <w:highlight w:val="none"/>
              </w:rPr>
            </w:pPr>
          </w:p>
        </w:tc>
      </w:tr>
      <w:tr w14:paraId="406C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9" w:type="dxa"/>
            <w:gridSpan w:val="2"/>
          </w:tcPr>
          <w:p w14:paraId="14D970A2">
            <w:pPr>
              <w:pStyle w:val="11"/>
              <w:spacing w:line="360" w:lineRule="auto"/>
              <w:jc w:val="center"/>
              <w:rPr>
                <w:rFonts w:hAnsi="宋体" w:eastAsia="宋体" w:cs="宋体"/>
                <w:color w:val="auto"/>
                <w:sz w:val="24"/>
                <w:szCs w:val="24"/>
                <w:highlight w:val="none"/>
              </w:rPr>
            </w:pPr>
            <w:r>
              <w:rPr>
                <w:rFonts w:hint="eastAsia" w:hAnsi="宋体" w:eastAsia="宋体" w:cs="宋体"/>
                <w:color w:val="auto"/>
                <w:sz w:val="24"/>
                <w:szCs w:val="24"/>
                <w:highlight w:val="none"/>
              </w:rPr>
              <w:t>结论</w:t>
            </w:r>
          </w:p>
        </w:tc>
        <w:tc>
          <w:tcPr>
            <w:tcW w:w="1189" w:type="dxa"/>
          </w:tcPr>
          <w:p w14:paraId="7572FE4F">
            <w:pPr>
              <w:pStyle w:val="11"/>
              <w:spacing w:line="360" w:lineRule="auto"/>
              <w:jc w:val="center"/>
              <w:rPr>
                <w:rFonts w:hAnsi="宋体" w:eastAsia="宋体" w:cs="宋体"/>
                <w:color w:val="auto"/>
                <w:sz w:val="24"/>
                <w:szCs w:val="24"/>
                <w:highlight w:val="none"/>
              </w:rPr>
            </w:pPr>
          </w:p>
        </w:tc>
        <w:tc>
          <w:tcPr>
            <w:tcW w:w="1155" w:type="dxa"/>
          </w:tcPr>
          <w:p w14:paraId="0769CFE0">
            <w:pPr>
              <w:pStyle w:val="11"/>
              <w:spacing w:line="360" w:lineRule="auto"/>
              <w:jc w:val="center"/>
              <w:rPr>
                <w:rFonts w:hAnsi="宋体" w:eastAsia="宋体" w:cs="宋体"/>
                <w:color w:val="auto"/>
                <w:sz w:val="24"/>
                <w:szCs w:val="24"/>
                <w:highlight w:val="none"/>
              </w:rPr>
            </w:pPr>
          </w:p>
        </w:tc>
        <w:tc>
          <w:tcPr>
            <w:tcW w:w="965" w:type="dxa"/>
          </w:tcPr>
          <w:p w14:paraId="7B7E9D38">
            <w:pPr>
              <w:pStyle w:val="11"/>
              <w:spacing w:line="360" w:lineRule="auto"/>
              <w:jc w:val="center"/>
              <w:rPr>
                <w:rFonts w:hAnsi="宋体" w:eastAsia="宋体" w:cs="宋体"/>
                <w:color w:val="auto"/>
                <w:sz w:val="24"/>
                <w:szCs w:val="24"/>
                <w:highlight w:val="none"/>
              </w:rPr>
            </w:pPr>
          </w:p>
        </w:tc>
      </w:tr>
    </w:tbl>
    <w:p w14:paraId="48C70A2F">
      <w:pPr>
        <w:pStyle w:val="11"/>
        <w:jc w:val="left"/>
        <w:rPr>
          <w:rFonts w:hAnsi="宋体" w:eastAsia="宋体" w:cs="宋体"/>
          <w:color w:val="auto"/>
          <w:szCs w:val="21"/>
          <w:highlight w:val="none"/>
        </w:rPr>
      </w:pPr>
      <w:r>
        <w:rPr>
          <w:rFonts w:hint="eastAsia" w:hAnsi="宋体" w:eastAsia="宋体" w:cs="宋体"/>
          <w:color w:val="auto"/>
          <w:szCs w:val="21"/>
          <w:highlight w:val="none"/>
        </w:rPr>
        <w:t>注：1. 每一项符合的打“√”，不符合的打“×”。</w:t>
      </w:r>
    </w:p>
    <w:p w14:paraId="4CFC02E0">
      <w:pPr>
        <w:pStyle w:val="11"/>
        <w:ind w:firstLine="420" w:firstLineChars="200"/>
        <w:jc w:val="left"/>
        <w:rPr>
          <w:rFonts w:hAnsi="宋体" w:eastAsia="宋体" w:cs="宋体"/>
          <w:color w:val="auto"/>
          <w:szCs w:val="21"/>
          <w:highlight w:val="none"/>
        </w:rPr>
      </w:pPr>
      <w:r>
        <w:rPr>
          <w:rFonts w:hint="eastAsia" w:hAnsi="宋体" w:eastAsia="宋体" w:cs="宋体"/>
          <w:color w:val="auto"/>
          <w:szCs w:val="21"/>
          <w:highlight w:val="none"/>
        </w:rPr>
        <w:t>2. “结论”一栏填写“通过”或“不通过”；任何一项出现“×”的，结论为不通过；不通过的为无效报价。</w:t>
      </w:r>
    </w:p>
    <w:p w14:paraId="3D4371F2">
      <w:pPr>
        <w:pStyle w:val="11"/>
        <w:spacing w:line="360" w:lineRule="auto"/>
        <w:ind w:firstLine="480" w:firstLineChars="200"/>
        <w:jc w:val="left"/>
        <w:rPr>
          <w:rFonts w:hAnsi="宋体" w:eastAsia="宋体" w:cs="宋体"/>
          <w:color w:val="auto"/>
          <w:sz w:val="24"/>
          <w:szCs w:val="24"/>
          <w:highlight w:val="none"/>
        </w:rPr>
      </w:pPr>
    </w:p>
    <w:p w14:paraId="0F107BD6">
      <w:pPr>
        <w:pStyle w:val="11"/>
        <w:spacing w:line="360" w:lineRule="auto"/>
        <w:ind w:firstLine="480" w:firstLineChars="200"/>
        <w:jc w:val="left"/>
        <w:rPr>
          <w:rFonts w:hAnsi="宋体" w:eastAsia="宋体" w:cs="宋体"/>
          <w:color w:val="auto"/>
          <w:szCs w:val="21"/>
          <w:highlight w:val="none"/>
        </w:rPr>
      </w:pPr>
      <w:r>
        <w:rPr>
          <w:rFonts w:hint="eastAsia" w:hAnsi="宋体" w:eastAsia="宋体" w:cs="宋体"/>
          <w:color w:val="auto"/>
          <w:sz w:val="24"/>
          <w:szCs w:val="24"/>
          <w:highlight w:val="none"/>
        </w:rPr>
        <w:t xml:space="preserve"> </w:t>
      </w:r>
      <w:r>
        <w:rPr>
          <w:rFonts w:hint="eastAsia" w:hAnsi="宋体" w:eastAsia="宋体" w:cs="宋体"/>
          <w:color w:val="auto"/>
          <w:szCs w:val="21"/>
          <w:highlight w:val="none"/>
        </w:rPr>
        <w:t xml:space="preserve">                                     </w:t>
      </w:r>
    </w:p>
    <w:p w14:paraId="57489718">
      <w:pPr>
        <w:pStyle w:val="11"/>
        <w:wordWrap w:val="0"/>
        <w:spacing w:line="360" w:lineRule="auto"/>
        <w:ind w:firstLine="480" w:firstLineChars="200"/>
        <w:jc w:val="right"/>
        <w:rPr>
          <w:rFonts w:hAnsi="宋体" w:eastAsia="宋体" w:cs="宋体"/>
          <w:color w:val="auto"/>
          <w:sz w:val="24"/>
          <w:szCs w:val="24"/>
          <w:highlight w:val="none"/>
        </w:rPr>
      </w:pPr>
      <w:r>
        <w:rPr>
          <w:rFonts w:hint="eastAsia" w:hAnsi="宋体" w:eastAsia="宋体" w:cs="宋体"/>
          <w:color w:val="auto"/>
          <w:sz w:val="24"/>
          <w:szCs w:val="24"/>
          <w:highlight w:val="none"/>
        </w:rPr>
        <w:t xml:space="preserve"> </w:t>
      </w:r>
    </w:p>
    <w:p w14:paraId="5CBF64C2">
      <w:pPr>
        <w:rPr>
          <w:rFonts w:ascii="宋体" w:hAnsi="宋体" w:cs="宋体"/>
          <w:color w:val="auto"/>
          <w:highlight w:val="none"/>
        </w:rPr>
      </w:pPr>
    </w:p>
    <w:p w14:paraId="029BDC55">
      <w:pPr>
        <w:pStyle w:val="11"/>
        <w:spacing w:line="360" w:lineRule="auto"/>
        <w:jc w:val="left"/>
        <w:rPr>
          <w:rFonts w:hAnsi="宋体" w:eastAsia="宋体" w:cs="宋体"/>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6E3BBC7">
      <w:pPr>
        <w:pStyle w:val="11"/>
        <w:jc w:val="left"/>
        <w:rPr>
          <w:rFonts w:hAnsi="宋体" w:eastAsia="宋体" w:cs="宋体"/>
          <w:color w:val="auto"/>
          <w:sz w:val="24"/>
          <w:szCs w:val="24"/>
          <w:highlight w:val="none"/>
        </w:rPr>
      </w:pPr>
      <w:r>
        <w:rPr>
          <w:rFonts w:hint="eastAsia" w:hAnsi="宋体" w:eastAsia="宋体" w:cs="宋体"/>
          <w:color w:val="auto"/>
          <w:sz w:val="24"/>
          <w:szCs w:val="24"/>
          <w:highlight w:val="none"/>
        </w:rPr>
        <w:t>附表二</w:t>
      </w:r>
    </w:p>
    <w:p w14:paraId="123C3B47">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综合评分表</w:t>
      </w:r>
    </w:p>
    <w:p w14:paraId="457FA3E8">
      <w:pPr>
        <w:pStyle w:val="11"/>
        <w:jc w:val="left"/>
        <w:rPr>
          <w:rFonts w:hAnsi="宋体" w:eastAsia="宋体" w:cs="宋体"/>
          <w:color w:val="auto"/>
          <w:sz w:val="24"/>
          <w:szCs w:val="24"/>
          <w:highlight w:val="none"/>
        </w:rPr>
      </w:pPr>
      <w:r>
        <w:rPr>
          <w:rFonts w:hint="eastAsia" w:hAnsi="宋体" w:eastAsia="宋体" w:cs="宋体"/>
          <w:color w:val="auto"/>
          <w:kern w:val="0"/>
          <w:szCs w:val="21"/>
          <w:highlight w:val="none"/>
        </w:rPr>
        <w:t>项目名称：</w:t>
      </w:r>
      <w:r>
        <w:rPr>
          <w:rFonts w:hint="eastAsia" w:hAnsi="宋体" w:eastAsia="宋体" w:cs="宋体"/>
          <w:color w:val="auto"/>
          <w:szCs w:val="21"/>
          <w:highlight w:val="none"/>
          <w:u w:val="single"/>
        </w:rPr>
        <w:t>陈家祠片区老旧小区微改造项目实施方案编制</w:t>
      </w:r>
    </w:p>
    <w:tbl>
      <w:tblPr>
        <w:tblStyle w:val="19"/>
        <w:tblW w:w="8859"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1156"/>
        <w:gridCol w:w="616"/>
        <w:gridCol w:w="6467"/>
      </w:tblGrid>
      <w:tr w14:paraId="1BC7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20" w:type="dxa"/>
            <w:vMerge w:val="restart"/>
            <w:tcMar>
              <w:top w:w="14" w:type="dxa"/>
              <w:left w:w="14" w:type="dxa"/>
              <w:bottom w:w="0" w:type="dxa"/>
              <w:right w:w="14" w:type="dxa"/>
            </w:tcMar>
            <w:vAlign w:val="center"/>
          </w:tcPr>
          <w:p w14:paraId="52538D35">
            <w:pPr>
              <w:jc w:val="center"/>
              <w:rPr>
                <w:rFonts w:ascii="宋体" w:hAnsi="宋体" w:cs="宋体"/>
                <w:b/>
                <w:bCs/>
                <w:color w:val="auto"/>
                <w:szCs w:val="21"/>
                <w:highlight w:val="none"/>
              </w:rPr>
            </w:pPr>
            <w:r>
              <w:rPr>
                <w:rFonts w:hint="eastAsia" w:ascii="宋体" w:hAnsi="宋体" w:cs="宋体"/>
                <w:b/>
                <w:bCs/>
                <w:color w:val="auto"/>
                <w:szCs w:val="21"/>
                <w:highlight w:val="none"/>
              </w:rPr>
              <w:t>分类</w:t>
            </w:r>
          </w:p>
        </w:tc>
        <w:tc>
          <w:tcPr>
            <w:tcW w:w="1156" w:type="dxa"/>
            <w:vMerge w:val="restart"/>
            <w:tcMar>
              <w:top w:w="14" w:type="dxa"/>
              <w:left w:w="14" w:type="dxa"/>
              <w:bottom w:w="0" w:type="dxa"/>
              <w:right w:w="14" w:type="dxa"/>
            </w:tcMar>
            <w:vAlign w:val="center"/>
          </w:tcPr>
          <w:p w14:paraId="240E33B8">
            <w:pPr>
              <w:jc w:val="center"/>
              <w:rPr>
                <w:rFonts w:ascii="宋体" w:hAnsi="宋体" w:cs="宋体"/>
                <w:b/>
                <w:bCs/>
                <w:color w:val="auto"/>
                <w:szCs w:val="21"/>
                <w:highlight w:val="none"/>
              </w:rPr>
            </w:pPr>
            <w:r>
              <w:rPr>
                <w:rFonts w:hint="eastAsia" w:ascii="宋体" w:hAnsi="宋体" w:cs="宋体"/>
                <w:b/>
                <w:bCs/>
                <w:color w:val="auto"/>
                <w:szCs w:val="21"/>
                <w:highlight w:val="none"/>
              </w:rPr>
              <w:t>评分内容</w:t>
            </w:r>
          </w:p>
        </w:tc>
        <w:tc>
          <w:tcPr>
            <w:tcW w:w="616" w:type="dxa"/>
            <w:vMerge w:val="restart"/>
            <w:tcMar>
              <w:top w:w="14" w:type="dxa"/>
              <w:left w:w="14" w:type="dxa"/>
              <w:bottom w:w="0" w:type="dxa"/>
              <w:right w:w="14" w:type="dxa"/>
            </w:tcMar>
            <w:vAlign w:val="center"/>
          </w:tcPr>
          <w:p w14:paraId="20723969">
            <w:pPr>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6467" w:type="dxa"/>
            <w:vMerge w:val="restart"/>
            <w:tcMar>
              <w:top w:w="14" w:type="dxa"/>
              <w:left w:w="14" w:type="dxa"/>
              <w:bottom w:w="0" w:type="dxa"/>
              <w:right w:w="14" w:type="dxa"/>
            </w:tcMar>
            <w:vAlign w:val="center"/>
          </w:tcPr>
          <w:p w14:paraId="06A6A4EB">
            <w:pPr>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r>
      <w:tr w14:paraId="26B3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20" w:type="dxa"/>
            <w:vMerge w:val="continue"/>
            <w:vAlign w:val="center"/>
          </w:tcPr>
          <w:p w14:paraId="08A6FD76">
            <w:pPr>
              <w:widowControl/>
              <w:jc w:val="center"/>
              <w:rPr>
                <w:rFonts w:ascii="宋体" w:hAnsi="宋体" w:cs="宋体"/>
                <w:color w:val="auto"/>
                <w:szCs w:val="21"/>
                <w:highlight w:val="none"/>
              </w:rPr>
            </w:pPr>
          </w:p>
        </w:tc>
        <w:tc>
          <w:tcPr>
            <w:tcW w:w="1156" w:type="dxa"/>
            <w:vMerge w:val="continue"/>
            <w:vAlign w:val="center"/>
          </w:tcPr>
          <w:p w14:paraId="2266A48F">
            <w:pPr>
              <w:widowControl/>
              <w:jc w:val="left"/>
              <w:rPr>
                <w:rFonts w:ascii="宋体" w:hAnsi="宋体" w:cs="宋体"/>
                <w:color w:val="auto"/>
                <w:szCs w:val="21"/>
                <w:highlight w:val="none"/>
              </w:rPr>
            </w:pPr>
          </w:p>
        </w:tc>
        <w:tc>
          <w:tcPr>
            <w:tcW w:w="616" w:type="dxa"/>
            <w:vMerge w:val="continue"/>
            <w:vAlign w:val="center"/>
          </w:tcPr>
          <w:p w14:paraId="729B6175">
            <w:pPr>
              <w:widowControl/>
              <w:jc w:val="center"/>
              <w:rPr>
                <w:rFonts w:ascii="宋体" w:hAnsi="宋体" w:cs="宋体"/>
                <w:color w:val="auto"/>
                <w:szCs w:val="21"/>
                <w:highlight w:val="none"/>
              </w:rPr>
            </w:pPr>
          </w:p>
        </w:tc>
        <w:tc>
          <w:tcPr>
            <w:tcW w:w="6467" w:type="dxa"/>
            <w:vMerge w:val="continue"/>
            <w:vAlign w:val="center"/>
          </w:tcPr>
          <w:p w14:paraId="3DB9FAF9">
            <w:pPr>
              <w:widowControl/>
              <w:jc w:val="left"/>
              <w:rPr>
                <w:rFonts w:ascii="宋体" w:hAnsi="宋体" w:cs="宋体"/>
                <w:color w:val="auto"/>
                <w:szCs w:val="21"/>
                <w:highlight w:val="none"/>
              </w:rPr>
            </w:pPr>
          </w:p>
        </w:tc>
      </w:tr>
      <w:tr w14:paraId="484C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620" w:type="dxa"/>
            <w:vMerge w:val="restart"/>
            <w:vAlign w:val="center"/>
          </w:tcPr>
          <w:p w14:paraId="7FBCF91D">
            <w:pPr>
              <w:jc w:val="center"/>
              <w:rPr>
                <w:rFonts w:ascii="宋体" w:hAnsi="宋体" w:cs="宋体"/>
                <w:color w:val="auto"/>
                <w:szCs w:val="21"/>
                <w:highlight w:val="none"/>
              </w:rPr>
            </w:pPr>
            <w:r>
              <w:rPr>
                <w:rFonts w:hint="eastAsia" w:ascii="宋体" w:hAnsi="宋体" w:cs="宋体"/>
                <w:color w:val="auto"/>
                <w:szCs w:val="21"/>
                <w:highlight w:val="none"/>
              </w:rPr>
              <w:t>商务技术</w:t>
            </w:r>
            <w:r>
              <w:rPr>
                <w:rFonts w:ascii="宋体" w:hAnsi="宋体" w:cs="宋体"/>
                <w:color w:val="auto"/>
                <w:szCs w:val="21"/>
                <w:highlight w:val="none"/>
              </w:rPr>
              <w:t>部分得分（</w:t>
            </w:r>
            <w:r>
              <w:rPr>
                <w:rFonts w:hint="eastAsia" w:ascii="宋体" w:hAnsi="宋体" w:cs="宋体"/>
                <w:color w:val="auto"/>
                <w:szCs w:val="21"/>
                <w:highlight w:val="none"/>
              </w:rPr>
              <w:t>80分</w:t>
            </w:r>
            <w:r>
              <w:rPr>
                <w:rFonts w:ascii="宋体" w:hAnsi="宋体" w:cs="宋体"/>
                <w:color w:val="auto"/>
                <w:szCs w:val="21"/>
                <w:highlight w:val="none"/>
              </w:rPr>
              <w:t>）</w:t>
            </w:r>
          </w:p>
        </w:tc>
        <w:tc>
          <w:tcPr>
            <w:tcW w:w="1156" w:type="dxa"/>
            <w:vAlign w:val="center"/>
          </w:tcPr>
          <w:p w14:paraId="09C715AC">
            <w:pPr>
              <w:snapToGrid w:val="0"/>
              <w:jc w:val="center"/>
              <w:rPr>
                <w:rFonts w:ascii="宋体" w:hAnsi="宋体" w:cs="宋体"/>
                <w:color w:val="auto"/>
                <w:szCs w:val="21"/>
                <w:highlight w:val="none"/>
              </w:rPr>
            </w:pPr>
            <w:r>
              <w:rPr>
                <w:rFonts w:hint="eastAsia" w:ascii="宋体" w:hAnsi="宋体" w:cs="宋体"/>
                <w:color w:val="auto"/>
                <w:szCs w:val="21"/>
                <w:highlight w:val="none"/>
              </w:rPr>
              <w:t>体</w:t>
            </w:r>
            <w:r>
              <w:rPr>
                <w:rFonts w:ascii="宋体" w:hAnsi="宋体" w:cs="宋体"/>
                <w:color w:val="auto"/>
                <w:szCs w:val="21"/>
                <w:highlight w:val="none"/>
              </w:rPr>
              <w:t>系认</w:t>
            </w:r>
            <w:r>
              <w:rPr>
                <w:rFonts w:hint="eastAsia" w:ascii="宋体" w:hAnsi="宋体" w:cs="宋体"/>
                <w:color w:val="auto"/>
                <w:szCs w:val="21"/>
                <w:highlight w:val="none"/>
              </w:rPr>
              <w:t>证</w:t>
            </w:r>
          </w:p>
        </w:tc>
        <w:tc>
          <w:tcPr>
            <w:tcW w:w="616" w:type="dxa"/>
            <w:vAlign w:val="center"/>
          </w:tcPr>
          <w:p w14:paraId="282876CB">
            <w:pPr>
              <w:snapToGrid w:val="0"/>
              <w:jc w:val="center"/>
              <w:rPr>
                <w:rFonts w:ascii="宋体" w:hAnsi="宋体" w:cs="宋体"/>
                <w:color w:val="auto"/>
                <w:szCs w:val="21"/>
                <w:highlight w:val="none"/>
              </w:rPr>
            </w:pPr>
            <w:r>
              <w:rPr>
                <w:rFonts w:ascii="宋体" w:hAnsi="宋体" w:cs="宋体"/>
                <w:color w:val="auto"/>
                <w:szCs w:val="21"/>
                <w:highlight w:val="none"/>
              </w:rPr>
              <w:t>3</w:t>
            </w:r>
          </w:p>
        </w:tc>
        <w:tc>
          <w:tcPr>
            <w:tcW w:w="6467" w:type="dxa"/>
            <w:vAlign w:val="center"/>
          </w:tcPr>
          <w:p w14:paraId="750C3962">
            <w:pPr>
              <w:snapToGrid w:val="0"/>
              <w:rPr>
                <w:rFonts w:ascii="宋体" w:hAnsi="宋体" w:cs="宋体"/>
                <w:color w:val="auto"/>
                <w:szCs w:val="21"/>
                <w:highlight w:val="none"/>
              </w:rPr>
            </w:pPr>
            <w:r>
              <w:rPr>
                <w:rFonts w:hint="eastAsia" w:ascii="宋体" w:hAnsi="宋体" w:cs="宋体"/>
                <w:color w:val="auto"/>
                <w:szCs w:val="21"/>
                <w:highlight w:val="none"/>
              </w:rPr>
              <w:t>具有有效的质量管理体系、环境管理体系、职业健康安全管理体系认证证书的，每提供1项得</w:t>
            </w:r>
            <w:r>
              <w:rPr>
                <w:rFonts w:ascii="宋体" w:hAnsi="宋体" w:cs="宋体"/>
                <w:color w:val="auto"/>
                <w:szCs w:val="21"/>
                <w:highlight w:val="none"/>
              </w:rPr>
              <w:t>1</w:t>
            </w:r>
            <w:r>
              <w:rPr>
                <w:rFonts w:hint="eastAsia" w:ascii="宋体" w:hAnsi="宋体" w:cs="宋体"/>
                <w:color w:val="auto"/>
                <w:szCs w:val="21"/>
                <w:highlight w:val="none"/>
              </w:rPr>
              <w:t>分，最高得</w:t>
            </w:r>
            <w:r>
              <w:rPr>
                <w:rFonts w:ascii="宋体" w:hAnsi="宋体" w:cs="宋体"/>
                <w:color w:val="auto"/>
                <w:szCs w:val="21"/>
                <w:highlight w:val="none"/>
              </w:rPr>
              <w:t>3</w:t>
            </w:r>
            <w:r>
              <w:rPr>
                <w:rFonts w:hint="eastAsia" w:ascii="宋体" w:hAnsi="宋体" w:cs="宋体"/>
                <w:color w:val="auto"/>
                <w:szCs w:val="21"/>
                <w:highlight w:val="none"/>
              </w:rPr>
              <w:t>分。没有的不得分。</w:t>
            </w:r>
          </w:p>
          <w:p w14:paraId="6A8EB1F4">
            <w:pPr>
              <w:pStyle w:val="9"/>
              <w:rPr>
                <w:color w:val="auto"/>
                <w:sz w:val="21"/>
                <w:szCs w:val="21"/>
                <w:highlight w:val="none"/>
              </w:rPr>
            </w:pPr>
            <w:r>
              <w:rPr>
                <w:rFonts w:hint="eastAsia"/>
                <w:color w:val="auto"/>
                <w:sz w:val="21"/>
                <w:szCs w:val="21"/>
                <w:highlight w:val="none"/>
              </w:rPr>
              <w:t>注</w:t>
            </w:r>
            <w:r>
              <w:rPr>
                <w:color w:val="auto"/>
                <w:sz w:val="21"/>
                <w:szCs w:val="21"/>
                <w:highlight w:val="none"/>
              </w:rPr>
              <w:t>：</w:t>
            </w:r>
            <w:r>
              <w:rPr>
                <w:rFonts w:ascii="宋体" w:hAnsi="宋体" w:cs="宋体"/>
                <w:color w:val="auto"/>
                <w:sz w:val="21"/>
                <w:szCs w:val="21"/>
                <w:highlight w:val="none"/>
              </w:rPr>
              <w:t>需提供</w:t>
            </w:r>
            <w:r>
              <w:rPr>
                <w:rFonts w:hint="eastAsia" w:ascii="宋体" w:hAnsi="宋体" w:cs="宋体"/>
                <w:color w:val="auto"/>
                <w:sz w:val="21"/>
                <w:szCs w:val="21"/>
                <w:highlight w:val="none"/>
              </w:rPr>
              <w:t>证</w:t>
            </w:r>
            <w:r>
              <w:rPr>
                <w:rFonts w:ascii="宋体" w:hAnsi="宋体" w:cs="宋体"/>
                <w:color w:val="auto"/>
                <w:sz w:val="21"/>
                <w:szCs w:val="21"/>
                <w:highlight w:val="none"/>
              </w:rPr>
              <w:t>书复印件，否则不得分。</w:t>
            </w:r>
          </w:p>
        </w:tc>
      </w:tr>
      <w:tr w14:paraId="31B1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atLeast"/>
        </w:trPr>
        <w:tc>
          <w:tcPr>
            <w:tcW w:w="620" w:type="dxa"/>
            <w:vMerge w:val="continue"/>
            <w:vAlign w:val="center"/>
          </w:tcPr>
          <w:p w14:paraId="77DA03B5">
            <w:pPr>
              <w:jc w:val="center"/>
              <w:rPr>
                <w:rFonts w:ascii="宋体" w:hAnsi="宋体" w:cs="宋体"/>
                <w:color w:val="auto"/>
                <w:szCs w:val="21"/>
                <w:highlight w:val="none"/>
              </w:rPr>
            </w:pPr>
          </w:p>
        </w:tc>
        <w:tc>
          <w:tcPr>
            <w:tcW w:w="1156" w:type="dxa"/>
            <w:vAlign w:val="center"/>
          </w:tcPr>
          <w:p w14:paraId="07E1D002">
            <w:pPr>
              <w:snapToGrid w:val="0"/>
              <w:jc w:val="center"/>
              <w:rPr>
                <w:rFonts w:ascii="宋体" w:hAnsi="宋体" w:cs="宋体"/>
                <w:color w:val="auto"/>
                <w:szCs w:val="21"/>
                <w:highlight w:val="none"/>
              </w:rPr>
            </w:pPr>
            <w:r>
              <w:rPr>
                <w:rFonts w:hint="eastAsia" w:ascii="宋体" w:hAnsi="宋体" w:cs="宋体"/>
                <w:color w:val="auto"/>
                <w:szCs w:val="21"/>
                <w:highlight w:val="none"/>
                <w:lang w:eastAsia="zh-CN"/>
              </w:rPr>
              <w:t>类似项目</w:t>
            </w:r>
            <w:r>
              <w:rPr>
                <w:rFonts w:hint="eastAsia" w:ascii="宋体" w:hAnsi="宋体" w:cs="宋体"/>
                <w:color w:val="auto"/>
                <w:szCs w:val="21"/>
                <w:highlight w:val="none"/>
              </w:rPr>
              <w:t>业绩</w:t>
            </w:r>
          </w:p>
        </w:tc>
        <w:tc>
          <w:tcPr>
            <w:tcW w:w="616" w:type="dxa"/>
            <w:vAlign w:val="center"/>
          </w:tcPr>
          <w:p w14:paraId="73BDB46C">
            <w:pPr>
              <w:snapToGrid w:val="0"/>
              <w:jc w:val="center"/>
              <w:rPr>
                <w:rFonts w:ascii="宋体" w:hAnsi="宋体" w:cs="宋体"/>
                <w:color w:val="auto"/>
                <w:szCs w:val="21"/>
                <w:highlight w:val="none"/>
              </w:rPr>
            </w:pPr>
            <w:r>
              <w:rPr>
                <w:rFonts w:ascii="宋体" w:hAnsi="宋体" w:cs="宋体"/>
                <w:color w:val="auto"/>
                <w:szCs w:val="21"/>
                <w:highlight w:val="none"/>
              </w:rPr>
              <w:t>30</w:t>
            </w:r>
          </w:p>
        </w:tc>
        <w:tc>
          <w:tcPr>
            <w:tcW w:w="6467" w:type="dxa"/>
            <w:vAlign w:val="center"/>
          </w:tcPr>
          <w:p w14:paraId="6579C5E9">
            <w:pPr>
              <w:snapToGrid w:val="0"/>
              <w:rPr>
                <w:rFonts w:ascii="宋体" w:hAnsi="宋体" w:cs="宋体"/>
                <w:color w:val="auto"/>
                <w:szCs w:val="21"/>
                <w:highlight w:val="none"/>
              </w:rPr>
            </w:pPr>
            <w:r>
              <w:rPr>
                <w:rFonts w:hint="eastAsia" w:ascii="宋体" w:hAnsi="宋体" w:cs="宋体"/>
                <w:color w:val="auto"/>
                <w:szCs w:val="21"/>
                <w:highlight w:val="none"/>
              </w:rPr>
              <w:t>201</w:t>
            </w:r>
            <w:r>
              <w:rPr>
                <w:rFonts w:ascii="宋体" w:hAnsi="宋体" w:cs="宋体"/>
                <w:color w:val="auto"/>
                <w:szCs w:val="21"/>
                <w:highlight w:val="none"/>
              </w:rPr>
              <w:t>9</w:t>
            </w:r>
            <w:r>
              <w:rPr>
                <w:rFonts w:hint="eastAsia" w:ascii="宋体" w:hAnsi="宋体" w:cs="宋体"/>
                <w:color w:val="auto"/>
                <w:szCs w:val="21"/>
                <w:highlight w:val="none"/>
              </w:rPr>
              <w:t>年1月1日至今承接过类似项目业绩的；每项得</w:t>
            </w:r>
            <w:r>
              <w:rPr>
                <w:rFonts w:ascii="宋体" w:hAnsi="宋体" w:cs="宋体"/>
                <w:color w:val="auto"/>
                <w:szCs w:val="21"/>
                <w:highlight w:val="none"/>
              </w:rPr>
              <w:t>3</w:t>
            </w:r>
            <w:r>
              <w:rPr>
                <w:rFonts w:hint="eastAsia" w:ascii="宋体" w:hAnsi="宋体" w:cs="宋体"/>
                <w:color w:val="auto"/>
                <w:szCs w:val="21"/>
                <w:highlight w:val="none"/>
              </w:rPr>
              <w:t>分，最高得</w:t>
            </w:r>
            <w:r>
              <w:rPr>
                <w:rFonts w:ascii="宋体" w:hAnsi="宋体" w:cs="宋体"/>
                <w:color w:val="auto"/>
                <w:szCs w:val="21"/>
                <w:highlight w:val="none"/>
              </w:rPr>
              <w:t>30</w:t>
            </w:r>
            <w:r>
              <w:rPr>
                <w:rFonts w:hint="eastAsia" w:ascii="宋体" w:hAnsi="宋体" w:cs="宋体"/>
                <w:color w:val="auto"/>
                <w:szCs w:val="21"/>
                <w:highlight w:val="none"/>
              </w:rPr>
              <w:t>分。</w:t>
            </w:r>
          </w:p>
          <w:p w14:paraId="296A90DA">
            <w:pPr>
              <w:snapToGrid w:val="0"/>
              <w:rPr>
                <w:rFonts w:ascii="宋体" w:hAnsi="宋体" w:cs="宋体"/>
                <w:color w:val="auto"/>
                <w:szCs w:val="21"/>
                <w:highlight w:val="none"/>
              </w:rPr>
            </w:pPr>
            <w:r>
              <w:rPr>
                <w:rFonts w:hint="eastAsia" w:ascii="宋体" w:hAnsi="宋体" w:cs="宋体"/>
                <w:color w:val="auto"/>
                <w:szCs w:val="21"/>
                <w:highlight w:val="none"/>
              </w:rPr>
              <w:t>注：需提供业绩合同复印件，以合同的签订时间为准，未提供不得分。</w:t>
            </w:r>
          </w:p>
        </w:tc>
      </w:tr>
      <w:tr w14:paraId="3DF4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620" w:type="dxa"/>
            <w:vMerge w:val="continue"/>
            <w:vAlign w:val="center"/>
          </w:tcPr>
          <w:p w14:paraId="28BD69A1">
            <w:pPr>
              <w:jc w:val="center"/>
              <w:rPr>
                <w:rFonts w:ascii="宋体" w:hAnsi="宋体" w:cs="宋体"/>
                <w:color w:val="auto"/>
                <w:szCs w:val="21"/>
                <w:highlight w:val="none"/>
              </w:rPr>
            </w:pPr>
          </w:p>
        </w:tc>
        <w:tc>
          <w:tcPr>
            <w:tcW w:w="1156" w:type="dxa"/>
            <w:vAlign w:val="center"/>
          </w:tcPr>
          <w:p w14:paraId="7F0976CC">
            <w:pPr>
              <w:snapToGrid w:val="0"/>
              <w:jc w:val="center"/>
              <w:rPr>
                <w:rFonts w:ascii="宋体" w:hAnsi="宋体" w:cs="宋体"/>
                <w:color w:val="auto"/>
                <w:szCs w:val="21"/>
                <w:highlight w:val="none"/>
              </w:rPr>
            </w:pPr>
            <w:r>
              <w:rPr>
                <w:rFonts w:hint="eastAsia" w:ascii="宋体" w:hAnsi="宋体" w:cs="宋体"/>
                <w:color w:val="auto"/>
                <w:szCs w:val="21"/>
                <w:highlight w:val="none"/>
              </w:rPr>
              <w:t>项目负责人资历情况</w:t>
            </w:r>
          </w:p>
        </w:tc>
        <w:tc>
          <w:tcPr>
            <w:tcW w:w="616" w:type="dxa"/>
            <w:vAlign w:val="center"/>
          </w:tcPr>
          <w:p w14:paraId="0C98D6C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6467" w:type="dxa"/>
            <w:vAlign w:val="center"/>
          </w:tcPr>
          <w:p w14:paraId="1C0DE774">
            <w:pPr>
              <w:snapToGrid w:val="0"/>
              <w:rPr>
                <w:rFonts w:hint="eastAsia" w:ascii="宋体" w:hAnsi="宋体" w:cs="宋体"/>
                <w:color w:val="auto"/>
                <w:szCs w:val="21"/>
                <w:highlight w:val="none"/>
              </w:rPr>
            </w:pPr>
            <w:r>
              <w:rPr>
                <w:rFonts w:hint="eastAsia" w:ascii="宋体" w:hAnsi="宋体" w:cs="宋体"/>
                <w:color w:val="auto"/>
                <w:szCs w:val="21"/>
                <w:highlight w:val="none"/>
              </w:rPr>
              <w:t>1）具有工程类建筑或规划专业高级</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以上工程师职称的得3分。</w:t>
            </w:r>
          </w:p>
          <w:p w14:paraId="6D4D668B">
            <w:pPr>
              <w:snapToGrid w:val="0"/>
              <w:rPr>
                <w:rFonts w:hint="eastAsia" w:ascii="宋体" w:hAnsi="宋体" w:cs="宋体"/>
                <w:color w:val="auto"/>
                <w:szCs w:val="21"/>
                <w:highlight w:val="none"/>
              </w:rPr>
            </w:pPr>
            <w:r>
              <w:rPr>
                <w:rFonts w:hint="eastAsia" w:ascii="宋体" w:hAnsi="宋体" w:cs="宋体"/>
                <w:color w:val="auto"/>
                <w:szCs w:val="21"/>
                <w:highlight w:val="none"/>
              </w:rPr>
              <w:t>2）具有一级注册建筑师的得3分。</w:t>
            </w:r>
          </w:p>
          <w:p w14:paraId="50EDD32D">
            <w:pPr>
              <w:snapToGrid w:val="0"/>
              <w:rPr>
                <w:rFonts w:hint="eastAsia" w:ascii="宋体" w:hAnsi="宋体" w:cs="宋体"/>
                <w:color w:val="auto"/>
                <w:szCs w:val="21"/>
                <w:highlight w:val="none"/>
                <w:lang w:val="en-US" w:eastAsia="zh-CN"/>
              </w:rPr>
            </w:pPr>
            <w:r>
              <w:rPr>
                <w:rFonts w:hint="eastAsia" w:ascii="宋体" w:hAnsi="宋体" w:cs="宋体"/>
                <w:color w:val="auto"/>
                <w:szCs w:val="21"/>
                <w:highlight w:val="none"/>
              </w:rPr>
              <w:t>3）曾获省级及以上优秀城乡规划设计奖或省级及以上优秀工程勘察设计奖的得3分；曾获市级优秀城乡规划设计奖或市级优秀工程勘察设计奖的得1分</w:t>
            </w:r>
            <w:r>
              <w:rPr>
                <w:rFonts w:hint="eastAsia" w:ascii="宋体" w:hAnsi="宋体" w:cs="宋体"/>
                <w:color w:val="auto"/>
                <w:szCs w:val="21"/>
                <w:highlight w:val="none"/>
                <w:lang w:eastAsia="zh-CN"/>
              </w:rPr>
              <w:t>；最高得</w:t>
            </w:r>
            <w:r>
              <w:rPr>
                <w:rFonts w:hint="eastAsia" w:ascii="宋体" w:hAnsi="宋体" w:cs="宋体"/>
                <w:color w:val="auto"/>
                <w:szCs w:val="21"/>
                <w:highlight w:val="none"/>
                <w:lang w:val="en-US" w:eastAsia="zh-CN"/>
              </w:rPr>
              <w:t>3分。需注明“项目负责人获奖”，否则不得分。</w:t>
            </w:r>
          </w:p>
          <w:p w14:paraId="238853E4">
            <w:pPr>
              <w:snapToGrid w:val="0"/>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本项累计最高得9分。</w:t>
            </w:r>
          </w:p>
        </w:tc>
      </w:tr>
      <w:tr w14:paraId="4851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20" w:type="dxa"/>
            <w:vMerge w:val="continue"/>
            <w:vAlign w:val="center"/>
          </w:tcPr>
          <w:p w14:paraId="0A8A9C7F">
            <w:pPr>
              <w:jc w:val="center"/>
              <w:rPr>
                <w:rFonts w:ascii="宋体" w:hAnsi="宋体" w:cs="宋体"/>
                <w:color w:val="auto"/>
                <w:szCs w:val="21"/>
                <w:highlight w:val="none"/>
              </w:rPr>
            </w:pPr>
          </w:p>
        </w:tc>
        <w:tc>
          <w:tcPr>
            <w:tcW w:w="1156" w:type="dxa"/>
            <w:vAlign w:val="center"/>
          </w:tcPr>
          <w:p w14:paraId="2878B5C1">
            <w:pPr>
              <w:snapToGrid w:val="0"/>
              <w:jc w:val="center"/>
              <w:rPr>
                <w:rFonts w:ascii="宋体" w:hAnsi="宋体" w:cs="宋体"/>
                <w:color w:val="auto"/>
                <w:szCs w:val="21"/>
                <w:highlight w:val="none"/>
              </w:rPr>
            </w:pPr>
            <w:r>
              <w:rPr>
                <w:rFonts w:hint="eastAsia" w:ascii="宋体" w:hAnsi="宋体" w:cs="宋体"/>
                <w:color w:val="auto"/>
                <w:szCs w:val="21"/>
                <w:highlight w:val="none"/>
              </w:rPr>
              <w:t>投入的其他专业人员资历水平（不含项目负责人）</w:t>
            </w:r>
          </w:p>
        </w:tc>
        <w:tc>
          <w:tcPr>
            <w:tcW w:w="616" w:type="dxa"/>
            <w:vAlign w:val="center"/>
          </w:tcPr>
          <w:p w14:paraId="5928C65D">
            <w:pPr>
              <w:snapToGrid w:val="0"/>
              <w:jc w:val="center"/>
              <w:rPr>
                <w:rFonts w:ascii="宋体" w:hAnsi="宋体" w:cs="宋体"/>
                <w:color w:val="auto"/>
                <w:szCs w:val="21"/>
                <w:highlight w:val="none"/>
              </w:rPr>
            </w:pPr>
            <w:r>
              <w:rPr>
                <w:rFonts w:ascii="宋体" w:hAnsi="宋体" w:cs="宋体"/>
                <w:color w:val="auto"/>
                <w:szCs w:val="21"/>
                <w:highlight w:val="none"/>
              </w:rPr>
              <w:t>18</w:t>
            </w:r>
          </w:p>
        </w:tc>
        <w:tc>
          <w:tcPr>
            <w:tcW w:w="6467" w:type="dxa"/>
            <w:vAlign w:val="center"/>
          </w:tcPr>
          <w:p w14:paraId="28A508B8">
            <w:pPr>
              <w:snapToGrid w:val="0"/>
              <w:rPr>
                <w:rFonts w:ascii="宋体" w:hAnsi="宋体" w:cs="宋体"/>
                <w:color w:val="auto"/>
                <w:szCs w:val="21"/>
                <w:highlight w:val="none"/>
              </w:rPr>
            </w:pPr>
            <w:r>
              <w:rPr>
                <w:rFonts w:hint="eastAsia" w:ascii="宋体" w:hAnsi="宋体" w:cs="宋体"/>
                <w:color w:val="auto"/>
                <w:szCs w:val="21"/>
                <w:highlight w:val="none"/>
              </w:rPr>
              <w:t>1）具备注</w:t>
            </w:r>
            <w:r>
              <w:rPr>
                <w:rFonts w:ascii="宋体" w:hAnsi="宋体" w:cs="宋体"/>
                <w:color w:val="auto"/>
                <w:szCs w:val="21"/>
                <w:highlight w:val="none"/>
              </w:rPr>
              <w:t>册</w:t>
            </w:r>
            <w:r>
              <w:rPr>
                <w:rFonts w:hint="eastAsia" w:ascii="宋体" w:hAnsi="宋体" w:cs="宋体"/>
                <w:color w:val="auto"/>
                <w:szCs w:val="21"/>
                <w:highlight w:val="none"/>
              </w:rPr>
              <w:t>城乡（市）</w:t>
            </w:r>
            <w:r>
              <w:rPr>
                <w:rFonts w:ascii="宋体" w:hAnsi="宋体" w:cs="宋体"/>
                <w:color w:val="auto"/>
                <w:szCs w:val="21"/>
                <w:highlight w:val="none"/>
              </w:rPr>
              <w:t>规划师</w:t>
            </w:r>
            <w:r>
              <w:rPr>
                <w:rFonts w:hint="eastAsia" w:ascii="宋体" w:hAnsi="宋体" w:cs="宋体"/>
                <w:color w:val="auto"/>
                <w:szCs w:val="21"/>
                <w:highlight w:val="none"/>
              </w:rPr>
              <w:t>或</w:t>
            </w:r>
            <w:r>
              <w:rPr>
                <w:rFonts w:ascii="宋体" w:hAnsi="宋体" w:cs="宋体"/>
                <w:color w:val="auto"/>
                <w:szCs w:val="21"/>
                <w:highlight w:val="none"/>
              </w:rPr>
              <w:t>文物保护工程责任设计师</w:t>
            </w:r>
            <w:r>
              <w:rPr>
                <w:rFonts w:hint="eastAsia" w:ascii="宋体" w:hAnsi="宋体" w:cs="宋体"/>
                <w:color w:val="auto"/>
                <w:szCs w:val="21"/>
                <w:highlight w:val="none"/>
              </w:rPr>
              <w:t>的每人得</w:t>
            </w:r>
            <w:r>
              <w:rPr>
                <w:rFonts w:ascii="宋体" w:hAnsi="宋体" w:cs="宋体"/>
                <w:color w:val="auto"/>
                <w:szCs w:val="21"/>
                <w:highlight w:val="none"/>
              </w:rPr>
              <w:t>2</w:t>
            </w:r>
            <w:r>
              <w:rPr>
                <w:rFonts w:hint="eastAsia" w:ascii="宋体" w:hAnsi="宋体" w:cs="宋体"/>
                <w:color w:val="auto"/>
                <w:szCs w:val="21"/>
                <w:highlight w:val="none"/>
              </w:rPr>
              <w:t>分；最高得</w:t>
            </w:r>
            <w:r>
              <w:rPr>
                <w:rFonts w:ascii="宋体" w:hAnsi="宋体" w:cs="宋体"/>
                <w:color w:val="auto"/>
                <w:szCs w:val="21"/>
                <w:highlight w:val="none"/>
              </w:rPr>
              <w:t>8</w:t>
            </w:r>
            <w:r>
              <w:rPr>
                <w:rFonts w:hint="eastAsia" w:ascii="宋体" w:hAnsi="宋体" w:cs="宋体"/>
                <w:color w:val="auto"/>
                <w:szCs w:val="21"/>
                <w:highlight w:val="none"/>
              </w:rPr>
              <w:t>分。</w:t>
            </w:r>
          </w:p>
          <w:p w14:paraId="380C70E8">
            <w:pPr>
              <w:snapToGrid w:val="0"/>
              <w:rPr>
                <w:rFonts w:ascii="宋体" w:hAnsi="宋体" w:cs="宋体"/>
                <w:color w:val="auto"/>
                <w:szCs w:val="21"/>
                <w:highlight w:val="none"/>
              </w:rPr>
            </w:pPr>
            <w:r>
              <w:rPr>
                <w:rFonts w:hint="eastAsia" w:ascii="宋体" w:hAnsi="宋体" w:cs="宋体"/>
                <w:color w:val="auto"/>
                <w:szCs w:val="21"/>
                <w:highlight w:val="none"/>
              </w:rPr>
              <w:t>2）具备工程类建筑或</w:t>
            </w:r>
            <w:r>
              <w:rPr>
                <w:rFonts w:ascii="宋体" w:hAnsi="宋体" w:cs="宋体"/>
                <w:color w:val="auto"/>
                <w:szCs w:val="21"/>
                <w:highlight w:val="none"/>
              </w:rPr>
              <w:t>规划</w:t>
            </w:r>
            <w:r>
              <w:rPr>
                <w:rFonts w:hint="eastAsia" w:ascii="宋体" w:hAnsi="宋体" w:cs="宋体"/>
                <w:color w:val="auto"/>
                <w:szCs w:val="21"/>
                <w:highlight w:val="none"/>
              </w:rPr>
              <w:t>专业</w:t>
            </w:r>
            <w:r>
              <w:rPr>
                <w:rFonts w:ascii="宋体" w:hAnsi="宋体" w:cs="宋体"/>
                <w:color w:val="auto"/>
                <w:szCs w:val="21"/>
                <w:highlight w:val="none"/>
              </w:rPr>
              <w:t>高级</w:t>
            </w:r>
            <w:r>
              <w:rPr>
                <w:rFonts w:hint="eastAsia" w:ascii="宋体" w:hAnsi="宋体" w:cs="宋体"/>
                <w:color w:val="auto"/>
                <w:szCs w:val="21"/>
                <w:highlight w:val="none"/>
              </w:rPr>
              <w:t>或以上</w:t>
            </w:r>
            <w:r>
              <w:rPr>
                <w:rFonts w:ascii="宋体" w:hAnsi="宋体" w:cs="宋体"/>
                <w:color w:val="auto"/>
                <w:szCs w:val="21"/>
                <w:highlight w:val="none"/>
              </w:rPr>
              <w:t>工程师</w:t>
            </w:r>
            <w:r>
              <w:rPr>
                <w:rFonts w:hint="eastAsia" w:ascii="宋体" w:hAnsi="宋体" w:cs="宋体"/>
                <w:color w:val="auto"/>
                <w:szCs w:val="21"/>
                <w:highlight w:val="none"/>
              </w:rPr>
              <w:t>职称的，每人得2分；最高得</w:t>
            </w:r>
            <w:r>
              <w:rPr>
                <w:rFonts w:ascii="宋体" w:hAnsi="宋体" w:cs="宋体"/>
                <w:color w:val="auto"/>
                <w:szCs w:val="21"/>
                <w:highlight w:val="none"/>
              </w:rPr>
              <w:t>6</w:t>
            </w:r>
            <w:r>
              <w:rPr>
                <w:rFonts w:hint="eastAsia" w:ascii="宋体" w:hAnsi="宋体" w:cs="宋体"/>
                <w:color w:val="auto"/>
                <w:szCs w:val="21"/>
                <w:highlight w:val="none"/>
              </w:rPr>
              <w:t>分。</w:t>
            </w:r>
          </w:p>
          <w:p w14:paraId="63F19D15">
            <w:pPr>
              <w:snapToGrid w:val="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）具备工</w:t>
            </w:r>
            <w:r>
              <w:rPr>
                <w:rFonts w:ascii="宋体" w:hAnsi="宋体" w:cs="宋体"/>
                <w:color w:val="auto"/>
                <w:szCs w:val="21"/>
                <w:highlight w:val="none"/>
              </w:rPr>
              <w:t>程</w:t>
            </w:r>
            <w:r>
              <w:rPr>
                <w:rFonts w:hint="eastAsia" w:ascii="宋体" w:hAnsi="宋体" w:cs="宋体"/>
                <w:color w:val="auto"/>
                <w:szCs w:val="21"/>
                <w:highlight w:val="none"/>
              </w:rPr>
              <w:t>类建筑</w:t>
            </w:r>
            <w:r>
              <w:rPr>
                <w:rFonts w:ascii="宋体" w:hAnsi="宋体" w:cs="宋体"/>
                <w:color w:val="auto"/>
                <w:szCs w:val="21"/>
                <w:highlight w:val="none"/>
              </w:rPr>
              <w:t>或规划工程师职称的，每人得</w:t>
            </w:r>
            <w:r>
              <w:rPr>
                <w:rFonts w:hint="eastAsia" w:ascii="宋体" w:hAnsi="宋体" w:cs="宋体"/>
                <w:color w:val="auto"/>
                <w:szCs w:val="21"/>
                <w:highlight w:val="none"/>
              </w:rPr>
              <w:t>1分；最高得</w:t>
            </w:r>
            <w:r>
              <w:rPr>
                <w:rFonts w:ascii="宋体" w:hAnsi="宋体" w:cs="宋体"/>
                <w:color w:val="auto"/>
                <w:szCs w:val="21"/>
                <w:highlight w:val="none"/>
              </w:rPr>
              <w:t>4</w:t>
            </w:r>
            <w:r>
              <w:rPr>
                <w:rFonts w:hint="eastAsia" w:ascii="宋体" w:hAnsi="宋体" w:cs="宋体"/>
                <w:color w:val="auto"/>
                <w:szCs w:val="21"/>
                <w:highlight w:val="none"/>
              </w:rPr>
              <w:t>分。</w:t>
            </w:r>
          </w:p>
          <w:p w14:paraId="48D20172">
            <w:pPr>
              <w:snapToGrid w:val="0"/>
              <w:rPr>
                <w:rFonts w:ascii="宋体" w:hAnsi="宋体" w:cs="宋体"/>
                <w:color w:val="auto"/>
                <w:szCs w:val="21"/>
                <w:highlight w:val="none"/>
              </w:rPr>
            </w:pPr>
            <w:r>
              <w:rPr>
                <w:rFonts w:hint="eastAsia" w:ascii="宋体" w:hAnsi="宋体" w:cs="宋体"/>
                <w:color w:val="auto"/>
                <w:szCs w:val="21"/>
                <w:highlight w:val="none"/>
              </w:rPr>
              <w:t>以</w:t>
            </w:r>
            <w:r>
              <w:rPr>
                <w:rFonts w:ascii="宋体" w:hAnsi="宋体" w:cs="宋体"/>
                <w:color w:val="auto"/>
                <w:szCs w:val="21"/>
                <w:highlight w:val="none"/>
              </w:rPr>
              <w:t>上</w:t>
            </w:r>
            <w:r>
              <w:rPr>
                <w:rFonts w:hint="eastAsia" w:ascii="宋体" w:hAnsi="宋体" w:cs="宋体"/>
                <w:color w:val="auto"/>
                <w:szCs w:val="21"/>
                <w:highlight w:val="none"/>
                <w:lang w:eastAsia="zh-CN"/>
              </w:rPr>
              <w:t>专业</w:t>
            </w:r>
            <w:r>
              <w:rPr>
                <w:rFonts w:ascii="宋体" w:hAnsi="宋体" w:cs="宋体"/>
                <w:color w:val="auto"/>
                <w:szCs w:val="21"/>
                <w:highlight w:val="none"/>
              </w:rPr>
              <w:t>人员不可重复</w:t>
            </w:r>
            <w:r>
              <w:rPr>
                <w:rFonts w:hint="eastAsia" w:ascii="宋体" w:hAnsi="宋体" w:cs="宋体"/>
                <w:color w:val="auto"/>
                <w:szCs w:val="21"/>
                <w:highlight w:val="none"/>
              </w:rPr>
              <w:t>，</w:t>
            </w:r>
            <w:r>
              <w:rPr>
                <w:rFonts w:hint="eastAsia" w:ascii="宋体" w:hAnsi="宋体" w:cs="宋体"/>
                <w:color w:val="auto"/>
                <w:szCs w:val="21"/>
                <w:highlight w:val="none"/>
                <w:lang w:eastAsia="zh-CN"/>
              </w:rPr>
              <w:t>本项</w:t>
            </w:r>
            <w:r>
              <w:rPr>
                <w:rFonts w:hint="eastAsia" w:ascii="宋体" w:hAnsi="宋体" w:cs="宋体"/>
                <w:color w:val="auto"/>
                <w:szCs w:val="21"/>
                <w:highlight w:val="none"/>
              </w:rPr>
              <w:t>累计</w:t>
            </w:r>
            <w:r>
              <w:rPr>
                <w:rFonts w:ascii="宋体" w:hAnsi="宋体" w:cs="宋体"/>
                <w:color w:val="auto"/>
                <w:szCs w:val="21"/>
                <w:highlight w:val="none"/>
              </w:rPr>
              <w:t>最高</w:t>
            </w:r>
            <w:r>
              <w:rPr>
                <w:rFonts w:hint="eastAsia" w:ascii="宋体" w:hAnsi="宋体" w:cs="宋体"/>
                <w:color w:val="auto"/>
                <w:szCs w:val="21"/>
                <w:highlight w:val="none"/>
                <w:lang w:eastAsia="zh-CN"/>
              </w:rPr>
              <w:t>得</w:t>
            </w:r>
            <w:r>
              <w:rPr>
                <w:rFonts w:ascii="宋体" w:hAnsi="宋体" w:cs="宋体"/>
                <w:color w:val="auto"/>
                <w:szCs w:val="21"/>
                <w:highlight w:val="none"/>
              </w:rPr>
              <w:t>18</w:t>
            </w:r>
            <w:r>
              <w:rPr>
                <w:rFonts w:hint="eastAsia" w:ascii="宋体" w:hAnsi="宋体" w:cs="宋体"/>
                <w:color w:val="auto"/>
                <w:szCs w:val="21"/>
                <w:highlight w:val="none"/>
              </w:rPr>
              <w:t>分。</w:t>
            </w:r>
          </w:p>
        </w:tc>
      </w:tr>
      <w:tr w14:paraId="0C04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620" w:type="dxa"/>
            <w:vMerge w:val="continue"/>
            <w:vAlign w:val="center"/>
          </w:tcPr>
          <w:p w14:paraId="708F9743">
            <w:pPr>
              <w:jc w:val="center"/>
              <w:rPr>
                <w:rFonts w:ascii="宋体" w:hAnsi="宋体" w:cs="宋体"/>
                <w:color w:val="auto"/>
                <w:szCs w:val="21"/>
                <w:highlight w:val="none"/>
              </w:rPr>
            </w:pPr>
          </w:p>
        </w:tc>
        <w:tc>
          <w:tcPr>
            <w:tcW w:w="1156" w:type="dxa"/>
            <w:vAlign w:val="center"/>
          </w:tcPr>
          <w:p w14:paraId="512E954E">
            <w:pPr>
              <w:snapToGrid w:val="0"/>
              <w:jc w:val="center"/>
              <w:rPr>
                <w:rFonts w:ascii="宋体" w:hAnsi="宋体" w:cs="宋体"/>
                <w:color w:val="auto"/>
                <w:szCs w:val="21"/>
                <w:highlight w:val="none"/>
              </w:rPr>
            </w:pPr>
            <w:r>
              <w:rPr>
                <w:rFonts w:hint="eastAsia" w:ascii="宋体" w:hAnsi="宋体" w:cs="宋体"/>
                <w:color w:val="auto"/>
                <w:szCs w:val="21"/>
                <w:highlight w:val="none"/>
              </w:rPr>
              <w:t>企业获奖</w:t>
            </w:r>
          </w:p>
        </w:tc>
        <w:tc>
          <w:tcPr>
            <w:tcW w:w="616" w:type="dxa"/>
            <w:vAlign w:val="center"/>
          </w:tcPr>
          <w:p w14:paraId="30E2D491">
            <w:pPr>
              <w:snapToGrid w:val="0"/>
              <w:jc w:val="center"/>
              <w:rPr>
                <w:rFonts w:ascii="宋体" w:hAnsi="宋体" w:cs="宋体"/>
                <w:color w:val="auto"/>
                <w:szCs w:val="21"/>
                <w:highlight w:val="none"/>
              </w:rPr>
            </w:pPr>
            <w:r>
              <w:rPr>
                <w:rFonts w:ascii="宋体" w:hAnsi="宋体" w:cs="宋体"/>
                <w:color w:val="auto"/>
                <w:szCs w:val="21"/>
                <w:highlight w:val="none"/>
              </w:rPr>
              <w:t>20</w:t>
            </w:r>
          </w:p>
        </w:tc>
        <w:tc>
          <w:tcPr>
            <w:tcW w:w="6467" w:type="dxa"/>
            <w:vAlign w:val="center"/>
          </w:tcPr>
          <w:p w14:paraId="7B02B757">
            <w:pPr>
              <w:snapToGrid w:val="0"/>
              <w:rPr>
                <w:rFonts w:ascii="宋体" w:hAnsi="宋体" w:cs="宋体"/>
                <w:color w:val="auto"/>
                <w:szCs w:val="21"/>
                <w:highlight w:val="none"/>
              </w:rPr>
            </w:pPr>
            <w:r>
              <w:rPr>
                <w:rFonts w:hint="eastAsia" w:ascii="宋体" w:hAnsi="宋体" w:cs="宋体"/>
                <w:color w:val="auto"/>
                <w:szCs w:val="21"/>
                <w:highlight w:val="none"/>
              </w:rPr>
              <w:t>1）201</w:t>
            </w:r>
            <w:r>
              <w:rPr>
                <w:rFonts w:ascii="宋体" w:hAnsi="宋体" w:cs="宋体"/>
                <w:color w:val="auto"/>
                <w:szCs w:val="21"/>
                <w:highlight w:val="none"/>
              </w:rPr>
              <w:t>9</w:t>
            </w:r>
            <w:r>
              <w:rPr>
                <w:rFonts w:hint="eastAsia" w:ascii="宋体" w:hAnsi="宋体" w:cs="宋体"/>
                <w:color w:val="auto"/>
                <w:szCs w:val="21"/>
                <w:highlight w:val="none"/>
              </w:rPr>
              <w:t>年1月1日至今获得省级及以上优秀城乡规划设计奖或省级及以上优秀工程勘察设计奖的。</w:t>
            </w:r>
            <w:r>
              <w:rPr>
                <w:rFonts w:ascii="宋体" w:hAnsi="宋体" w:cs="宋体"/>
                <w:color w:val="auto"/>
                <w:szCs w:val="21"/>
                <w:highlight w:val="none"/>
              </w:rPr>
              <w:t>每</w:t>
            </w:r>
            <w:r>
              <w:rPr>
                <w:rFonts w:hint="eastAsia" w:ascii="宋体" w:hAnsi="宋体" w:cs="宋体"/>
                <w:color w:val="auto"/>
                <w:szCs w:val="21"/>
                <w:highlight w:val="none"/>
              </w:rPr>
              <w:t>一</w:t>
            </w:r>
            <w:r>
              <w:rPr>
                <w:rFonts w:ascii="宋体" w:hAnsi="宋体" w:cs="宋体"/>
                <w:color w:val="auto"/>
                <w:szCs w:val="21"/>
                <w:highlight w:val="none"/>
              </w:rPr>
              <w:t>项得5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最高得20分；</w:t>
            </w:r>
          </w:p>
          <w:p w14:paraId="11A27DAF">
            <w:pPr>
              <w:snapToGrid w:val="0"/>
              <w:rPr>
                <w:rFonts w:ascii="宋体" w:hAnsi="宋体" w:cs="宋体"/>
                <w:color w:val="auto"/>
                <w:szCs w:val="21"/>
                <w:highlight w:val="none"/>
              </w:rPr>
            </w:pPr>
            <w:r>
              <w:rPr>
                <w:rFonts w:hint="eastAsia" w:ascii="宋体" w:hAnsi="宋体" w:cs="宋体"/>
                <w:color w:val="auto"/>
                <w:szCs w:val="21"/>
                <w:highlight w:val="none"/>
              </w:rPr>
              <w:t>2）201</w:t>
            </w:r>
            <w:r>
              <w:rPr>
                <w:rFonts w:ascii="宋体" w:hAnsi="宋体" w:cs="宋体"/>
                <w:color w:val="auto"/>
                <w:szCs w:val="21"/>
                <w:highlight w:val="none"/>
              </w:rPr>
              <w:t>9</w:t>
            </w:r>
            <w:r>
              <w:rPr>
                <w:rFonts w:hint="eastAsia" w:ascii="宋体" w:hAnsi="宋体" w:cs="宋体"/>
                <w:color w:val="auto"/>
                <w:szCs w:val="21"/>
                <w:highlight w:val="none"/>
              </w:rPr>
              <w:t>年1月1日至今获得市级优秀城乡规划设计奖或市级优秀工程勘察设计奖的，每一项得2分；最</w:t>
            </w:r>
            <w:r>
              <w:rPr>
                <w:rFonts w:ascii="宋体" w:hAnsi="宋体" w:cs="宋体"/>
                <w:color w:val="auto"/>
                <w:szCs w:val="21"/>
                <w:highlight w:val="none"/>
              </w:rPr>
              <w:t>高得</w:t>
            </w:r>
            <w:r>
              <w:rPr>
                <w:rFonts w:hint="eastAsia" w:ascii="宋体" w:hAnsi="宋体" w:cs="宋体"/>
                <w:color w:val="auto"/>
                <w:szCs w:val="21"/>
                <w:highlight w:val="none"/>
              </w:rPr>
              <w:t>1</w:t>
            </w:r>
            <w:r>
              <w:rPr>
                <w:rFonts w:ascii="宋体" w:hAnsi="宋体" w:cs="宋体"/>
                <w:color w:val="auto"/>
                <w:szCs w:val="21"/>
                <w:highlight w:val="none"/>
              </w:rPr>
              <w:t>0</w:t>
            </w:r>
            <w:r>
              <w:rPr>
                <w:rFonts w:hint="eastAsia" w:ascii="宋体" w:hAnsi="宋体" w:cs="宋体"/>
                <w:color w:val="auto"/>
                <w:szCs w:val="21"/>
                <w:highlight w:val="none"/>
              </w:rPr>
              <w:t>分</w:t>
            </w:r>
            <w:r>
              <w:rPr>
                <w:rFonts w:ascii="宋体" w:hAnsi="宋体" w:cs="宋体"/>
                <w:color w:val="auto"/>
                <w:szCs w:val="21"/>
                <w:highlight w:val="none"/>
              </w:rPr>
              <w:t>。</w:t>
            </w:r>
          </w:p>
          <w:p w14:paraId="5891B719">
            <w:pPr>
              <w:snapToGrid w:val="0"/>
              <w:rPr>
                <w:rFonts w:ascii="宋体" w:hAnsi="宋体" w:cs="宋体"/>
                <w:color w:val="auto"/>
                <w:szCs w:val="21"/>
                <w:highlight w:val="none"/>
              </w:rPr>
            </w:pPr>
            <w:r>
              <w:rPr>
                <w:rFonts w:hint="eastAsia" w:ascii="宋体" w:hAnsi="宋体" w:cs="宋体"/>
                <w:color w:val="auto"/>
                <w:szCs w:val="21"/>
                <w:highlight w:val="none"/>
              </w:rPr>
              <w:t>本项累计最高得20分。</w:t>
            </w:r>
          </w:p>
          <w:p w14:paraId="25B96BB9">
            <w:pPr>
              <w:snapToGrid w:val="0"/>
              <w:rPr>
                <w:rFonts w:ascii="宋体" w:hAnsi="宋体" w:cs="宋体"/>
                <w:color w:val="auto"/>
                <w:szCs w:val="21"/>
                <w:highlight w:val="none"/>
              </w:rPr>
            </w:pPr>
            <w:r>
              <w:rPr>
                <w:rFonts w:hint="eastAsia" w:ascii="宋体" w:hAnsi="宋体" w:cs="宋体"/>
                <w:color w:val="auto"/>
                <w:szCs w:val="21"/>
                <w:highlight w:val="none"/>
              </w:rPr>
              <w:t>注：提</w:t>
            </w:r>
            <w:r>
              <w:rPr>
                <w:rFonts w:ascii="宋体" w:hAnsi="宋体" w:cs="宋体"/>
                <w:color w:val="auto"/>
                <w:szCs w:val="21"/>
                <w:highlight w:val="none"/>
              </w:rPr>
              <w:t>供获奖证书复印件</w:t>
            </w:r>
            <w:r>
              <w:rPr>
                <w:rFonts w:hint="eastAsia" w:ascii="宋体" w:hAnsi="宋体" w:cs="宋体"/>
                <w:color w:val="auto"/>
                <w:szCs w:val="21"/>
                <w:highlight w:val="none"/>
              </w:rPr>
              <w:t>，以颁发的时间为准。</w:t>
            </w:r>
          </w:p>
        </w:tc>
      </w:tr>
      <w:tr w14:paraId="0DC6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5" w:hRule="atLeast"/>
        </w:trPr>
        <w:tc>
          <w:tcPr>
            <w:tcW w:w="620" w:type="dxa"/>
            <w:tcMar>
              <w:top w:w="14" w:type="dxa"/>
              <w:left w:w="14" w:type="dxa"/>
              <w:bottom w:w="0" w:type="dxa"/>
              <w:right w:w="14" w:type="dxa"/>
            </w:tcMar>
            <w:vAlign w:val="center"/>
          </w:tcPr>
          <w:p w14:paraId="1B3EFAC9">
            <w:pPr>
              <w:jc w:val="center"/>
              <w:rPr>
                <w:rFonts w:ascii="宋体" w:hAnsi="宋体" w:cs="宋体"/>
                <w:color w:val="auto"/>
                <w:szCs w:val="21"/>
                <w:highlight w:val="none"/>
              </w:rPr>
            </w:pPr>
            <w:r>
              <w:rPr>
                <w:rFonts w:hint="eastAsia" w:ascii="宋体" w:hAnsi="宋体" w:cs="宋体"/>
                <w:color w:val="auto"/>
                <w:szCs w:val="21"/>
                <w:highlight w:val="none"/>
              </w:rPr>
              <w:t>报价部分</w:t>
            </w:r>
            <w:r>
              <w:rPr>
                <w:rFonts w:ascii="宋体" w:hAnsi="宋体" w:cs="宋体"/>
                <w:color w:val="auto"/>
                <w:szCs w:val="21"/>
                <w:highlight w:val="none"/>
              </w:rPr>
              <w:t>得分（</w:t>
            </w:r>
            <w:r>
              <w:rPr>
                <w:rFonts w:hint="eastAsia" w:ascii="宋体" w:hAnsi="宋体" w:cs="宋体"/>
                <w:color w:val="auto"/>
                <w:szCs w:val="21"/>
                <w:highlight w:val="none"/>
              </w:rPr>
              <w:t>20分</w:t>
            </w:r>
            <w:r>
              <w:rPr>
                <w:rFonts w:ascii="宋体" w:hAnsi="宋体" w:cs="宋体"/>
                <w:color w:val="auto"/>
                <w:szCs w:val="21"/>
                <w:highlight w:val="none"/>
              </w:rPr>
              <w:t>）</w:t>
            </w:r>
          </w:p>
        </w:tc>
        <w:tc>
          <w:tcPr>
            <w:tcW w:w="1156" w:type="dxa"/>
            <w:tcMar>
              <w:top w:w="14" w:type="dxa"/>
              <w:left w:w="14" w:type="dxa"/>
              <w:bottom w:w="0" w:type="dxa"/>
              <w:right w:w="14" w:type="dxa"/>
            </w:tcMar>
            <w:vAlign w:val="center"/>
          </w:tcPr>
          <w:p w14:paraId="47502669">
            <w:pPr>
              <w:widowControl/>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报价</w:t>
            </w:r>
            <w:r>
              <w:rPr>
                <w:rFonts w:hint="eastAsia" w:ascii="宋体" w:hAnsi="宋体" w:cs="宋体"/>
                <w:color w:val="auto"/>
                <w:szCs w:val="21"/>
                <w:highlight w:val="none"/>
                <w:lang w:eastAsia="zh-CN"/>
              </w:rPr>
              <w:t>得分</w:t>
            </w:r>
          </w:p>
        </w:tc>
        <w:tc>
          <w:tcPr>
            <w:tcW w:w="616" w:type="dxa"/>
            <w:tcMar>
              <w:top w:w="14" w:type="dxa"/>
              <w:left w:w="14" w:type="dxa"/>
              <w:bottom w:w="0" w:type="dxa"/>
              <w:right w:w="14" w:type="dxa"/>
            </w:tcMar>
            <w:vAlign w:val="center"/>
          </w:tcPr>
          <w:p w14:paraId="6F611FEB">
            <w:pPr>
              <w:widowControl/>
              <w:snapToGrid w:val="0"/>
              <w:jc w:val="center"/>
              <w:rPr>
                <w:rFonts w:ascii="宋体" w:hAnsi="宋体" w:cs="宋体"/>
                <w:color w:val="auto"/>
                <w:szCs w:val="21"/>
                <w:highlight w:val="none"/>
              </w:rPr>
            </w:pPr>
            <w:r>
              <w:rPr>
                <w:rFonts w:ascii="宋体" w:hAnsi="宋体" w:cs="宋体"/>
                <w:color w:val="auto"/>
                <w:szCs w:val="21"/>
                <w:highlight w:val="none"/>
              </w:rPr>
              <w:t>20</w:t>
            </w:r>
          </w:p>
        </w:tc>
        <w:tc>
          <w:tcPr>
            <w:tcW w:w="6467" w:type="dxa"/>
            <w:tcMar>
              <w:top w:w="14" w:type="dxa"/>
              <w:left w:w="14" w:type="dxa"/>
              <w:bottom w:w="0" w:type="dxa"/>
              <w:right w:w="14" w:type="dxa"/>
            </w:tcMar>
            <w:vAlign w:val="center"/>
          </w:tcPr>
          <w:p w14:paraId="3D3551C5">
            <w:pPr>
              <w:pStyle w:val="45"/>
              <w:snapToGrid w:val="0"/>
              <w:spacing w:before="0" w:beforeAutospacing="0" w:after="0" w:afterAutospacing="0"/>
              <w:jc w:val="both"/>
              <w:rPr>
                <w:color w:val="auto"/>
                <w:kern w:val="2"/>
                <w:sz w:val="21"/>
                <w:szCs w:val="21"/>
                <w:highlight w:val="none"/>
              </w:rPr>
            </w:pPr>
            <w:r>
              <w:rPr>
                <w:rFonts w:hint="eastAsia"/>
                <w:color w:val="auto"/>
                <w:kern w:val="2"/>
                <w:sz w:val="21"/>
                <w:szCs w:val="21"/>
                <w:highlight w:val="none"/>
              </w:rPr>
              <w:t>当有</w:t>
            </w:r>
            <w:r>
              <w:rPr>
                <w:color w:val="auto"/>
                <w:kern w:val="2"/>
                <w:sz w:val="21"/>
                <w:szCs w:val="21"/>
                <w:highlight w:val="none"/>
              </w:rPr>
              <w:t>效报价等</w:t>
            </w:r>
            <w:r>
              <w:rPr>
                <w:rFonts w:hint="eastAsia"/>
                <w:color w:val="auto"/>
                <w:kern w:val="2"/>
                <w:sz w:val="21"/>
                <w:szCs w:val="21"/>
                <w:highlight w:val="none"/>
              </w:rPr>
              <w:t>于</w:t>
            </w:r>
            <w:r>
              <w:rPr>
                <w:color w:val="auto"/>
                <w:kern w:val="2"/>
                <w:sz w:val="21"/>
                <w:szCs w:val="21"/>
                <w:highlight w:val="none"/>
              </w:rPr>
              <w:t>报价基准价时，报价得分</w:t>
            </w:r>
            <w:r>
              <w:rPr>
                <w:rFonts w:hint="eastAsia"/>
                <w:color w:val="auto"/>
                <w:kern w:val="2"/>
                <w:sz w:val="21"/>
                <w:szCs w:val="21"/>
                <w:highlight w:val="none"/>
              </w:rPr>
              <w:t>为20分</w:t>
            </w:r>
            <w:r>
              <w:rPr>
                <w:color w:val="auto"/>
                <w:kern w:val="2"/>
                <w:sz w:val="21"/>
                <w:szCs w:val="21"/>
                <w:highlight w:val="none"/>
              </w:rPr>
              <w:t>；报价每高于报价基准价</w:t>
            </w:r>
            <w:r>
              <w:rPr>
                <w:rFonts w:hint="eastAsia"/>
                <w:color w:val="auto"/>
                <w:kern w:val="2"/>
                <w:sz w:val="21"/>
                <w:szCs w:val="21"/>
                <w:highlight w:val="none"/>
              </w:rPr>
              <w:t>1%的</w:t>
            </w:r>
            <w:r>
              <w:rPr>
                <w:color w:val="auto"/>
                <w:kern w:val="2"/>
                <w:sz w:val="21"/>
                <w:szCs w:val="21"/>
                <w:highlight w:val="none"/>
              </w:rPr>
              <w:t>，扣</w:t>
            </w:r>
            <w:r>
              <w:rPr>
                <w:rFonts w:hint="eastAsia"/>
                <w:color w:val="auto"/>
                <w:kern w:val="2"/>
                <w:sz w:val="21"/>
                <w:szCs w:val="21"/>
                <w:highlight w:val="none"/>
              </w:rPr>
              <w:t>0.5分</w:t>
            </w:r>
            <w:r>
              <w:rPr>
                <w:color w:val="auto"/>
                <w:kern w:val="2"/>
                <w:sz w:val="21"/>
                <w:szCs w:val="21"/>
                <w:highlight w:val="none"/>
              </w:rPr>
              <w:t>，每低于</w:t>
            </w:r>
            <w:r>
              <w:rPr>
                <w:rFonts w:hint="eastAsia"/>
                <w:color w:val="auto"/>
                <w:kern w:val="2"/>
                <w:sz w:val="21"/>
                <w:szCs w:val="21"/>
                <w:highlight w:val="none"/>
              </w:rPr>
              <w:t>1%的</w:t>
            </w:r>
            <w:r>
              <w:rPr>
                <w:color w:val="auto"/>
                <w:kern w:val="2"/>
                <w:sz w:val="21"/>
                <w:szCs w:val="21"/>
                <w:highlight w:val="none"/>
              </w:rPr>
              <w:t>，</w:t>
            </w:r>
            <w:r>
              <w:rPr>
                <w:rFonts w:hint="eastAsia"/>
                <w:color w:val="auto"/>
                <w:kern w:val="2"/>
                <w:sz w:val="21"/>
                <w:szCs w:val="21"/>
                <w:highlight w:val="none"/>
              </w:rPr>
              <w:t>扣0.3分，</w:t>
            </w:r>
            <w:r>
              <w:rPr>
                <w:color w:val="auto"/>
                <w:kern w:val="2"/>
                <w:sz w:val="21"/>
                <w:szCs w:val="21"/>
                <w:highlight w:val="none"/>
              </w:rPr>
              <w:t>扣至</w:t>
            </w:r>
            <w:r>
              <w:rPr>
                <w:rFonts w:hint="eastAsia"/>
                <w:color w:val="auto"/>
                <w:kern w:val="2"/>
                <w:sz w:val="21"/>
                <w:szCs w:val="21"/>
                <w:highlight w:val="none"/>
              </w:rPr>
              <w:t>0分</w:t>
            </w:r>
            <w:r>
              <w:rPr>
                <w:color w:val="auto"/>
                <w:kern w:val="2"/>
                <w:sz w:val="21"/>
                <w:szCs w:val="21"/>
                <w:highlight w:val="none"/>
              </w:rPr>
              <w:t>为止，计算出报价得分，精确到小数</w:t>
            </w:r>
            <w:r>
              <w:rPr>
                <w:rFonts w:hint="eastAsia"/>
                <w:color w:val="auto"/>
                <w:kern w:val="2"/>
                <w:sz w:val="21"/>
                <w:szCs w:val="21"/>
                <w:highlight w:val="none"/>
              </w:rPr>
              <w:t>点</w:t>
            </w:r>
            <w:r>
              <w:rPr>
                <w:color w:val="auto"/>
                <w:kern w:val="2"/>
                <w:sz w:val="21"/>
                <w:szCs w:val="21"/>
                <w:highlight w:val="none"/>
              </w:rPr>
              <w:t>后两位。</w:t>
            </w:r>
          </w:p>
          <w:p w14:paraId="3BF4991C">
            <w:pPr>
              <w:pStyle w:val="45"/>
              <w:snapToGrid w:val="0"/>
              <w:spacing w:before="0" w:beforeAutospacing="0" w:after="0" w:afterAutospacing="0"/>
              <w:jc w:val="both"/>
              <w:rPr>
                <w:color w:val="auto"/>
                <w:kern w:val="2"/>
                <w:sz w:val="21"/>
                <w:szCs w:val="21"/>
                <w:highlight w:val="none"/>
              </w:rPr>
            </w:pPr>
            <w:r>
              <w:rPr>
                <w:rFonts w:hint="eastAsia"/>
                <w:color w:val="auto"/>
                <w:kern w:val="2"/>
                <w:sz w:val="21"/>
                <w:szCs w:val="21"/>
                <w:highlight w:val="none"/>
              </w:rPr>
              <w:t>注</w:t>
            </w:r>
            <w:r>
              <w:rPr>
                <w:color w:val="auto"/>
                <w:kern w:val="2"/>
                <w:sz w:val="21"/>
                <w:szCs w:val="21"/>
                <w:highlight w:val="none"/>
              </w:rPr>
              <w:t>：</w:t>
            </w:r>
            <w:r>
              <w:rPr>
                <w:rFonts w:hint="eastAsia"/>
                <w:color w:val="auto"/>
                <w:kern w:val="2"/>
                <w:sz w:val="21"/>
                <w:szCs w:val="21"/>
                <w:highlight w:val="none"/>
              </w:rPr>
              <w:t>1、</w:t>
            </w:r>
            <w:r>
              <w:rPr>
                <w:color w:val="auto"/>
                <w:kern w:val="2"/>
                <w:sz w:val="21"/>
                <w:szCs w:val="21"/>
                <w:highlight w:val="none"/>
              </w:rPr>
              <w:t>当有效报价人大于或等于</w:t>
            </w:r>
            <w:r>
              <w:rPr>
                <w:rFonts w:hint="eastAsia"/>
                <w:color w:val="auto"/>
                <w:kern w:val="2"/>
                <w:sz w:val="21"/>
                <w:szCs w:val="21"/>
                <w:highlight w:val="none"/>
              </w:rPr>
              <w:t>5家</w:t>
            </w:r>
            <w:r>
              <w:rPr>
                <w:color w:val="auto"/>
                <w:kern w:val="2"/>
                <w:sz w:val="21"/>
                <w:szCs w:val="21"/>
                <w:highlight w:val="none"/>
              </w:rPr>
              <w:t>时，去掉一个最高价和一个最低价，</w:t>
            </w:r>
            <w:r>
              <w:rPr>
                <w:rFonts w:hint="eastAsia"/>
                <w:color w:val="auto"/>
                <w:kern w:val="2"/>
                <w:sz w:val="21"/>
                <w:szCs w:val="21"/>
                <w:highlight w:val="none"/>
              </w:rPr>
              <w:t>取</w:t>
            </w:r>
            <w:r>
              <w:rPr>
                <w:color w:val="auto"/>
                <w:kern w:val="2"/>
                <w:sz w:val="21"/>
                <w:szCs w:val="21"/>
                <w:highlight w:val="none"/>
              </w:rPr>
              <w:t>余下有效报价的</w:t>
            </w:r>
            <w:r>
              <w:rPr>
                <w:rFonts w:hint="eastAsia"/>
                <w:color w:val="auto"/>
                <w:kern w:val="2"/>
                <w:sz w:val="21"/>
                <w:szCs w:val="21"/>
                <w:highlight w:val="none"/>
              </w:rPr>
              <w:t>算术</w:t>
            </w:r>
            <w:r>
              <w:rPr>
                <w:color w:val="auto"/>
                <w:kern w:val="2"/>
                <w:sz w:val="21"/>
                <w:szCs w:val="21"/>
                <w:highlight w:val="none"/>
              </w:rPr>
              <w:t>平均值作为报价基准价。当</w:t>
            </w:r>
            <w:r>
              <w:rPr>
                <w:rFonts w:hint="eastAsia"/>
                <w:color w:val="auto"/>
                <w:kern w:val="2"/>
                <w:sz w:val="21"/>
                <w:szCs w:val="21"/>
                <w:highlight w:val="none"/>
              </w:rPr>
              <w:t>有</w:t>
            </w:r>
            <w:r>
              <w:rPr>
                <w:color w:val="auto"/>
                <w:kern w:val="2"/>
                <w:sz w:val="21"/>
                <w:szCs w:val="21"/>
                <w:highlight w:val="none"/>
              </w:rPr>
              <w:t>效报价人小于</w:t>
            </w:r>
            <w:r>
              <w:rPr>
                <w:rFonts w:hint="eastAsia"/>
                <w:color w:val="auto"/>
                <w:kern w:val="2"/>
                <w:sz w:val="21"/>
                <w:szCs w:val="21"/>
                <w:highlight w:val="none"/>
              </w:rPr>
              <w:t>5家</w:t>
            </w:r>
            <w:r>
              <w:rPr>
                <w:color w:val="auto"/>
                <w:kern w:val="2"/>
                <w:sz w:val="21"/>
                <w:szCs w:val="21"/>
                <w:highlight w:val="none"/>
              </w:rPr>
              <w:t>时，取所有入围有效报价的算术平均值作为报价基准价</w:t>
            </w:r>
            <w:r>
              <w:rPr>
                <w:rFonts w:hint="eastAsia"/>
                <w:color w:val="auto"/>
                <w:kern w:val="2"/>
                <w:sz w:val="21"/>
                <w:szCs w:val="21"/>
                <w:highlight w:val="none"/>
              </w:rPr>
              <w:t>。</w:t>
            </w:r>
            <w:r>
              <w:rPr>
                <w:color w:val="auto"/>
                <w:kern w:val="2"/>
                <w:sz w:val="21"/>
                <w:szCs w:val="21"/>
                <w:highlight w:val="none"/>
              </w:rPr>
              <w:t>（保留</w:t>
            </w:r>
            <w:r>
              <w:rPr>
                <w:rFonts w:hint="eastAsia"/>
                <w:color w:val="auto"/>
                <w:kern w:val="2"/>
                <w:sz w:val="21"/>
                <w:szCs w:val="21"/>
                <w:highlight w:val="none"/>
              </w:rPr>
              <w:t>小</w:t>
            </w:r>
            <w:r>
              <w:rPr>
                <w:color w:val="auto"/>
                <w:kern w:val="2"/>
                <w:sz w:val="21"/>
                <w:szCs w:val="21"/>
                <w:highlight w:val="none"/>
              </w:rPr>
              <w:t>数点后</w:t>
            </w:r>
            <w:r>
              <w:rPr>
                <w:rFonts w:hint="eastAsia"/>
                <w:color w:val="auto"/>
                <w:kern w:val="2"/>
                <w:sz w:val="21"/>
                <w:szCs w:val="21"/>
                <w:highlight w:val="none"/>
              </w:rPr>
              <w:t>两</w:t>
            </w:r>
            <w:r>
              <w:rPr>
                <w:color w:val="auto"/>
                <w:kern w:val="2"/>
                <w:sz w:val="21"/>
                <w:szCs w:val="21"/>
                <w:highlight w:val="none"/>
              </w:rPr>
              <w:t>位，第三位小数四舍五入）</w:t>
            </w:r>
          </w:p>
        </w:tc>
      </w:tr>
      <w:tr w14:paraId="5FF0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620" w:type="dxa"/>
            <w:tcMar>
              <w:top w:w="14" w:type="dxa"/>
              <w:left w:w="14" w:type="dxa"/>
              <w:bottom w:w="0" w:type="dxa"/>
              <w:right w:w="14" w:type="dxa"/>
            </w:tcMar>
            <w:vAlign w:val="center"/>
          </w:tcPr>
          <w:p w14:paraId="68565547">
            <w:pPr>
              <w:jc w:val="center"/>
              <w:rPr>
                <w:rFonts w:ascii="宋体" w:hAnsi="宋体" w:cs="宋体"/>
                <w:color w:val="auto"/>
                <w:szCs w:val="21"/>
                <w:highlight w:val="none"/>
              </w:rPr>
            </w:pPr>
          </w:p>
        </w:tc>
        <w:tc>
          <w:tcPr>
            <w:tcW w:w="1156" w:type="dxa"/>
            <w:tcMar>
              <w:top w:w="14" w:type="dxa"/>
              <w:left w:w="14" w:type="dxa"/>
              <w:bottom w:w="0" w:type="dxa"/>
              <w:right w:w="14" w:type="dxa"/>
            </w:tcMar>
            <w:vAlign w:val="center"/>
          </w:tcPr>
          <w:p w14:paraId="0BF26150">
            <w:pPr>
              <w:jc w:val="center"/>
              <w:rPr>
                <w:rFonts w:ascii="宋体" w:hAnsi="宋体" w:cs="宋体"/>
                <w:b/>
                <w:color w:val="auto"/>
                <w:szCs w:val="21"/>
                <w:highlight w:val="none"/>
              </w:rPr>
            </w:pPr>
            <w:r>
              <w:rPr>
                <w:rFonts w:hint="eastAsia" w:ascii="宋体" w:hAnsi="宋体" w:cs="宋体"/>
                <w:b/>
                <w:color w:val="auto"/>
                <w:szCs w:val="21"/>
                <w:highlight w:val="none"/>
              </w:rPr>
              <w:t>总计</w:t>
            </w:r>
          </w:p>
        </w:tc>
        <w:tc>
          <w:tcPr>
            <w:tcW w:w="7083" w:type="dxa"/>
            <w:gridSpan w:val="2"/>
            <w:tcMar>
              <w:top w:w="14" w:type="dxa"/>
              <w:left w:w="14" w:type="dxa"/>
              <w:bottom w:w="0" w:type="dxa"/>
              <w:right w:w="14" w:type="dxa"/>
            </w:tcMar>
            <w:vAlign w:val="center"/>
          </w:tcPr>
          <w:p w14:paraId="2BABE838">
            <w:pPr>
              <w:jc w:val="center"/>
              <w:rPr>
                <w:rFonts w:ascii="宋体" w:hAnsi="宋体" w:cs="宋体"/>
                <w:b/>
                <w:color w:val="auto"/>
                <w:szCs w:val="21"/>
                <w:highlight w:val="none"/>
              </w:rPr>
            </w:pPr>
            <w:r>
              <w:rPr>
                <w:rFonts w:hint="eastAsia" w:ascii="宋体" w:hAnsi="宋体" w:cs="宋体"/>
                <w:bCs/>
                <w:color w:val="auto"/>
                <w:szCs w:val="21"/>
                <w:highlight w:val="none"/>
              </w:rPr>
              <w:t>100</w:t>
            </w:r>
          </w:p>
        </w:tc>
      </w:tr>
    </w:tbl>
    <w:p w14:paraId="00DACD59">
      <w:pPr>
        <w:ind w:left="105"/>
        <w:rPr>
          <w:color w:val="auto"/>
          <w:szCs w:val="21"/>
          <w:highlight w:val="none"/>
          <w:shd w:val="clear" w:color="auto" w:fill="FFFFFF"/>
        </w:rPr>
      </w:pPr>
      <w:r>
        <w:rPr>
          <w:rFonts w:hint="eastAsia"/>
          <w:color w:val="auto"/>
          <w:szCs w:val="21"/>
          <w:highlight w:val="none"/>
          <w:shd w:val="clear" w:color="auto" w:fill="FFFFFF"/>
          <w:lang w:eastAsia="zh-CN"/>
        </w:rPr>
        <w:t>注：</w:t>
      </w:r>
      <w:r>
        <w:rPr>
          <w:rFonts w:hint="eastAsia"/>
          <w:color w:val="auto"/>
          <w:szCs w:val="21"/>
          <w:highlight w:val="none"/>
          <w:shd w:val="clear" w:color="auto" w:fill="FFFFFF"/>
        </w:rPr>
        <w:t>1、须按要求提供以上人员的相关证书（如资格证、职称证、注册证）、获奖证明复印件及</w:t>
      </w:r>
      <w:r>
        <w:rPr>
          <w:rFonts w:hint="eastAsia"/>
          <w:color w:val="auto"/>
          <w:szCs w:val="21"/>
          <w:highlight w:val="none"/>
          <w:shd w:val="clear" w:color="auto" w:fill="FFFFFF"/>
          <w:lang w:eastAsia="zh-CN"/>
        </w:rPr>
        <w:t>近</w:t>
      </w:r>
      <w:r>
        <w:rPr>
          <w:color w:val="auto"/>
          <w:szCs w:val="21"/>
          <w:highlight w:val="none"/>
          <w:shd w:val="clear" w:color="auto" w:fill="FFFFFF"/>
        </w:rPr>
        <w:t>一个月</w:t>
      </w:r>
      <w:r>
        <w:rPr>
          <w:rFonts w:hint="eastAsia"/>
          <w:color w:val="auto"/>
          <w:szCs w:val="21"/>
          <w:highlight w:val="none"/>
          <w:shd w:val="clear" w:color="auto" w:fill="FFFFFF"/>
        </w:rPr>
        <w:t>本单位购买的个人社保证明复印件，并加盖公章，否则不得分。</w:t>
      </w:r>
    </w:p>
    <w:p w14:paraId="3D745A47">
      <w:pPr>
        <w:numPr>
          <w:ilvl w:val="0"/>
          <w:numId w:val="0"/>
        </w:numPr>
        <w:rPr>
          <w:rFonts w:hint="eastAsia"/>
          <w:color w:val="auto"/>
          <w:szCs w:val="21"/>
          <w:highlight w:val="none"/>
          <w:shd w:val="clear" w:color="auto" w:fill="FFFFFF"/>
        </w:rPr>
      </w:pPr>
      <w:r>
        <w:rPr>
          <w:rFonts w:hint="eastAsia"/>
          <w:color w:val="auto"/>
          <w:szCs w:val="21"/>
          <w:highlight w:val="none"/>
          <w:shd w:val="clear" w:color="auto" w:fill="FFFFFF"/>
          <w:lang w:val="en-US" w:eastAsia="zh-CN"/>
        </w:rPr>
        <w:t>2、</w:t>
      </w:r>
      <w:r>
        <w:rPr>
          <w:rFonts w:hint="eastAsia"/>
          <w:color w:val="auto"/>
          <w:szCs w:val="21"/>
          <w:highlight w:val="none"/>
          <w:shd w:val="clear" w:color="auto" w:fill="FFFFFF"/>
        </w:rPr>
        <w:t>类似业绩：是指如：历史文化名城名镇名村、历史文化街区、历史风貌区、传统村落、文物保护单位、历史建筑等历史文化类项目的保护规划、保护整治规划、微改造、整治提升工程、修缮（复）或保护活化规划等方案设计、规划设计项目。</w:t>
      </w:r>
    </w:p>
    <w:p w14:paraId="154A7EC3">
      <w:pPr>
        <w:numPr>
          <w:ilvl w:val="0"/>
          <w:numId w:val="0"/>
        </w:numPr>
        <w:rPr>
          <w:rFonts w:hAnsi="宋体" w:cs="宋体"/>
          <w:color w:val="auto"/>
          <w:sz w:val="24"/>
          <w:szCs w:val="24"/>
          <w:highlight w:val="none"/>
        </w:rPr>
      </w:pPr>
      <w:r>
        <w:rPr>
          <w:rFonts w:hint="eastAsia"/>
          <w:color w:val="auto"/>
          <w:szCs w:val="21"/>
          <w:highlight w:val="none"/>
          <w:shd w:val="clear" w:color="auto" w:fill="FFFFFF"/>
          <w:lang w:val="en-US" w:eastAsia="zh-CN"/>
        </w:rPr>
        <w:t>3、同一项目奖项不重复计分（包括个人和企业），只计算最高得分，</w:t>
      </w:r>
      <w:r>
        <w:rPr>
          <w:rFonts w:hint="eastAsia" w:ascii="宋体" w:hAnsi="宋体" w:cs="宋体"/>
          <w:color w:val="auto"/>
          <w:sz w:val="21"/>
          <w:szCs w:val="21"/>
          <w:highlight w:val="none"/>
        </w:rPr>
        <w:t>项目负责人</w:t>
      </w:r>
      <w:r>
        <w:rPr>
          <w:rFonts w:hint="eastAsia" w:ascii="宋体" w:hAnsi="宋体" w:cs="宋体"/>
          <w:color w:val="auto"/>
          <w:sz w:val="21"/>
          <w:szCs w:val="21"/>
          <w:highlight w:val="none"/>
          <w:lang w:val="en-US" w:eastAsia="zh-CN"/>
        </w:rPr>
        <w:t>与</w:t>
      </w:r>
      <w:r>
        <w:rPr>
          <w:rFonts w:hint="eastAsia" w:ascii="宋体" w:hAnsi="宋体" w:cs="宋体"/>
          <w:color w:val="auto"/>
          <w:sz w:val="21"/>
          <w:szCs w:val="21"/>
          <w:highlight w:val="none"/>
        </w:rPr>
        <w:t>企业</w:t>
      </w:r>
      <w:r>
        <w:rPr>
          <w:rFonts w:hint="eastAsia" w:ascii="宋体" w:hAnsi="宋体" w:cs="宋体"/>
          <w:color w:val="auto"/>
          <w:sz w:val="21"/>
          <w:szCs w:val="21"/>
          <w:highlight w:val="none"/>
          <w:lang w:val="en-US" w:eastAsia="zh-CN"/>
        </w:rPr>
        <w:t>同一项目</w:t>
      </w:r>
      <w:r>
        <w:rPr>
          <w:rFonts w:hint="eastAsia" w:ascii="宋体" w:hAnsi="宋体" w:cs="宋体"/>
          <w:color w:val="auto"/>
          <w:sz w:val="21"/>
          <w:szCs w:val="21"/>
          <w:highlight w:val="none"/>
        </w:rPr>
        <w:t>同时获奖</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证书</w:t>
      </w:r>
      <w:r>
        <w:rPr>
          <w:rFonts w:hint="eastAsia" w:ascii="宋体" w:hAnsi="宋体" w:cs="宋体"/>
          <w:color w:val="auto"/>
          <w:sz w:val="21"/>
          <w:szCs w:val="21"/>
          <w:highlight w:val="none"/>
          <w:lang w:val="en-US" w:eastAsia="zh-CN"/>
        </w:rPr>
        <w:t>不重复</w:t>
      </w:r>
      <w:r>
        <w:rPr>
          <w:rFonts w:hint="eastAsia" w:ascii="宋体" w:hAnsi="宋体" w:cs="宋体"/>
          <w:color w:val="auto"/>
          <w:sz w:val="21"/>
          <w:szCs w:val="21"/>
          <w:highlight w:val="none"/>
        </w:rPr>
        <w:t>计算得分。</w:t>
      </w:r>
      <w:r>
        <w:rPr>
          <w:rFonts w:hint="eastAsia" w:hAnsi="宋体" w:cs="宋体"/>
          <w:color w:val="auto"/>
          <w:sz w:val="24"/>
          <w:szCs w:val="24"/>
          <w:highlight w:val="none"/>
        </w:rPr>
        <w:br w:type="page"/>
      </w:r>
    </w:p>
    <w:p w14:paraId="78D7514B">
      <w:pPr>
        <w:pStyle w:val="11"/>
        <w:spacing w:line="360" w:lineRule="auto"/>
        <w:jc w:val="left"/>
        <w:rPr>
          <w:rFonts w:hAnsi="宋体" w:eastAsia="宋体" w:cs="宋体"/>
          <w:color w:val="auto"/>
          <w:sz w:val="24"/>
          <w:szCs w:val="24"/>
          <w:highlight w:val="none"/>
        </w:rPr>
      </w:pPr>
      <w:r>
        <w:rPr>
          <w:rFonts w:hint="eastAsia" w:hAnsi="宋体" w:eastAsia="宋体" w:cs="宋体"/>
          <w:color w:val="auto"/>
          <w:sz w:val="24"/>
          <w:szCs w:val="24"/>
          <w:highlight w:val="none"/>
        </w:rPr>
        <w:t>附件三</w:t>
      </w:r>
    </w:p>
    <w:p w14:paraId="20072390">
      <w:pPr>
        <w:pStyle w:val="11"/>
        <w:spacing w:line="360" w:lineRule="auto"/>
        <w:jc w:val="center"/>
        <w:rPr>
          <w:rFonts w:hAnsi="宋体" w:eastAsia="宋体" w:cs="宋体"/>
          <w:b/>
          <w:color w:val="auto"/>
          <w:sz w:val="30"/>
          <w:szCs w:val="30"/>
          <w:highlight w:val="none"/>
        </w:rPr>
      </w:pPr>
      <w:r>
        <w:rPr>
          <w:rFonts w:hint="eastAsia" w:hAnsi="宋体" w:eastAsia="宋体" w:cs="宋体"/>
          <w:b/>
          <w:color w:val="auto"/>
          <w:sz w:val="30"/>
          <w:szCs w:val="30"/>
          <w:highlight w:val="none"/>
        </w:rPr>
        <w:t>报价表</w:t>
      </w:r>
    </w:p>
    <w:p w14:paraId="222B0DAB">
      <w:pPr>
        <w:pStyle w:val="11"/>
        <w:jc w:val="left"/>
        <w:rPr>
          <w:rFonts w:hAnsi="宋体" w:eastAsia="宋体" w:cs="宋体"/>
          <w:color w:val="auto"/>
          <w:sz w:val="24"/>
          <w:szCs w:val="24"/>
          <w:highlight w:val="none"/>
          <w:u w:val="single"/>
        </w:rPr>
      </w:pPr>
      <w:r>
        <w:rPr>
          <w:rFonts w:hint="eastAsia" w:hAnsi="宋体" w:eastAsia="宋体" w:cs="宋体"/>
          <w:color w:val="auto"/>
          <w:szCs w:val="21"/>
          <w:highlight w:val="none"/>
        </w:rPr>
        <w:t>项目名称：</w:t>
      </w:r>
      <w:r>
        <w:rPr>
          <w:rFonts w:hint="eastAsia" w:hAnsi="宋体" w:eastAsia="宋体" w:cs="宋体"/>
          <w:color w:val="auto"/>
          <w:szCs w:val="21"/>
          <w:highlight w:val="none"/>
          <w:u w:val="single"/>
        </w:rPr>
        <w:t>陈家祠片区老旧小区微改造项目实施方案编制</w:t>
      </w:r>
    </w:p>
    <w:tbl>
      <w:tblPr>
        <w:tblStyle w:val="19"/>
        <w:tblW w:w="8914" w:type="dxa"/>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2250"/>
        <w:gridCol w:w="1700"/>
        <w:gridCol w:w="2917"/>
        <w:gridCol w:w="1385"/>
      </w:tblGrid>
      <w:tr w14:paraId="6DFF2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662" w:type="dxa"/>
            <w:shd w:val="clear" w:color="auto" w:fill="FFFFFF" w:themeFill="background1"/>
            <w:vAlign w:val="center"/>
          </w:tcPr>
          <w:p w14:paraId="1274167D">
            <w:pPr>
              <w:adjustRightInd w:val="0"/>
              <w:snapToGrid w:val="0"/>
              <w:jc w:val="center"/>
              <w:rPr>
                <w:rFonts w:ascii="宋体" w:hAnsi="宋体" w:cs="宋体"/>
                <w:b/>
                <w:color w:val="auto"/>
                <w:sz w:val="24"/>
                <w:szCs w:val="24"/>
                <w:highlight w:val="none"/>
              </w:rPr>
            </w:pPr>
            <w:r>
              <w:rPr>
                <w:rFonts w:hint="eastAsia" w:ascii="宋体" w:hAnsi="宋体" w:cs="宋体"/>
                <w:bCs/>
                <w:color w:val="auto"/>
                <w:sz w:val="24"/>
                <w:szCs w:val="24"/>
                <w:highlight w:val="none"/>
              </w:rPr>
              <w:t>序号</w:t>
            </w:r>
          </w:p>
        </w:tc>
        <w:tc>
          <w:tcPr>
            <w:tcW w:w="2250" w:type="dxa"/>
            <w:shd w:val="clear" w:color="auto" w:fill="FFFFFF" w:themeFill="background1"/>
            <w:vAlign w:val="center"/>
          </w:tcPr>
          <w:p w14:paraId="02FE6C8B">
            <w:pPr>
              <w:pStyle w:val="38"/>
              <w:spacing w:before="2"/>
              <w:jc w:val="center"/>
              <w:rPr>
                <w:rFonts w:ascii="宋体" w:hAnsi="宋体" w:cs="宋体"/>
                <w:bCs/>
                <w:color w:val="auto"/>
                <w:sz w:val="24"/>
                <w:szCs w:val="24"/>
                <w:highlight w:val="none"/>
              </w:rPr>
            </w:pPr>
            <w:r>
              <w:rPr>
                <w:rFonts w:hint="eastAsia" w:ascii="宋体" w:hAnsi="宋体" w:cs="宋体"/>
                <w:bCs/>
                <w:color w:val="auto"/>
                <w:sz w:val="24"/>
                <w:szCs w:val="24"/>
                <w:highlight w:val="none"/>
              </w:rPr>
              <w:t>服</w:t>
            </w:r>
            <w:r>
              <w:rPr>
                <w:rFonts w:hint="eastAsia" w:ascii="宋体" w:hAnsi="宋体" w:cs="宋体"/>
                <w:bCs/>
                <w:color w:val="auto"/>
                <w:spacing w:val="2"/>
                <w:sz w:val="24"/>
                <w:szCs w:val="24"/>
                <w:highlight w:val="none"/>
              </w:rPr>
              <w:t>务</w:t>
            </w:r>
            <w:r>
              <w:rPr>
                <w:rFonts w:hint="eastAsia" w:ascii="宋体" w:hAnsi="宋体" w:cs="宋体"/>
                <w:bCs/>
                <w:color w:val="auto"/>
                <w:sz w:val="24"/>
                <w:szCs w:val="24"/>
                <w:highlight w:val="none"/>
              </w:rPr>
              <w:t>内容</w:t>
            </w:r>
          </w:p>
        </w:tc>
        <w:tc>
          <w:tcPr>
            <w:tcW w:w="1700" w:type="dxa"/>
            <w:tcBorders>
              <w:right w:val="single" w:color="auto" w:sz="4" w:space="0"/>
            </w:tcBorders>
            <w:shd w:val="clear" w:color="auto" w:fill="FFFFFF" w:themeFill="background1"/>
            <w:vAlign w:val="center"/>
          </w:tcPr>
          <w:p w14:paraId="27BC3F7B">
            <w:pPr>
              <w:pStyle w:val="38"/>
              <w:spacing w:before="2"/>
              <w:jc w:val="center"/>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最高限价（元）</w:t>
            </w:r>
          </w:p>
        </w:tc>
        <w:tc>
          <w:tcPr>
            <w:tcW w:w="2917" w:type="dxa"/>
            <w:tcBorders>
              <w:left w:val="single" w:color="auto" w:sz="4" w:space="0"/>
            </w:tcBorders>
            <w:shd w:val="clear" w:color="auto" w:fill="FFFFFF" w:themeFill="background1"/>
            <w:vAlign w:val="center"/>
          </w:tcPr>
          <w:p w14:paraId="3F79FC35">
            <w:pPr>
              <w:pStyle w:val="38"/>
              <w:spacing w:before="2"/>
              <w:jc w:val="center"/>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报价</w:t>
            </w:r>
            <w:r>
              <w:rPr>
                <w:rFonts w:hint="eastAsia" w:ascii="宋体" w:hAnsi="宋体" w:cs="宋体"/>
                <w:bCs/>
                <w:color w:val="auto"/>
                <w:sz w:val="24"/>
                <w:szCs w:val="24"/>
                <w:highlight w:val="none"/>
              </w:rPr>
              <w:t>总</w:t>
            </w:r>
            <w:r>
              <w:rPr>
                <w:rFonts w:hint="eastAsia" w:ascii="宋体" w:hAnsi="宋体" w:cs="宋体"/>
                <w:bCs/>
                <w:color w:val="auto"/>
                <w:spacing w:val="2"/>
                <w:sz w:val="24"/>
                <w:szCs w:val="24"/>
                <w:highlight w:val="none"/>
              </w:rPr>
              <w:t>价</w:t>
            </w:r>
            <w:r>
              <w:rPr>
                <w:rFonts w:hint="eastAsia" w:ascii="宋体" w:hAnsi="宋体" w:cs="宋体"/>
                <w:bCs/>
                <w:color w:val="auto"/>
                <w:sz w:val="24"/>
                <w:szCs w:val="24"/>
                <w:highlight w:val="none"/>
              </w:rPr>
              <w:t>（元）</w:t>
            </w:r>
          </w:p>
        </w:tc>
        <w:tc>
          <w:tcPr>
            <w:tcW w:w="1385" w:type="dxa"/>
            <w:shd w:val="clear" w:color="auto" w:fill="FFFFFF" w:themeFill="background1"/>
            <w:vAlign w:val="center"/>
          </w:tcPr>
          <w:p w14:paraId="434723D7">
            <w:pPr>
              <w:pStyle w:val="38"/>
              <w:spacing w:before="2"/>
              <w:jc w:val="center"/>
              <w:rPr>
                <w:rFonts w:ascii="宋体" w:hAnsi="宋体" w:cs="宋体"/>
                <w:bCs/>
                <w:color w:val="auto"/>
                <w:sz w:val="24"/>
                <w:szCs w:val="24"/>
                <w:highlight w:val="none"/>
              </w:rPr>
            </w:pPr>
            <w:r>
              <w:rPr>
                <w:rFonts w:hint="eastAsia" w:ascii="宋体" w:hAnsi="宋体" w:cs="宋体"/>
                <w:bCs/>
                <w:color w:val="auto"/>
                <w:sz w:val="24"/>
                <w:szCs w:val="24"/>
                <w:highlight w:val="none"/>
              </w:rPr>
              <w:t>备注</w:t>
            </w:r>
          </w:p>
        </w:tc>
      </w:tr>
      <w:tr w14:paraId="03FA2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exact"/>
        </w:trPr>
        <w:tc>
          <w:tcPr>
            <w:tcW w:w="662" w:type="dxa"/>
            <w:shd w:val="clear" w:color="auto" w:fill="FFFFFF"/>
            <w:vAlign w:val="center"/>
          </w:tcPr>
          <w:p w14:paraId="6CE3031B">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bCs/>
                <w:color w:val="auto"/>
                <w:szCs w:val="21"/>
                <w:highlight w:val="none"/>
              </w:rPr>
              <w:t>一</w:t>
            </w:r>
          </w:p>
        </w:tc>
        <w:tc>
          <w:tcPr>
            <w:tcW w:w="2250" w:type="dxa"/>
            <w:shd w:val="clear" w:color="auto" w:fill="FFFFFF"/>
            <w:vAlign w:val="center"/>
          </w:tcPr>
          <w:p w14:paraId="1D19C0C9">
            <w:pPr>
              <w:pStyle w:val="38"/>
              <w:spacing w:before="2"/>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u w:val="single"/>
                <w:lang w:eastAsia="zh-CN"/>
              </w:rPr>
              <w:t>实施方案编制</w:t>
            </w:r>
          </w:p>
        </w:tc>
        <w:tc>
          <w:tcPr>
            <w:tcW w:w="1700" w:type="dxa"/>
            <w:tcBorders>
              <w:right w:val="single" w:color="auto" w:sz="4" w:space="0"/>
            </w:tcBorders>
            <w:shd w:val="clear" w:color="auto" w:fill="FFFFFF"/>
            <w:vAlign w:val="center"/>
          </w:tcPr>
          <w:p w14:paraId="7AEE7AEF">
            <w:pPr>
              <w:pStyle w:val="38"/>
              <w:spacing w:before="2" w:line="360" w:lineRule="auto"/>
              <w:jc w:val="center"/>
              <w:rPr>
                <w:rFonts w:ascii="宋体" w:hAnsi="宋体" w:cs="宋体"/>
                <w:color w:val="auto"/>
                <w:sz w:val="21"/>
                <w:szCs w:val="21"/>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974346.64</w:t>
            </w:r>
          </w:p>
        </w:tc>
        <w:tc>
          <w:tcPr>
            <w:tcW w:w="2917" w:type="dxa"/>
            <w:tcBorders>
              <w:left w:val="single" w:color="auto" w:sz="4" w:space="0"/>
            </w:tcBorders>
            <w:shd w:val="clear" w:color="auto" w:fill="FFFFFF"/>
            <w:vAlign w:val="center"/>
          </w:tcPr>
          <w:p w14:paraId="076F4E67">
            <w:pPr>
              <w:pStyle w:val="38"/>
              <w:spacing w:before="2" w:line="360" w:lineRule="auto"/>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下浮率：</w:t>
            </w:r>
            <w:r>
              <w:rPr>
                <w:rFonts w:hint="eastAsia" w:ascii="宋体" w:hAnsi="宋体" w:cs="宋体"/>
                <w:color w:val="auto"/>
                <w:sz w:val="21"/>
                <w:szCs w:val="21"/>
                <w:highlight w:val="none"/>
                <w:u w:val="single"/>
                <w:lang w:eastAsia="zh-CN"/>
              </w:rPr>
              <w:t>　　　　％　</w:t>
            </w:r>
            <w:r>
              <w:rPr>
                <w:rFonts w:hint="eastAsia" w:ascii="宋体" w:hAnsi="宋体" w:cs="宋体"/>
                <w:color w:val="auto"/>
                <w:sz w:val="21"/>
                <w:szCs w:val="21"/>
                <w:highlight w:val="none"/>
                <w:lang w:eastAsia="zh-CN"/>
              </w:rPr>
              <w:t>　</w:t>
            </w:r>
          </w:p>
          <w:p w14:paraId="7E05A79B">
            <w:pPr>
              <w:pStyle w:val="38"/>
              <w:spacing w:before="2" w:line="360" w:lineRule="auto"/>
              <w:jc w:val="both"/>
              <w:rPr>
                <w:rFonts w:ascii="宋体" w:hAnsi="宋体" w:cs="宋体"/>
                <w:color w:val="auto"/>
                <w:sz w:val="21"/>
                <w:szCs w:val="21"/>
                <w:highlight w:val="none"/>
                <w:u w:val="single"/>
                <w:lang w:eastAsia="zh-CN"/>
              </w:rPr>
            </w:pPr>
            <w:r>
              <w:rPr>
                <w:rFonts w:hint="eastAsia" w:ascii="宋体" w:hAnsi="宋体" w:cs="宋体"/>
                <w:color w:val="auto"/>
                <w:sz w:val="21"/>
                <w:szCs w:val="21"/>
                <w:highlight w:val="none"/>
                <w:lang w:eastAsia="zh-CN"/>
              </w:rPr>
              <w:t>小写：¥</w:t>
            </w:r>
            <w:r>
              <w:rPr>
                <w:rFonts w:hint="eastAsia" w:ascii="宋体" w:hAnsi="宋体" w:cs="宋体"/>
                <w:color w:val="auto"/>
                <w:sz w:val="21"/>
                <w:szCs w:val="21"/>
                <w:highlight w:val="none"/>
                <w:u w:val="single"/>
                <w:lang w:eastAsia="zh-CN"/>
              </w:rPr>
              <w:t xml:space="preserve">　　　　　   </w:t>
            </w:r>
          </w:p>
          <w:p w14:paraId="759AD833">
            <w:pPr>
              <w:pStyle w:val="38"/>
              <w:spacing w:before="2" w:line="360" w:lineRule="auto"/>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大写：</w:t>
            </w:r>
            <w:r>
              <w:rPr>
                <w:rFonts w:hint="eastAsia" w:ascii="宋体" w:hAnsi="宋体" w:cs="宋体"/>
                <w:color w:val="auto"/>
                <w:sz w:val="21"/>
                <w:szCs w:val="21"/>
                <w:highlight w:val="none"/>
                <w:u w:val="single"/>
                <w:lang w:eastAsia="zh-CN"/>
              </w:rPr>
              <w:t xml:space="preserve">　　　　　    </w:t>
            </w:r>
          </w:p>
        </w:tc>
        <w:tc>
          <w:tcPr>
            <w:tcW w:w="1385" w:type="dxa"/>
            <w:shd w:val="clear" w:color="auto" w:fill="FFFFFF"/>
            <w:vAlign w:val="center"/>
          </w:tcPr>
          <w:p w14:paraId="644C6508">
            <w:pPr>
              <w:pStyle w:val="38"/>
              <w:spacing w:before="2" w:line="360" w:lineRule="auto"/>
              <w:jc w:val="both"/>
              <w:rPr>
                <w:rFonts w:ascii="宋体" w:hAnsi="宋体" w:cs="宋体"/>
                <w:color w:val="auto"/>
                <w:sz w:val="24"/>
                <w:szCs w:val="24"/>
                <w:highlight w:val="none"/>
                <w:lang w:eastAsia="zh-CN"/>
              </w:rPr>
            </w:pPr>
          </w:p>
        </w:tc>
      </w:tr>
    </w:tbl>
    <w:p w14:paraId="7100E2FD">
      <w:pPr>
        <w:rPr>
          <w:rFonts w:ascii="宋体" w:hAnsi="宋体" w:cs="宋体"/>
          <w:color w:val="auto"/>
          <w:szCs w:val="21"/>
          <w:highlight w:val="none"/>
        </w:rPr>
      </w:pPr>
      <w:r>
        <w:rPr>
          <w:rFonts w:hint="eastAsia" w:ascii="宋体" w:hAnsi="宋体" w:cs="宋体"/>
          <w:color w:val="auto"/>
          <w:szCs w:val="21"/>
          <w:highlight w:val="none"/>
        </w:rPr>
        <w:t>注：1.总价为人民币报价。（保留小数点后二位，第三位小数四舍五入）</w:t>
      </w:r>
    </w:p>
    <w:p w14:paraId="0AF3ADCF">
      <w:pPr>
        <w:ind w:firstLine="420" w:firstLineChars="200"/>
        <w:rPr>
          <w:rFonts w:ascii="宋体" w:hAnsi="宋体" w:cs="宋体"/>
          <w:color w:val="auto"/>
          <w:szCs w:val="21"/>
          <w:highlight w:val="none"/>
        </w:rPr>
      </w:pPr>
      <w:r>
        <w:rPr>
          <w:rFonts w:hint="eastAsia" w:ascii="宋体" w:hAnsi="宋体" w:cs="宋体"/>
          <w:color w:val="auto"/>
          <w:szCs w:val="21"/>
          <w:highlight w:val="none"/>
        </w:rPr>
        <w:t>2.若用小写表示的金额和用大写表示的金额不一致，以大写表示的金额为准。</w:t>
      </w:r>
    </w:p>
    <w:p w14:paraId="35517DDB">
      <w:pPr>
        <w:ind w:firstLine="420" w:firstLineChars="200"/>
        <w:rPr>
          <w:rFonts w:ascii="宋体" w:hAnsi="宋体" w:cs="宋体"/>
          <w:color w:val="auto"/>
          <w:szCs w:val="21"/>
          <w:highlight w:val="none"/>
        </w:rPr>
      </w:pPr>
      <w:r>
        <w:rPr>
          <w:rFonts w:hint="eastAsia" w:ascii="宋体" w:hAnsi="宋体" w:cs="宋体"/>
          <w:color w:val="auto"/>
          <w:szCs w:val="21"/>
          <w:highlight w:val="none"/>
        </w:rPr>
        <w:t>3.若报价金额与下浮率不一致时，以报价金额为准，并修改报价下浮率。</w:t>
      </w:r>
    </w:p>
    <w:p w14:paraId="33E07B31">
      <w:pPr>
        <w:ind w:firstLine="420" w:firstLineChars="200"/>
        <w:rPr>
          <w:rFonts w:ascii="宋体" w:hAnsi="宋体" w:cs="宋体"/>
          <w:color w:val="auto"/>
          <w:szCs w:val="21"/>
          <w:highlight w:val="none"/>
        </w:rPr>
      </w:pPr>
      <w:r>
        <w:rPr>
          <w:rFonts w:hint="eastAsia" w:ascii="宋体" w:hAnsi="宋体" w:cs="宋体"/>
          <w:color w:val="auto"/>
          <w:szCs w:val="21"/>
          <w:highlight w:val="none"/>
        </w:rPr>
        <w:t>4.总价</w:t>
      </w:r>
      <w:r>
        <w:rPr>
          <w:rFonts w:ascii="宋体" w:hAnsi="宋体" w:cs="宋体"/>
          <w:color w:val="auto"/>
          <w:szCs w:val="21"/>
          <w:highlight w:val="none"/>
        </w:rPr>
        <w:t>包括但不限于乙方完成本合同项下工作所需的一切人工、现场查勘、</w:t>
      </w:r>
      <w:r>
        <w:rPr>
          <w:rFonts w:hint="eastAsia" w:ascii="宋体" w:hAnsi="宋体" w:cs="宋体"/>
          <w:color w:val="auto"/>
          <w:szCs w:val="21"/>
          <w:highlight w:val="none"/>
        </w:rPr>
        <w:t>住街设计、</w:t>
      </w:r>
      <w:r>
        <w:rPr>
          <w:rFonts w:ascii="宋体" w:hAnsi="宋体" w:cs="宋体"/>
          <w:color w:val="auto"/>
          <w:szCs w:val="21"/>
          <w:highlight w:val="none"/>
        </w:rPr>
        <w:t>交通</w:t>
      </w:r>
      <w:r>
        <w:rPr>
          <w:rFonts w:hint="eastAsia" w:ascii="宋体" w:hAnsi="宋体" w:cs="宋体"/>
          <w:color w:val="auto"/>
          <w:szCs w:val="21"/>
          <w:highlight w:val="none"/>
        </w:rPr>
        <w:t>费</w:t>
      </w:r>
      <w:r>
        <w:rPr>
          <w:rFonts w:ascii="宋体" w:hAnsi="宋体" w:cs="宋体"/>
          <w:color w:val="auto"/>
          <w:szCs w:val="21"/>
          <w:highlight w:val="none"/>
        </w:rPr>
        <w:t>、图纸资料、文印费、汇报视频、展览展板、会议组织费用、各种评审时发生的会务费（包含资料费）、专家评审费、专家调研费、根据专家意见修改及调整等费用、成本、利润、税费、赶工费等乙方履行合同项下义务所产生的全部费用</w:t>
      </w:r>
      <w:r>
        <w:rPr>
          <w:rFonts w:hint="eastAsia" w:ascii="宋体" w:hAnsi="宋体" w:cs="宋体"/>
          <w:color w:val="auto"/>
          <w:szCs w:val="21"/>
          <w:highlight w:val="none"/>
        </w:rPr>
        <w:t>。</w:t>
      </w:r>
    </w:p>
    <w:p w14:paraId="5C4F823A">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7D6494B6">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08DE7562">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报价人（公章）：</w:t>
      </w:r>
      <w:r>
        <w:rPr>
          <w:rFonts w:hint="eastAsia" w:ascii="宋体" w:hAnsi="宋体" w:cs="宋体"/>
          <w:color w:val="auto"/>
          <w:sz w:val="24"/>
          <w:szCs w:val="24"/>
          <w:highlight w:val="none"/>
          <w:u w:val="single"/>
        </w:rPr>
        <w:t xml:space="preserve">                        </w:t>
      </w:r>
    </w:p>
    <w:p w14:paraId="21D19336">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14:paraId="0D2086E1">
      <w:pPr>
        <w:pStyle w:val="11"/>
        <w:adjustRightInd w:val="0"/>
        <w:snapToGrid w:val="0"/>
        <w:spacing w:line="360" w:lineRule="auto"/>
        <w:jc w:val="center"/>
        <w:rPr>
          <w:rFonts w:hAnsi="宋体" w:eastAsia="宋体" w:cs="宋体"/>
          <w:color w:val="auto"/>
          <w:sz w:val="24"/>
          <w:szCs w:val="24"/>
          <w:highlight w:val="none"/>
        </w:rPr>
      </w:pPr>
      <w:r>
        <w:rPr>
          <w:rFonts w:hint="eastAsia" w:hAnsi="宋体" w:eastAsia="宋体" w:cs="宋体"/>
          <w:color w:val="auto"/>
          <w:sz w:val="24"/>
          <w:szCs w:val="24"/>
          <w:highlight w:val="none"/>
        </w:rPr>
        <w:t xml:space="preserve">           日期：</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日</w:t>
      </w:r>
    </w:p>
    <w:p w14:paraId="4AC3720B">
      <w:pPr>
        <w:pStyle w:val="11"/>
        <w:spacing w:line="360" w:lineRule="auto"/>
        <w:jc w:val="left"/>
        <w:rPr>
          <w:rFonts w:hAnsi="宋体" w:eastAsia="宋体" w:cs="宋体"/>
          <w:color w:val="auto"/>
          <w:sz w:val="24"/>
          <w:szCs w:val="24"/>
          <w:highlight w:val="none"/>
        </w:rPr>
        <w:sectPr>
          <w:pgSz w:w="11906" w:h="16838"/>
          <w:pgMar w:top="1440" w:right="1519" w:bottom="1440" w:left="1519" w:header="851" w:footer="992" w:gutter="0"/>
          <w:pgBorders>
            <w:top w:val="none" w:sz="0" w:space="0"/>
            <w:left w:val="none" w:sz="0" w:space="0"/>
            <w:bottom w:val="none" w:sz="0" w:space="0"/>
            <w:right w:val="none" w:sz="0" w:space="0"/>
          </w:pgBorders>
          <w:cols w:space="0" w:num="1"/>
          <w:docGrid w:type="lines" w:linePitch="312" w:charSpace="0"/>
        </w:sectPr>
      </w:pPr>
    </w:p>
    <w:p w14:paraId="6074713D">
      <w:pPr>
        <w:pStyle w:val="11"/>
        <w:spacing w:line="360" w:lineRule="auto"/>
        <w:jc w:val="left"/>
        <w:rPr>
          <w:rFonts w:hAnsi="宋体" w:eastAsia="宋体" w:cs="宋体"/>
          <w:b/>
          <w:bCs/>
          <w:color w:val="auto"/>
          <w:sz w:val="24"/>
          <w:szCs w:val="24"/>
          <w:highlight w:val="none"/>
        </w:rPr>
      </w:pPr>
      <w:r>
        <w:rPr>
          <w:rFonts w:hint="eastAsia" w:hAnsi="宋体" w:eastAsia="宋体" w:cs="宋体"/>
          <w:color w:val="auto"/>
          <w:sz w:val="24"/>
          <w:szCs w:val="24"/>
          <w:highlight w:val="none"/>
        </w:rPr>
        <w:t>附件四</w:t>
      </w:r>
    </w:p>
    <w:p w14:paraId="6D1F2CEB">
      <w:pPr>
        <w:pStyle w:val="11"/>
        <w:adjustRightInd w:val="0"/>
        <w:snapToGrid w:val="0"/>
        <w:spacing w:line="360" w:lineRule="auto"/>
        <w:jc w:val="center"/>
        <w:rPr>
          <w:rFonts w:hAnsi="宋体" w:eastAsia="宋体" w:cs="宋体"/>
          <w:b/>
          <w:color w:val="auto"/>
          <w:sz w:val="24"/>
          <w:szCs w:val="24"/>
          <w:highlight w:val="none"/>
        </w:rPr>
      </w:pPr>
      <w:r>
        <w:rPr>
          <w:rFonts w:hint="eastAsia" w:hAnsi="宋体" w:eastAsia="宋体" w:cs="宋体"/>
          <w:b/>
          <w:bCs/>
          <w:color w:val="auto"/>
          <w:sz w:val="24"/>
          <w:szCs w:val="24"/>
          <w:highlight w:val="none"/>
        </w:rPr>
        <w:t>业绩</w:t>
      </w:r>
      <w:r>
        <w:rPr>
          <w:rFonts w:hint="eastAsia" w:hAnsi="宋体" w:eastAsia="宋体" w:cs="宋体"/>
          <w:b/>
          <w:color w:val="auto"/>
          <w:sz w:val="24"/>
          <w:szCs w:val="24"/>
          <w:highlight w:val="none"/>
        </w:rPr>
        <w:t>情况汇总表</w:t>
      </w:r>
    </w:p>
    <w:p w14:paraId="3E8A87D6">
      <w:pPr>
        <w:pStyle w:val="11"/>
        <w:adjustRightInd w:val="0"/>
        <w:snapToGrid w:val="0"/>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（20</w:t>
      </w:r>
      <w:r>
        <w:rPr>
          <w:rFonts w:hint="eastAsia" w:hAnsi="宋体" w:eastAsia="宋体" w:cs="宋体"/>
          <w:b/>
          <w:color w:val="auto"/>
          <w:sz w:val="24"/>
          <w:szCs w:val="24"/>
          <w:highlight w:val="none"/>
          <w:u w:val="single"/>
        </w:rPr>
        <w:t xml:space="preserve">  </w:t>
      </w:r>
      <w:r>
        <w:rPr>
          <w:rFonts w:hint="eastAsia" w:hAnsi="宋体" w:eastAsia="宋体" w:cs="宋体"/>
          <w:b/>
          <w:color w:val="auto"/>
          <w:sz w:val="24"/>
          <w:szCs w:val="24"/>
          <w:highlight w:val="none"/>
        </w:rPr>
        <w:t>年1月1日至今）</w:t>
      </w:r>
    </w:p>
    <w:p w14:paraId="24F8AC78">
      <w:pPr>
        <w:pStyle w:val="11"/>
        <w:ind w:firstLine="210" w:firstLineChars="100"/>
        <w:jc w:val="left"/>
        <w:rPr>
          <w:rFonts w:hAnsi="宋体" w:eastAsia="宋体" w:cs="宋体"/>
          <w:b/>
          <w:color w:val="auto"/>
          <w:szCs w:val="21"/>
          <w:highlight w:val="none"/>
        </w:rPr>
      </w:pPr>
      <w:r>
        <w:rPr>
          <w:rFonts w:hint="eastAsia" w:hAnsi="宋体" w:eastAsia="宋体" w:cs="宋体"/>
          <w:color w:val="auto"/>
          <w:szCs w:val="21"/>
          <w:highlight w:val="none"/>
        </w:rPr>
        <w:t>项目名称：</w:t>
      </w:r>
      <w:r>
        <w:rPr>
          <w:rFonts w:hint="eastAsia" w:hAnsi="宋体" w:eastAsia="宋体" w:cs="宋体"/>
          <w:color w:val="auto"/>
          <w:szCs w:val="21"/>
          <w:highlight w:val="none"/>
          <w:u w:val="single"/>
        </w:rPr>
        <w:t>陈家祠片区老旧小区微改造项目实施方案编制</w:t>
      </w: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247"/>
        <w:gridCol w:w="1559"/>
        <w:gridCol w:w="2268"/>
        <w:gridCol w:w="1616"/>
      </w:tblGrid>
      <w:tr w14:paraId="4921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534" w:type="dxa"/>
            <w:vAlign w:val="center"/>
          </w:tcPr>
          <w:p w14:paraId="7B9988D6">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304" w:type="dxa"/>
            <w:vAlign w:val="center"/>
          </w:tcPr>
          <w:p w14:paraId="1E205A7A">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47" w:type="dxa"/>
            <w:vAlign w:val="center"/>
          </w:tcPr>
          <w:p w14:paraId="7E68E1ED">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项目业主</w:t>
            </w:r>
          </w:p>
        </w:tc>
        <w:tc>
          <w:tcPr>
            <w:tcW w:w="1559" w:type="dxa"/>
            <w:vAlign w:val="center"/>
          </w:tcPr>
          <w:p w14:paraId="473C371D">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中标价或合同价（万元）</w:t>
            </w:r>
          </w:p>
        </w:tc>
        <w:tc>
          <w:tcPr>
            <w:tcW w:w="2268" w:type="dxa"/>
            <w:vAlign w:val="center"/>
          </w:tcPr>
          <w:p w14:paraId="30C6140A">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项目类型</w:t>
            </w:r>
          </w:p>
        </w:tc>
        <w:tc>
          <w:tcPr>
            <w:tcW w:w="1616" w:type="dxa"/>
            <w:vAlign w:val="center"/>
          </w:tcPr>
          <w:p w14:paraId="0836C298">
            <w:pPr>
              <w:jc w:val="center"/>
              <w:rPr>
                <w:rFonts w:ascii="宋体" w:hAnsi="宋体" w:cs="宋体"/>
                <w:b/>
                <w:bCs/>
                <w:color w:val="auto"/>
                <w:sz w:val="24"/>
                <w:szCs w:val="24"/>
                <w:highlight w:val="none"/>
              </w:rPr>
            </w:pPr>
            <w:r>
              <w:rPr>
                <w:rFonts w:hint="eastAsia" w:ascii="宋体" w:hAnsi="宋体" w:cs="宋体"/>
                <w:b/>
                <w:color w:val="auto"/>
                <w:sz w:val="24"/>
                <w:szCs w:val="24"/>
                <w:highlight w:val="none"/>
              </w:rPr>
              <w:t>建设单位联系人及电话</w:t>
            </w:r>
          </w:p>
        </w:tc>
      </w:tr>
      <w:tr w14:paraId="20AD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1FD19E03">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304" w:type="dxa"/>
            <w:vAlign w:val="center"/>
          </w:tcPr>
          <w:p w14:paraId="0082D68C">
            <w:pPr>
              <w:spacing w:line="360" w:lineRule="auto"/>
              <w:jc w:val="center"/>
              <w:rPr>
                <w:rFonts w:ascii="宋体" w:hAnsi="宋体" w:cs="宋体"/>
                <w:bCs/>
                <w:color w:val="auto"/>
                <w:sz w:val="24"/>
                <w:szCs w:val="24"/>
                <w:highlight w:val="none"/>
              </w:rPr>
            </w:pPr>
          </w:p>
        </w:tc>
        <w:tc>
          <w:tcPr>
            <w:tcW w:w="1247" w:type="dxa"/>
            <w:vAlign w:val="center"/>
          </w:tcPr>
          <w:p w14:paraId="483F7D0A">
            <w:pPr>
              <w:spacing w:line="360" w:lineRule="auto"/>
              <w:jc w:val="center"/>
              <w:rPr>
                <w:rFonts w:ascii="宋体" w:hAnsi="宋体" w:cs="宋体"/>
                <w:bCs/>
                <w:color w:val="auto"/>
                <w:sz w:val="24"/>
                <w:szCs w:val="24"/>
                <w:highlight w:val="none"/>
              </w:rPr>
            </w:pPr>
          </w:p>
        </w:tc>
        <w:tc>
          <w:tcPr>
            <w:tcW w:w="1559" w:type="dxa"/>
            <w:vAlign w:val="center"/>
          </w:tcPr>
          <w:p w14:paraId="50AD856D">
            <w:pPr>
              <w:spacing w:line="360" w:lineRule="auto"/>
              <w:jc w:val="center"/>
              <w:rPr>
                <w:rFonts w:ascii="宋体" w:hAnsi="宋体" w:cs="宋体"/>
                <w:bCs/>
                <w:color w:val="auto"/>
                <w:sz w:val="24"/>
                <w:szCs w:val="24"/>
                <w:highlight w:val="none"/>
              </w:rPr>
            </w:pPr>
          </w:p>
        </w:tc>
        <w:tc>
          <w:tcPr>
            <w:tcW w:w="2268" w:type="dxa"/>
            <w:vAlign w:val="center"/>
          </w:tcPr>
          <w:p w14:paraId="1641E8B5">
            <w:pPr>
              <w:spacing w:line="360" w:lineRule="auto"/>
              <w:jc w:val="center"/>
              <w:rPr>
                <w:rFonts w:ascii="宋体" w:hAnsi="宋体" w:cs="宋体"/>
                <w:bCs/>
                <w:color w:val="auto"/>
                <w:sz w:val="24"/>
                <w:szCs w:val="24"/>
                <w:highlight w:val="none"/>
              </w:rPr>
            </w:pPr>
          </w:p>
        </w:tc>
        <w:tc>
          <w:tcPr>
            <w:tcW w:w="1616" w:type="dxa"/>
            <w:vAlign w:val="center"/>
          </w:tcPr>
          <w:p w14:paraId="29975A62">
            <w:pPr>
              <w:spacing w:line="360" w:lineRule="auto"/>
              <w:jc w:val="center"/>
              <w:rPr>
                <w:rFonts w:ascii="宋体" w:hAnsi="宋体" w:cs="宋体"/>
                <w:bCs/>
                <w:color w:val="auto"/>
                <w:sz w:val="24"/>
                <w:szCs w:val="24"/>
                <w:highlight w:val="none"/>
              </w:rPr>
            </w:pPr>
          </w:p>
        </w:tc>
      </w:tr>
      <w:tr w14:paraId="780F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605FE579">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304" w:type="dxa"/>
            <w:vAlign w:val="center"/>
          </w:tcPr>
          <w:p w14:paraId="6B51EDB3">
            <w:pPr>
              <w:spacing w:line="360" w:lineRule="auto"/>
              <w:jc w:val="center"/>
              <w:rPr>
                <w:rFonts w:ascii="宋体" w:hAnsi="宋体" w:cs="宋体"/>
                <w:bCs/>
                <w:color w:val="auto"/>
                <w:sz w:val="24"/>
                <w:szCs w:val="24"/>
                <w:highlight w:val="none"/>
              </w:rPr>
            </w:pPr>
          </w:p>
        </w:tc>
        <w:tc>
          <w:tcPr>
            <w:tcW w:w="1247" w:type="dxa"/>
            <w:vAlign w:val="center"/>
          </w:tcPr>
          <w:p w14:paraId="2B1455AE">
            <w:pPr>
              <w:spacing w:line="360" w:lineRule="auto"/>
              <w:jc w:val="center"/>
              <w:rPr>
                <w:rFonts w:ascii="宋体" w:hAnsi="宋体" w:cs="宋体"/>
                <w:bCs/>
                <w:color w:val="auto"/>
                <w:sz w:val="24"/>
                <w:szCs w:val="24"/>
                <w:highlight w:val="none"/>
              </w:rPr>
            </w:pPr>
          </w:p>
        </w:tc>
        <w:tc>
          <w:tcPr>
            <w:tcW w:w="1559" w:type="dxa"/>
            <w:vAlign w:val="center"/>
          </w:tcPr>
          <w:p w14:paraId="705DDF5E">
            <w:pPr>
              <w:spacing w:line="360" w:lineRule="auto"/>
              <w:jc w:val="center"/>
              <w:rPr>
                <w:rFonts w:ascii="宋体" w:hAnsi="宋体" w:cs="宋体"/>
                <w:bCs/>
                <w:color w:val="auto"/>
                <w:sz w:val="24"/>
                <w:szCs w:val="24"/>
                <w:highlight w:val="none"/>
              </w:rPr>
            </w:pPr>
          </w:p>
        </w:tc>
        <w:tc>
          <w:tcPr>
            <w:tcW w:w="2268" w:type="dxa"/>
            <w:vAlign w:val="center"/>
          </w:tcPr>
          <w:p w14:paraId="08C8DE80">
            <w:pPr>
              <w:spacing w:line="360" w:lineRule="auto"/>
              <w:jc w:val="center"/>
              <w:rPr>
                <w:rFonts w:ascii="宋体" w:hAnsi="宋体" w:cs="宋体"/>
                <w:bCs/>
                <w:color w:val="auto"/>
                <w:sz w:val="24"/>
                <w:szCs w:val="24"/>
                <w:highlight w:val="none"/>
              </w:rPr>
            </w:pPr>
          </w:p>
        </w:tc>
        <w:tc>
          <w:tcPr>
            <w:tcW w:w="1616" w:type="dxa"/>
            <w:vAlign w:val="center"/>
          </w:tcPr>
          <w:p w14:paraId="22B5FFF4">
            <w:pPr>
              <w:spacing w:line="360" w:lineRule="auto"/>
              <w:jc w:val="center"/>
              <w:rPr>
                <w:rFonts w:ascii="宋体" w:hAnsi="宋体" w:cs="宋体"/>
                <w:bCs/>
                <w:color w:val="auto"/>
                <w:sz w:val="24"/>
                <w:szCs w:val="24"/>
                <w:highlight w:val="none"/>
              </w:rPr>
            </w:pPr>
          </w:p>
        </w:tc>
      </w:tr>
      <w:tr w14:paraId="0C79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25A327DC">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w:t>
            </w:r>
          </w:p>
        </w:tc>
        <w:tc>
          <w:tcPr>
            <w:tcW w:w="1304" w:type="dxa"/>
            <w:vAlign w:val="center"/>
          </w:tcPr>
          <w:p w14:paraId="2C61B9DA">
            <w:pPr>
              <w:spacing w:line="360" w:lineRule="auto"/>
              <w:jc w:val="center"/>
              <w:rPr>
                <w:rFonts w:ascii="宋体" w:hAnsi="宋体" w:cs="宋体"/>
                <w:bCs/>
                <w:color w:val="auto"/>
                <w:sz w:val="24"/>
                <w:szCs w:val="24"/>
                <w:highlight w:val="none"/>
              </w:rPr>
            </w:pPr>
          </w:p>
        </w:tc>
        <w:tc>
          <w:tcPr>
            <w:tcW w:w="1247" w:type="dxa"/>
            <w:vAlign w:val="center"/>
          </w:tcPr>
          <w:p w14:paraId="2A1335B1">
            <w:pPr>
              <w:spacing w:line="360" w:lineRule="auto"/>
              <w:jc w:val="center"/>
              <w:rPr>
                <w:rFonts w:ascii="宋体" w:hAnsi="宋体" w:cs="宋体"/>
                <w:bCs/>
                <w:color w:val="auto"/>
                <w:sz w:val="24"/>
                <w:szCs w:val="24"/>
                <w:highlight w:val="none"/>
              </w:rPr>
            </w:pPr>
          </w:p>
        </w:tc>
        <w:tc>
          <w:tcPr>
            <w:tcW w:w="1559" w:type="dxa"/>
            <w:vAlign w:val="center"/>
          </w:tcPr>
          <w:p w14:paraId="5E71B256">
            <w:pPr>
              <w:spacing w:line="360" w:lineRule="auto"/>
              <w:jc w:val="center"/>
              <w:rPr>
                <w:rFonts w:ascii="宋体" w:hAnsi="宋体" w:cs="宋体"/>
                <w:bCs/>
                <w:color w:val="auto"/>
                <w:sz w:val="24"/>
                <w:szCs w:val="24"/>
                <w:highlight w:val="none"/>
              </w:rPr>
            </w:pPr>
          </w:p>
        </w:tc>
        <w:tc>
          <w:tcPr>
            <w:tcW w:w="2268" w:type="dxa"/>
            <w:vAlign w:val="center"/>
          </w:tcPr>
          <w:p w14:paraId="7916DB1B">
            <w:pPr>
              <w:spacing w:line="360" w:lineRule="auto"/>
              <w:jc w:val="center"/>
              <w:rPr>
                <w:rFonts w:ascii="宋体" w:hAnsi="宋体" w:cs="宋体"/>
                <w:bCs/>
                <w:color w:val="auto"/>
                <w:sz w:val="24"/>
                <w:szCs w:val="24"/>
                <w:highlight w:val="none"/>
              </w:rPr>
            </w:pPr>
          </w:p>
        </w:tc>
        <w:tc>
          <w:tcPr>
            <w:tcW w:w="1616" w:type="dxa"/>
            <w:vAlign w:val="center"/>
          </w:tcPr>
          <w:p w14:paraId="37C34C63">
            <w:pPr>
              <w:spacing w:line="360" w:lineRule="auto"/>
              <w:jc w:val="center"/>
              <w:rPr>
                <w:rFonts w:ascii="宋体" w:hAnsi="宋体" w:cs="宋体"/>
                <w:bCs/>
                <w:color w:val="auto"/>
                <w:sz w:val="24"/>
                <w:szCs w:val="24"/>
                <w:highlight w:val="none"/>
              </w:rPr>
            </w:pPr>
          </w:p>
        </w:tc>
      </w:tr>
    </w:tbl>
    <w:p w14:paraId="7D7BF05F">
      <w:pPr>
        <w:adjustRightInd w:val="0"/>
        <w:snapToGrid w:val="0"/>
        <w:ind w:firstLine="210" w:firstLineChars="100"/>
        <w:rPr>
          <w:rFonts w:ascii="宋体" w:hAnsi="宋体" w:cs="宋体"/>
          <w:color w:val="auto"/>
          <w:sz w:val="24"/>
          <w:szCs w:val="24"/>
          <w:highlight w:val="none"/>
        </w:rPr>
      </w:pPr>
      <w:r>
        <w:rPr>
          <w:rFonts w:hint="eastAsia" w:ascii="宋体" w:hAnsi="宋体" w:cs="宋体"/>
          <w:bCs/>
          <w:color w:val="auto"/>
          <w:szCs w:val="21"/>
          <w:highlight w:val="none"/>
        </w:rPr>
        <w:t>注：1.</w:t>
      </w:r>
      <w:r>
        <w:rPr>
          <w:rFonts w:hint="eastAsia" w:ascii="宋体" w:hAnsi="宋体" w:cs="宋体"/>
          <w:color w:val="auto"/>
          <w:szCs w:val="21"/>
          <w:highlight w:val="none"/>
        </w:rPr>
        <w:t>本表后应按要求附业绩证明材料。</w:t>
      </w:r>
    </w:p>
    <w:p w14:paraId="6252532E">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11F3F934">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761DB7D5">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2E9D8688">
      <w:pPr>
        <w:tabs>
          <w:tab w:val="left" w:pos="13320"/>
        </w:tabs>
        <w:snapToGrid w:val="0"/>
        <w:spacing w:line="360" w:lineRule="auto"/>
        <w:ind w:left="718" w:leftChars="342" w:right="-52" w:firstLine="2872" w:firstLineChars="1197"/>
        <w:rPr>
          <w:rFonts w:ascii="宋体" w:hAnsi="宋体" w:cs="宋体"/>
          <w:color w:val="auto"/>
          <w:sz w:val="24"/>
          <w:szCs w:val="24"/>
          <w:highlight w:val="none"/>
          <w:u w:val="single"/>
        </w:rPr>
      </w:pPr>
      <w:r>
        <w:rPr>
          <w:rFonts w:hint="eastAsia" w:ascii="宋体" w:hAnsi="宋体" w:cs="宋体"/>
          <w:color w:val="auto"/>
          <w:sz w:val="24"/>
          <w:szCs w:val="24"/>
          <w:highlight w:val="none"/>
        </w:rPr>
        <w:t>报价人（公章）：</w:t>
      </w:r>
      <w:r>
        <w:rPr>
          <w:rFonts w:hint="eastAsia" w:ascii="宋体" w:hAnsi="宋体" w:cs="宋体"/>
          <w:color w:val="auto"/>
          <w:sz w:val="24"/>
          <w:szCs w:val="24"/>
          <w:highlight w:val="none"/>
          <w:u w:val="single"/>
        </w:rPr>
        <w:t xml:space="preserve">                        </w:t>
      </w:r>
    </w:p>
    <w:p w14:paraId="623DD665">
      <w:pPr>
        <w:tabs>
          <w:tab w:val="left" w:pos="13320"/>
        </w:tabs>
        <w:snapToGrid w:val="0"/>
        <w:spacing w:line="360" w:lineRule="auto"/>
        <w:ind w:left="718" w:leftChars="342" w:right="-52" w:firstLine="2872" w:firstLineChars="1197"/>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14:paraId="72E46EAC">
      <w:pPr>
        <w:pStyle w:val="11"/>
        <w:adjustRightInd w:val="0"/>
        <w:snapToGrid w:val="0"/>
        <w:spacing w:line="360" w:lineRule="auto"/>
        <w:jc w:val="center"/>
        <w:rPr>
          <w:rFonts w:hAnsi="宋体" w:eastAsia="宋体" w:cs="宋体"/>
          <w:color w:val="auto"/>
          <w:sz w:val="24"/>
          <w:szCs w:val="24"/>
          <w:highlight w:val="none"/>
        </w:rPr>
      </w:pPr>
      <w:r>
        <w:rPr>
          <w:rFonts w:hint="eastAsia" w:hAnsi="宋体" w:eastAsia="宋体" w:cs="宋体"/>
          <w:color w:val="auto"/>
          <w:sz w:val="24"/>
          <w:szCs w:val="24"/>
          <w:highlight w:val="none"/>
        </w:rPr>
        <w:t xml:space="preserve">             日期：</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日</w:t>
      </w:r>
    </w:p>
    <w:p w14:paraId="42673657">
      <w:pPr>
        <w:pStyle w:val="11"/>
        <w:adjustRightInd w:val="0"/>
        <w:snapToGrid w:val="0"/>
        <w:spacing w:line="360" w:lineRule="auto"/>
        <w:jc w:val="center"/>
        <w:rPr>
          <w:rFonts w:hAnsi="宋体" w:eastAsia="宋体" w:cs="宋体"/>
          <w:color w:val="auto"/>
          <w:sz w:val="24"/>
          <w:szCs w:val="24"/>
          <w:highlight w:val="none"/>
        </w:rPr>
      </w:pPr>
    </w:p>
    <w:p w14:paraId="2F0EF680">
      <w:pPr>
        <w:pStyle w:val="11"/>
        <w:adjustRightInd w:val="0"/>
        <w:snapToGrid w:val="0"/>
        <w:spacing w:line="360" w:lineRule="auto"/>
        <w:jc w:val="center"/>
        <w:rPr>
          <w:rFonts w:hAnsi="宋体" w:eastAsia="宋体" w:cs="宋体"/>
          <w:color w:val="auto"/>
          <w:sz w:val="24"/>
          <w:szCs w:val="24"/>
          <w:highlight w:val="none"/>
        </w:rPr>
      </w:pPr>
    </w:p>
    <w:p w14:paraId="6C10E387">
      <w:pPr>
        <w:pStyle w:val="11"/>
        <w:adjustRightInd w:val="0"/>
        <w:snapToGrid w:val="0"/>
        <w:spacing w:line="360" w:lineRule="auto"/>
        <w:jc w:val="center"/>
        <w:rPr>
          <w:rFonts w:hAnsi="宋体" w:eastAsia="宋体" w:cs="宋体"/>
          <w:color w:val="auto"/>
          <w:sz w:val="24"/>
          <w:szCs w:val="24"/>
          <w:highlight w:val="none"/>
        </w:rPr>
      </w:pPr>
    </w:p>
    <w:p w14:paraId="4CA4C0FA">
      <w:pPr>
        <w:pStyle w:val="11"/>
        <w:adjustRightInd w:val="0"/>
        <w:snapToGrid w:val="0"/>
        <w:spacing w:line="360" w:lineRule="auto"/>
        <w:jc w:val="center"/>
        <w:rPr>
          <w:rFonts w:hAnsi="宋体" w:eastAsia="宋体" w:cs="宋体"/>
          <w:color w:val="auto"/>
          <w:sz w:val="24"/>
          <w:szCs w:val="24"/>
          <w:highlight w:val="none"/>
        </w:rPr>
      </w:pPr>
    </w:p>
    <w:p w14:paraId="20C26FBE">
      <w:pPr>
        <w:pStyle w:val="11"/>
        <w:adjustRightInd w:val="0"/>
        <w:snapToGrid w:val="0"/>
        <w:spacing w:line="360" w:lineRule="auto"/>
        <w:jc w:val="center"/>
        <w:rPr>
          <w:rFonts w:hAnsi="宋体" w:eastAsia="宋体" w:cs="宋体"/>
          <w:color w:val="auto"/>
          <w:sz w:val="24"/>
          <w:szCs w:val="24"/>
          <w:highlight w:val="none"/>
        </w:rPr>
      </w:pPr>
    </w:p>
    <w:p w14:paraId="35411EC3">
      <w:pPr>
        <w:pStyle w:val="11"/>
        <w:adjustRightInd w:val="0"/>
        <w:snapToGrid w:val="0"/>
        <w:spacing w:line="360" w:lineRule="auto"/>
        <w:jc w:val="center"/>
        <w:rPr>
          <w:rFonts w:hAnsi="宋体" w:eastAsia="宋体" w:cs="宋体"/>
          <w:color w:val="auto"/>
          <w:sz w:val="24"/>
          <w:szCs w:val="24"/>
          <w:highlight w:val="none"/>
        </w:rPr>
      </w:pPr>
    </w:p>
    <w:p w14:paraId="65302644">
      <w:pPr>
        <w:pStyle w:val="11"/>
        <w:adjustRightInd w:val="0"/>
        <w:snapToGrid w:val="0"/>
        <w:spacing w:line="360" w:lineRule="auto"/>
        <w:jc w:val="center"/>
        <w:rPr>
          <w:rFonts w:hAnsi="宋体" w:eastAsia="宋体" w:cs="宋体"/>
          <w:color w:val="auto"/>
          <w:sz w:val="24"/>
          <w:szCs w:val="24"/>
          <w:highlight w:val="none"/>
        </w:rPr>
      </w:pPr>
    </w:p>
    <w:p w14:paraId="3238FB42">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63C43163">
      <w:pPr>
        <w:pStyle w:val="11"/>
        <w:spacing w:line="360" w:lineRule="auto"/>
        <w:jc w:val="left"/>
        <w:rPr>
          <w:rFonts w:hAnsi="宋体" w:eastAsia="宋体" w:cs="宋体"/>
          <w:b/>
          <w:bCs/>
          <w:color w:val="auto"/>
          <w:sz w:val="24"/>
          <w:szCs w:val="24"/>
          <w:highlight w:val="none"/>
        </w:rPr>
      </w:pPr>
      <w:r>
        <w:rPr>
          <w:rFonts w:hint="eastAsia" w:hAnsi="宋体" w:eastAsia="宋体" w:cs="宋体"/>
          <w:color w:val="auto"/>
          <w:sz w:val="24"/>
          <w:szCs w:val="24"/>
          <w:highlight w:val="none"/>
        </w:rPr>
        <w:t>附件五</w:t>
      </w:r>
    </w:p>
    <w:p w14:paraId="20D23747">
      <w:pPr>
        <w:pStyle w:val="11"/>
        <w:adjustRightInd w:val="0"/>
        <w:snapToGrid w:val="0"/>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项目负责人及其他人员配备情况表</w:t>
      </w:r>
    </w:p>
    <w:p w14:paraId="3ED4D1F0">
      <w:pPr>
        <w:pStyle w:val="11"/>
        <w:adjustRightInd w:val="0"/>
        <w:snapToGrid w:val="0"/>
        <w:jc w:val="left"/>
        <w:rPr>
          <w:rFonts w:hAnsi="宋体" w:eastAsia="宋体" w:cs="宋体"/>
          <w:b/>
          <w:color w:val="auto"/>
          <w:szCs w:val="21"/>
          <w:highlight w:val="none"/>
        </w:rPr>
      </w:pPr>
      <w:r>
        <w:rPr>
          <w:rFonts w:hint="eastAsia" w:hAnsi="宋体" w:eastAsia="宋体" w:cs="宋体"/>
          <w:color w:val="auto"/>
          <w:szCs w:val="21"/>
          <w:highlight w:val="none"/>
        </w:rPr>
        <w:t>项目名称：</w:t>
      </w:r>
      <w:r>
        <w:rPr>
          <w:rFonts w:hint="eastAsia" w:hAnsi="宋体" w:eastAsia="宋体" w:cs="宋体"/>
          <w:color w:val="auto"/>
          <w:szCs w:val="21"/>
          <w:highlight w:val="none"/>
          <w:u w:val="single"/>
        </w:rPr>
        <w:t>陈家祠片区老旧小区微改造项目实施方案编制</w:t>
      </w:r>
    </w:p>
    <w:tbl>
      <w:tblPr>
        <w:tblStyle w:val="19"/>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850"/>
        <w:gridCol w:w="1976"/>
        <w:gridCol w:w="1736"/>
        <w:gridCol w:w="2341"/>
      </w:tblGrid>
      <w:tr w14:paraId="4DE3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78" w:type="dxa"/>
            <w:vAlign w:val="center"/>
          </w:tcPr>
          <w:p w14:paraId="75AF5DC0">
            <w:pPr>
              <w:autoSpaceDE w:val="0"/>
              <w:autoSpaceDN w:val="0"/>
              <w:adjustRightIn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850" w:type="dxa"/>
            <w:vAlign w:val="center"/>
          </w:tcPr>
          <w:p w14:paraId="7607A102">
            <w:pPr>
              <w:autoSpaceDE w:val="0"/>
              <w:autoSpaceDN w:val="0"/>
              <w:adjustRightIn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职责</w:t>
            </w:r>
          </w:p>
          <w:p w14:paraId="453B3D38">
            <w:pPr>
              <w:tabs>
                <w:tab w:val="left" w:pos="1322"/>
              </w:tabs>
              <w:jc w:val="center"/>
              <w:rPr>
                <w:rFonts w:ascii="宋体" w:hAnsi="宋体" w:cs="宋体"/>
                <w:color w:val="auto"/>
                <w:sz w:val="24"/>
                <w:szCs w:val="24"/>
                <w:highlight w:val="none"/>
                <w:lang w:val="en-GB"/>
              </w:rPr>
            </w:pPr>
            <w:r>
              <w:rPr>
                <w:rFonts w:hint="eastAsia" w:ascii="宋体" w:hAnsi="宋体" w:cs="宋体"/>
                <w:b/>
                <w:bCs/>
                <w:color w:val="auto"/>
                <w:kern w:val="0"/>
                <w:sz w:val="24"/>
                <w:szCs w:val="24"/>
                <w:highlight w:val="none"/>
              </w:rPr>
              <w:t>分工</w:t>
            </w:r>
          </w:p>
        </w:tc>
        <w:tc>
          <w:tcPr>
            <w:tcW w:w="1976" w:type="dxa"/>
            <w:vAlign w:val="center"/>
          </w:tcPr>
          <w:p w14:paraId="34084C79">
            <w:pPr>
              <w:tabs>
                <w:tab w:val="left" w:pos="1322"/>
              </w:tabs>
              <w:jc w:val="center"/>
              <w:rPr>
                <w:rFonts w:ascii="宋体" w:hAnsi="宋体" w:cs="宋体"/>
                <w:color w:val="auto"/>
                <w:sz w:val="24"/>
                <w:szCs w:val="24"/>
                <w:highlight w:val="none"/>
                <w:lang w:val="en-GB"/>
              </w:rPr>
            </w:pPr>
            <w:r>
              <w:rPr>
                <w:rFonts w:hint="eastAsia" w:ascii="宋体" w:hAnsi="宋体" w:cs="宋体"/>
                <w:b/>
                <w:bCs/>
                <w:color w:val="auto"/>
                <w:kern w:val="0"/>
                <w:sz w:val="24"/>
                <w:szCs w:val="24"/>
                <w:highlight w:val="none"/>
              </w:rPr>
              <w:t>姓名</w:t>
            </w:r>
          </w:p>
        </w:tc>
        <w:tc>
          <w:tcPr>
            <w:tcW w:w="1736" w:type="dxa"/>
            <w:vAlign w:val="center"/>
          </w:tcPr>
          <w:p w14:paraId="5D5C5FB6">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学历</w:t>
            </w:r>
          </w:p>
        </w:tc>
        <w:tc>
          <w:tcPr>
            <w:tcW w:w="2341" w:type="dxa"/>
            <w:vAlign w:val="center"/>
          </w:tcPr>
          <w:p w14:paraId="308D523C">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职称/注册执业资格</w:t>
            </w:r>
          </w:p>
        </w:tc>
      </w:tr>
      <w:tr w14:paraId="29B1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78" w:type="dxa"/>
            <w:vAlign w:val="center"/>
          </w:tcPr>
          <w:p w14:paraId="0E4C380D">
            <w:pPr>
              <w:tabs>
                <w:tab w:val="left" w:pos="1322"/>
              </w:tabs>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850" w:type="dxa"/>
            <w:vAlign w:val="center"/>
          </w:tcPr>
          <w:p w14:paraId="70FEC524">
            <w:pPr>
              <w:tabs>
                <w:tab w:val="left" w:pos="1322"/>
              </w:tabs>
              <w:spacing w:line="360" w:lineRule="auto"/>
              <w:jc w:val="center"/>
              <w:rPr>
                <w:rFonts w:ascii="宋体" w:hAnsi="宋体" w:cs="宋体"/>
                <w:color w:val="auto"/>
                <w:sz w:val="24"/>
                <w:szCs w:val="24"/>
                <w:highlight w:val="none"/>
                <w:lang w:val="en-GB"/>
              </w:rPr>
            </w:pPr>
            <w:r>
              <w:rPr>
                <w:rFonts w:hint="eastAsia" w:ascii="宋体" w:hAnsi="宋体" w:cs="宋体"/>
                <w:color w:val="auto"/>
                <w:kern w:val="0"/>
                <w:sz w:val="24"/>
                <w:szCs w:val="24"/>
                <w:highlight w:val="none"/>
              </w:rPr>
              <w:t>项目负责人</w:t>
            </w:r>
          </w:p>
        </w:tc>
        <w:tc>
          <w:tcPr>
            <w:tcW w:w="1976" w:type="dxa"/>
            <w:vAlign w:val="center"/>
          </w:tcPr>
          <w:p w14:paraId="37A5A81F">
            <w:pPr>
              <w:tabs>
                <w:tab w:val="left" w:pos="1322"/>
              </w:tabs>
              <w:spacing w:line="360" w:lineRule="auto"/>
              <w:jc w:val="center"/>
              <w:rPr>
                <w:rFonts w:ascii="宋体" w:hAnsi="宋体" w:cs="宋体"/>
                <w:color w:val="auto"/>
                <w:sz w:val="24"/>
                <w:szCs w:val="24"/>
                <w:highlight w:val="none"/>
                <w:lang w:val="en-GB"/>
              </w:rPr>
            </w:pPr>
          </w:p>
        </w:tc>
        <w:tc>
          <w:tcPr>
            <w:tcW w:w="1736" w:type="dxa"/>
            <w:vAlign w:val="center"/>
          </w:tcPr>
          <w:p w14:paraId="7B34A59C">
            <w:pPr>
              <w:tabs>
                <w:tab w:val="left" w:pos="1322"/>
              </w:tabs>
              <w:spacing w:line="360" w:lineRule="auto"/>
              <w:jc w:val="center"/>
              <w:rPr>
                <w:rFonts w:ascii="宋体" w:hAnsi="宋体" w:cs="宋体"/>
                <w:color w:val="auto"/>
                <w:sz w:val="24"/>
                <w:szCs w:val="24"/>
                <w:highlight w:val="none"/>
                <w:lang w:val="en-GB"/>
              </w:rPr>
            </w:pPr>
          </w:p>
        </w:tc>
        <w:tc>
          <w:tcPr>
            <w:tcW w:w="2341" w:type="dxa"/>
            <w:vAlign w:val="center"/>
          </w:tcPr>
          <w:p w14:paraId="3C4163B4">
            <w:pPr>
              <w:tabs>
                <w:tab w:val="left" w:pos="1322"/>
              </w:tabs>
              <w:spacing w:line="360" w:lineRule="auto"/>
              <w:jc w:val="center"/>
              <w:rPr>
                <w:rFonts w:ascii="宋体" w:hAnsi="宋体" w:cs="宋体"/>
                <w:color w:val="auto"/>
                <w:sz w:val="24"/>
                <w:szCs w:val="24"/>
                <w:highlight w:val="none"/>
                <w:lang w:val="en-GB"/>
              </w:rPr>
            </w:pPr>
          </w:p>
        </w:tc>
      </w:tr>
      <w:tr w14:paraId="2476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78" w:type="dxa"/>
            <w:vAlign w:val="center"/>
          </w:tcPr>
          <w:p w14:paraId="6E19FF15">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850" w:type="dxa"/>
            <w:vMerge w:val="restart"/>
            <w:vAlign w:val="center"/>
          </w:tcPr>
          <w:p w14:paraId="06FE4A0F">
            <w:pPr>
              <w:tabs>
                <w:tab w:val="left" w:pos="1322"/>
              </w:tabs>
              <w:spacing w:line="360" w:lineRule="auto"/>
              <w:jc w:val="center"/>
              <w:rPr>
                <w:rFonts w:ascii="宋体" w:hAnsi="宋体" w:cs="宋体"/>
                <w:color w:val="auto"/>
                <w:sz w:val="24"/>
                <w:szCs w:val="24"/>
                <w:highlight w:val="none"/>
                <w:lang w:val="en-GB"/>
              </w:rPr>
            </w:pPr>
            <w:r>
              <w:rPr>
                <w:rFonts w:hint="eastAsia" w:ascii="宋体" w:hAnsi="宋体" w:cs="宋体"/>
                <w:color w:val="auto"/>
                <w:kern w:val="0"/>
                <w:sz w:val="24"/>
                <w:szCs w:val="24"/>
                <w:highlight w:val="none"/>
              </w:rPr>
              <w:t>主要经办人员及其他人员配备情况</w:t>
            </w:r>
          </w:p>
        </w:tc>
        <w:tc>
          <w:tcPr>
            <w:tcW w:w="1976" w:type="dxa"/>
            <w:vAlign w:val="center"/>
          </w:tcPr>
          <w:p w14:paraId="5E16088B">
            <w:pPr>
              <w:tabs>
                <w:tab w:val="left" w:pos="1322"/>
              </w:tabs>
              <w:spacing w:line="360" w:lineRule="auto"/>
              <w:jc w:val="center"/>
              <w:rPr>
                <w:rFonts w:ascii="宋体" w:hAnsi="宋体" w:cs="宋体"/>
                <w:color w:val="auto"/>
                <w:sz w:val="24"/>
                <w:szCs w:val="24"/>
                <w:highlight w:val="none"/>
                <w:lang w:val="en-GB"/>
              </w:rPr>
            </w:pPr>
          </w:p>
        </w:tc>
        <w:tc>
          <w:tcPr>
            <w:tcW w:w="1736" w:type="dxa"/>
            <w:vAlign w:val="center"/>
          </w:tcPr>
          <w:p w14:paraId="678DD14A">
            <w:pPr>
              <w:tabs>
                <w:tab w:val="left" w:pos="1322"/>
              </w:tabs>
              <w:spacing w:line="360" w:lineRule="auto"/>
              <w:jc w:val="center"/>
              <w:rPr>
                <w:rFonts w:ascii="宋体" w:hAnsi="宋体" w:cs="宋体"/>
                <w:color w:val="auto"/>
                <w:sz w:val="24"/>
                <w:szCs w:val="24"/>
                <w:highlight w:val="none"/>
                <w:lang w:val="en-GB"/>
              </w:rPr>
            </w:pPr>
          </w:p>
        </w:tc>
        <w:tc>
          <w:tcPr>
            <w:tcW w:w="2341" w:type="dxa"/>
            <w:vAlign w:val="center"/>
          </w:tcPr>
          <w:p w14:paraId="39F18987">
            <w:pPr>
              <w:tabs>
                <w:tab w:val="left" w:pos="1322"/>
              </w:tabs>
              <w:spacing w:line="360" w:lineRule="auto"/>
              <w:jc w:val="center"/>
              <w:rPr>
                <w:rFonts w:ascii="宋体" w:hAnsi="宋体" w:cs="宋体"/>
                <w:color w:val="auto"/>
                <w:sz w:val="24"/>
                <w:szCs w:val="24"/>
                <w:highlight w:val="none"/>
                <w:lang w:val="en-GB"/>
              </w:rPr>
            </w:pPr>
          </w:p>
        </w:tc>
      </w:tr>
      <w:tr w14:paraId="0B4A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78" w:type="dxa"/>
            <w:vAlign w:val="center"/>
          </w:tcPr>
          <w:p w14:paraId="3DEFAF23">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850" w:type="dxa"/>
            <w:vMerge w:val="continue"/>
            <w:vAlign w:val="center"/>
          </w:tcPr>
          <w:p w14:paraId="1142FE08">
            <w:pPr>
              <w:tabs>
                <w:tab w:val="left" w:pos="1322"/>
              </w:tabs>
              <w:spacing w:line="360" w:lineRule="auto"/>
              <w:jc w:val="center"/>
              <w:rPr>
                <w:rFonts w:ascii="宋体" w:hAnsi="宋体" w:cs="宋体"/>
                <w:color w:val="auto"/>
                <w:kern w:val="0"/>
                <w:sz w:val="24"/>
                <w:szCs w:val="24"/>
                <w:highlight w:val="none"/>
              </w:rPr>
            </w:pPr>
          </w:p>
        </w:tc>
        <w:tc>
          <w:tcPr>
            <w:tcW w:w="1976" w:type="dxa"/>
            <w:vAlign w:val="center"/>
          </w:tcPr>
          <w:p w14:paraId="650D22CF">
            <w:pPr>
              <w:tabs>
                <w:tab w:val="left" w:pos="1322"/>
              </w:tabs>
              <w:spacing w:line="360" w:lineRule="auto"/>
              <w:jc w:val="center"/>
              <w:rPr>
                <w:rFonts w:ascii="宋体" w:hAnsi="宋体" w:cs="宋体"/>
                <w:color w:val="auto"/>
                <w:sz w:val="24"/>
                <w:szCs w:val="24"/>
                <w:highlight w:val="none"/>
                <w:lang w:val="en-GB"/>
              </w:rPr>
            </w:pPr>
          </w:p>
        </w:tc>
        <w:tc>
          <w:tcPr>
            <w:tcW w:w="1736" w:type="dxa"/>
            <w:vAlign w:val="center"/>
          </w:tcPr>
          <w:p w14:paraId="37BD071E">
            <w:pPr>
              <w:tabs>
                <w:tab w:val="left" w:pos="1322"/>
              </w:tabs>
              <w:spacing w:line="360" w:lineRule="auto"/>
              <w:jc w:val="center"/>
              <w:rPr>
                <w:rFonts w:ascii="宋体" w:hAnsi="宋体" w:cs="宋体"/>
                <w:color w:val="auto"/>
                <w:sz w:val="24"/>
                <w:szCs w:val="24"/>
                <w:highlight w:val="none"/>
                <w:lang w:val="en-GB"/>
              </w:rPr>
            </w:pPr>
          </w:p>
        </w:tc>
        <w:tc>
          <w:tcPr>
            <w:tcW w:w="2341" w:type="dxa"/>
            <w:vAlign w:val="center"/>
          </w:tcPr>
          <w:p w14:paraId="7CD0CAC6">
            <w:pPr>
              <w:tabs>
                <w:tab w:val="left" w:pos="1322"/>
              </w:tabs>
              <w:spacing w:line="360" w:lineRule="auto"/>
              <w:jc w:val="center"/>
              <w:rPr>
                <w:rFonts w:ascii="宋体" w:hAnsi="宋体" w:cs="宋体"/>
                <w:color w:val="auto"/>
                <w:sz w:val="24"/>
                <w:szCs w:val="24"/>
                <w:highlight w:val="none"/>
                <w:lang w:val="en-GB"/>
              </w:rPr>
            </w:pPr>
          </w:p>
        </w:tc>
      </w:tr>
      <w:tr w14:paraId="10EB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78" w:type="dxa"/>
            <w:vAlign w:val="center"/>
          </w:tcPr>
          <w:p w14:paraId="193AFD22">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850" w:type="dxa"/>
            <w:vMerge w:val="continue"/>
            <w:vAlign w:val="center"/>
          </w:tcPr>
          <w:p w14:paraId="25BC4A8D">
            <w:pPr>
              <w:tabs>
                <w:tab w:val="left" w:pos="1322"/>
              </w:tabs>
              <w:spacing w:line="360" w:lineRule="auto"/>
              <w:jc w:val="center"/>
              <w:rPr>
                <w:rFonts w:ascii="宋体" w:hAnsi="宋体" w:cs="宋体"/>
                <w:color w:val="auto"/>
                <w:kern w:val="0"/>
                <w:sz w:val="24"/>
                <w:szCs w:val="24"/>
                <w:highlight w:val="none"/>
              </w:rPr>
            </w:pPr>
          </w:p>
        </w:tc>
        <w:tc>
          <w:tcPr>
            <w:tcW w:w="1976" w:type="dxa"/>
            <w:vAlign w:val="center"/>
          </w:tcPr>
          <w:p w14:paraId="392A0B2A">
            <w:pPr>
              <w:tabs>
                <w:tab w:val="left" w:pos="1322"/>
              </w:tabs>
              <w:spacing w:line="360" w:lineRule="auto"/>
              <w:jc w:val="center"/>
              <w:rPr>
                <w:rFonts w:ascii="宋体" w:hAnsi="宋体" w:cs="宋体"/>
                <w:color w:val="auto"/>
                <w:sz w:val="24"/>
                <w:szCs w:val="24"/>
                <w:highlight w:val="none"/>
                <w:lang w:val="en-GB"/>
              </w:rPr>
            </w:pPr>
          </w:p>
        </w:tc>
        <w:tc>
          <w:tcPr>
            <w:tcW w:w="1736" w:type="dxa"/>
            <w:vAlign w:val="center"/>
          </w:tcPr>
          <w:p w14:paraId="1E3E3A07">
            <w:pPr>
              <w:tabs>
                <w:tab w:val="left" w:pos="1322"/>
              </w:tabs>
              <w:spacing w:line="360" w:lineRule="auto"/>
              <w:jc w:val="center"/>
              <w:rPr>
                <w:rFonts w:ascii="宋体" w:hAnsi="宋体" w:cs="宋体"/>
                <w:color w:val="auto"/>
                <w:sz w:val="24"/>
                <w:szCs w:val="24"/>
                <w:highlight w:val="none"/>
                <w:lang w:val="en-GB"/>
              </w:rPr>
            </w:pPr>
          </w:p>
        </w:tc>
        <w:tc>
          <w:tcPr>
            <w:tcW w:w="2341" w:type="dxa"/>
            <w:vAlign w:val="center"/>
          </w:tcPr>
          <w:p w14:paraId="738F209B">
            <w:pPr>
              <w:tabs>
                <w:tab w:val="left" w:pos="1322"/>
              </w:tabs>
              <w:spacing w:line="360" w:lineRule="auto"/>
              <w:jc w:val="center"/>
              <w:rPr>
                <w:rFonts w:ascii="宋体" w:hAnsi="宋体" w:cs="宋体"/>
                <w:color w:val="auto"/>
                <w:sz w:val="24"/>
                <w:szCs w:val="24"/>
                <w:highlight w:val="none"/>
                <w:lang w:val="en-GB"/>
              </w:rPr>
            </w:pPr>
          </w:p>
        </w:tc>
      </w:tr>
      <w:tr w14:paraId="22AA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78" w:type="dxa"/>
            <w:vAlign w:val="center"/>
          </w:tcPr>
          <w:p w14:paraId="167664AA">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850" w:type="dxa"/>
            <w:vMerge w:val="continue"/>
            <w:vAlign w:val="center"/>
          </w:tcPr>
          <w:p w14:paraId="5D8C8DD5">
            <w:pPr>
              <w:tabs>
                <w:tab w:val="left" w:pos="1322"/>
              </w:tabs>
              <w:spacing w:line="360" w:lineRule="auto"/>
              <w:jc w:val="center"/>
              <w:rPr>
                <w:rFonts w:ascii="宋体" w:hAnsi="宋体" w:cs="宋体"/>
                <w:color w:val="auto"/>
                <w:kern w:val="0"/>
                <w:sz w:val="24"/>
                <w:szCs w:val="24"/>
                <w:highlight w:val="none"/>
              </w:rPr>
            </w:pPr>
          </w:p>
        </w:tc>
        <w:tc>
          <w:tcPr>
            <w:tcW w:w="1976" w:type="dxa"/>
            <w:vAlign w:val="center"/>
          </w:tcPr>
          <w:p w14:paraId="3D97CFEE">
            <w:pPr>
              <w:tabs>
                <w:tab w:val="left" w:pos="1322"/>
              </w:tabs>
              <w:spacing w:line="360" w:lineRule="auto"/>
              <w:jc w:val="center"/>
              <w:rPr>
                <w:rFonts w:ascii="宋体" w:hAnsi="宋体" w:cs="宋体"/>
                <w:color w:val="auto"/>
                <w:sz w:val="24"/>
                <w:szCs w:val="24"/>
                <w:highlight w:val="none"/>
                <w:lang w:val="en-GB"/>
              </w:rPr>
            </w:pPr>
          </w:p>
        </w:tc>
        <w:tc>
          <w:tcPr>
            <w:tcW w:w="1736" w:type="dxa"/>
            <w:vAlign w:val="center"/>
          </w:tcPr>
          <w:p w14:paraId="0369064B">
            <w:pPr>
              <w:tabs>
                <w:tab w:val="left" w:pos="1322"/>
              </w:tabs>
              <w:spacing w:line="360" w:lineRule="auto"/>
              <w:jc w:val="center"/>
              <w:rPr>
                <w:rFonts w:ascii="宋体" w:hAnsi="宋体" w:cs="宋体"/>
                <w:color w:val="auto"/>
                <w:sz w:val="24"/>
                <w:szCs w:val="24"/>
                <w:highlight w:val="none"/>
                <w:lang w:val="en-GB"/>
              </w:rPr>
            </w:pPr>
          </w:p>
        </w:tc>
        <w:tc>
          <w:tcPr>
            <w:tcW w:w="2341" w:type="dxa"/>
            <w:vAlign w:val="center"/>
          </w:tcPr>
          <w:p w14:paraId="258FE22A">
            <w:pPr>
              <w:tabs>
                <w:tab w:val="left" w:pos="1322"/>
              </w:tabs>
              <w:spacing w:line="360" w:lineRule="auto"/>
              <w:jc w:val="center"/>
              <w:rPr>
                <w:rFonts w:ascii="宋体" w:hAnsi="宋体" w:cs="宋体"/>
                <w:color w:val="auto"/>
                <w:sz w:val="24"/>
                <w:szCs w:val="24"/>
                <w:highlight w:val="none"/>
                <w:lang w:val="en-GB"/>
              </w:rPr>
            </w:pPr>
          </w:p>
        </w:tc>
      </w:tr>
    </w:tbl>
    <w:p w14:paraId="3AE354A3">
      <w:pPr>
        <w:adjustRightInd w:val="0"/>
        <w:snapToGrid w:val="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注：</w:t>
      </w:r>
      <w:r>
        <w:rPr>
          <w:rFonts w:hint="eastAsia" w:ascii="宋体" w:hAnsi="宋体" w:cs="宋体"/>
          <w:color w:val="auto"/>
          <w:szCs w:val="21"/>
          <w:highlight w:val="none"/>
        </w:rPr>
        <w:t>本表后应按要求附相关人员的资格证书证明材料及近1个月的个人社保证明页。</w:t>
      </w:r>
    </w:p>
    <w:p w14:paraId="405267FB">
      <w:pPr>
        <w:tabs>
          <w:tab w:val="left" w:pos="1260"/>
        </w:tabs>
        <w:adjustRightInd w:val="0"/>
        <w:snapToGrid w:val="0"/>
        <w:spacing w:line="360" w:lineRule="auto"/>
        <w:rPr>
          <w:rFonts w:ascii="宋体" w:hAnsi="宋体" w:cs="宋体"/>
          <w:b/>
          <w:color w:val="auto"/>
          <w:sz w:val="24"/>
          <w:szCs w:val="24"/>
          <w:highlight w:val="none"/>
        </w:rPr>
      </w:pPr>
    </w:p>
    <w:p w14:paraId="53316DB1">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70B4B6CB">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68AF83AF">
      <w:pPr>
        <w:tabs>
          <w:tab w:val="left" w:pos="13320"/>
        </w:tabs>
        <w:snapToGrid w:val="0"/>
        <w:spacing w:line="360" w:lineRule="auto"/>
        <w:ind w:left="718" w:leftChars="342" w:right="-52" w:firstLine="2872" w:firstLineChars="1197"/>
        <w:rPr>
          <w:rFonts w:ascii="宋体" w:hAnsi="宋体" w:cs="宋体"/>
          <w:color w:val="auto"/>
          <w:sz w:val="24"/>
          <w:szCs w:val="24"/>
          <w:highlight w:val="none"/>
          <w:u w:val="single"/>
        </w:rPr>
      </w:pPr>
      <w:r>
        <w:rPr>
          <w:rFonts w:hint="eastAsia" w:ascii="宋体" w:hAnsi="宋体" w:cs="宋体"/>
          <w:color w:val="auto"/>
          <w:sz w:val="24"/>
          <w:szCs w:val="24"/>
          <w:highlight w:val="none"/>
        </w:rPr>
        <w:t>报价人（公章）：</w:t>
      </w:r>
      <w:r>
        <w:rPr>
          <w:rFonts w:hint="eastAsia" w:ascii="宋体" w:hAnsi="宋体" w:cs="宋体"/>
          <w:color w:val="auto"/>
          <w:sz w:val="24"/>
          <w:szCs w:val="24"/>
          <w:highlight w:val="none"/>
          <w:u w:val="single"/>
        </w:rPr>
        <w:t xml:space="preserve">                        </w:t>
      </w:r>
    </w:p>
    <w:p w14:paraId="0A3433DB">
      <w:pPr>
        <w:tabs>
          <w:tab w:val="left" w:pos="13320"/>
        </w:tabs>
        <w:snapToGrid w:val="0"/>
        <w:spacing w:line="360" w:lineRule="auto"/>
        <w:ind w:left="718" w:leftChars="342" w:right="-52" w:firstLine="2872" w:firstLineChars="1197"/>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14:paraId="0A5EAEAB">
      <w:pPr>
        <w:pStyle w:val="18"/>
        <w:spacing w:before="0" w:beforeAutospacing="0" w:after="0" w:afterAutospacing="0"/>
        <w:rPr>
          <w:color w:val="auto"/>
          <w:sz w:val="18"/>
          <w:szCs w:val="18"/>
          <w:highlight w:val="none"/>
          <w:shd w:val="clear" w:color="auto" w:fill="FFFFFF"/>
        </w:rPr>
      </w:pPr>
      <w:r>
        <w:rPr>
          <w:rFonts w:hint="eastAsia"/>
          <w:color w:val="auto"/>
          <w:highlight w:val="none"/>
        </w:rPr>
        <w:t xml:space="preserve">                              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FBD9C29">
      <w:pPr>
        <w:pStyle w:val="18"/>
        <w:spacing w:before="0" w:beforeAutospacing="0" w:after="0" w:afterAutospacing="0"/>
        <w:rPr>
          <w:color w:val="auto"/>
          <w:sz w:val="18"/>
          <w:szCs w:val="18"/>
          <w:highlight w:val="none"/>
          <w:shd w:val="clear" w:color="auto" w:fill="FFFFFF"/>
        </w:rPr>
      </w:pPr>
    </w:p>
    <w:p w14:paraId="3FF9178C">
      <w:pPr>
        <w:pStyle w:val="18"/>
        <w:spacing w:before="0" w:beforeAutospacing="0" w:after="0" w:afterAutospacing="0"/>
        <w:rPr>
          <w:color w:val="auto"/>
          <w:sz w:val="18"/>
          <w:szCs w:val="18"/>
          <w:highlight w:val="none"/>
          <w:shd w:val="clear" w:color="auto" w:fill="FFFFFF"/>
        </w:rPr>
      </w:pPr>
    </w:p>
    <w:p w14:paraId="7DC55541">
      <w:pPr>
        <w:pStyle w:val="18"/>
        <w:spacing w:before="0" w:beforeAutospacing="0" w:after="0" w:afterAutospacing="0"/>
        <w:rPr>
          <w:color w:val="auto"/>
          <w:sz w:val="18"/>
          <w:szCs w:val="18"/>
          <w:highlight w:val="none"/>
          <w:shd w:val="clear" w:color="auto" w:fill="FFFFFF"/>
        </w:rPr>
      </w:pPr>
    </w:p>
    <w:p w14:paraId="30E6EFB6">
      <w:pPr>
        <w:pStyle w:val="18"/>
        <w:spacing w:before="0" w:beforeAutospacing="0" w:after="0" w:afterAutospacing="0"/>
        <w:rPr>
          <w:color w:val="auto"/>
          <w:sz w:val="18"/>
          <w:szCs w:val="18"/>
          <w:highlight w:val="none"/>
          <w:shd w:val="clear" w:color="auto" w:fill="FFFFFF"/>
        </w:rPr>
      </w:pPr>
    </w:p>
    <w:p w14:paraId="02D61E4B">
      <w:pPr>
        <w:pStyle w:val="18"/>
        <w:spacing w:before="0" w:beforeAutospacing="0" w:after="0" w:afterAutospacing="0"/>
        <w:rPr>
          <w:color w:val="auto"/>
          <w:sz w:val="18"/>
          <w:szCs w:val="18"/>
          <w:highlight w:val="none"/>
          <w:shd w:val="clear" w:color="auto" w:fill="FFFFFF"/>
        </w:rPr>
      </w:pPr>
    </w:p>
    <w:p w14:paraId="04EDF1C8">
      <w:pPr>
        <w:pStyle w:val="18"/>
        <w:spacing w:before="0" w:beforeAutospacing="0" w:after="0" w:afterAutospacing="0"/>
        <w:rPr>
          <w:color w:val="auto"/>
          <w:sz w:val="18"/>
          <w:szCs w:val="18"/>
          <w:highlight w:val="none"/>
          <w:shd w:val="clear" w:color="auto" w:fill="FFFFFF"/>
        </w:rPr>
      </w:pPr>
    </w:p>
    <w:p w14:paraId="65633E6D">
      <w:pPr>
        <w:pStyle w:val="18"/>
        <w:spacing w:before="0" w:beforeAutospacing="0" w:after="0" w:afterAutospacing="0"/>
        <w:rPr>
          <w:color w:val="auto"/>
          <w:sz w:val="18"/>
          <w:szCs w:val="18"/>
          <w:highlight w:val="none"/>
          <w:shd w:val="clear" w:color="auto" w:fill="FFFFFF"/>
        </w:rPr>
      </w:pPr>
    </w:p>
    <w:p w14:paraId="7FA4E80A">
      <w:pPr>
        <w:pStyle w:val="18"/>
        <w:spacing w:before="0" w:beforeAutospacing="0" w:after="0" w:afterAutospacing="0"/>
        <w:rPr>
          <w:color w:val="auto"/>
          <w:sz w:val="18"/>
          <w:szCs w:val="18"/>
          <w:highlight w:val="none"/>
          <w:shd w:val="clear" w:color="auto" w:fill="FFFFFF"/>
        </w:rPr>
      </w:pPr>
    </w:p>
    <w:p w14:paraId="389CC21D">
      <w:pPr>
        <w:pStyle w:val="18"/>
        <w:spacing w:before="0" w:beforeAutospacing="0" w:after="0" w:afterAutospacing="0"/>
        <w:rPr>
          <w:color w:val="auto"/>
          <w:sz w:val="18"/>
          <w:szCs w:val="18"/>
          <w:highlight w:val="none"/>
          <w:shd w:val="clear" w:color="auto" w:fill="FFFFFF"/>
        </w:rPr>
      </w:pPr>
    </w:p>
    <w:p w14:paraId="2BEF8BC9">
      <w:pPr>
        <w:pStyle w:val="18"/>
        <w:spacing w:before="0" w:beforeAutospacing="0" w:after="0" w:afterAutospacing="0"/>
        <w:rPr>
          <w:color w:val="auto"/>
          <w:sz w:val="18"/>
          <w:szCs w:val="18"/>
          <w:highlight w:val="none"/>
          <w:shd w:val="clear" w:color="auto" w:fill="FFFFFF"/>
        </w:rPr>
      </w:pPr>
    </w:p>
    <w:p w14:paraId="1217B6A8">
      <w:pPr>
        <w:pStyle w:val="11"/>
        <w:spacing w:line="360" w:lineRule="auto"/>
        <w:rPr>
          <w:rFonts w:hAnsi="宋体" w:eastAsia="宋体" w:cs="宋体"/>
          <w:color w:val="auto"/>
          <w:sz w:val="24"/>
          <w:szCs w:val="24"/>
          <w:highlight w:val="none"/>
        </w:rPr>
      </w:pPr>
    </w:p>
    <w:p w14:paraId="732B0658">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11CBDF65">
      <w:pPr>
        <w:pStyle w:val="11"/>
        <w:spacing w:line="360" w:lineRule="auto"/>
        <w:rPr>
          <w:rFonts w:hAnsi="宋体" w:eastAsia="宋体" w:cs="宋体"/>
          <w:color w:val="auto"/>
          <w:sz w:val="18"/>
          <w:szCs w:val="18"/>
          <w:highlight w:val="none"/>
          <w:shd w:val="clear" w:color="auto" w:fill="FFFFFF"/>
        </w:rPr>
      </w:pPr>
      <w:r>
        <w:rPr>
          <w:rFonts w:hint="eastAsia" w:hAnsi="宋体" w:eastAsia="宋体" w:cs="宋体"/>
          <w:color w:val="auto"/>
          <w:sz w:val="24"/>
          <w:szCs w:val="24"/>
          <w:highlight w:val="none"/>
        </w:rPr>
        <w:t>附件六</w:t>
      </w:r>
    </w:p>
    <w:p w14:paraId="3698C915">
      <w:pPr>
        <w:adjustRightInd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承诺书</w:t>
      </w:r>
    </w:p>
    <w:p w14:paraId="46C0968A">
      <w:pPr>
        <w:adjustRightInd w:val="0"/>
        <w:snapToGrid w:val="0"/>
        <w:spacing w:line="360" w:lineRule="auto"/>
        <w:ind w:firstLine="560" w:firstLineChars="200"/>
        <w:rPr>
          <w:rFonts w:ascii="宋体" w:hAnsi="宋体" w:cs="宋体"/>
          <w:b/>
          <w:bCs/>
          <w:color w:val="auto"/>
          <w:sz w:val="32"/>
          <w:szCs w:val="32"/>
          <w:highlight w:val="none"/>
        </w:rPr>
      </w:pPr>
      <w:r>
        <w:rPr>
          <w:rFonts w:hint="eastAsia" w:ascii="宋体" w:hAnsi="宋体" w:cs="宋体"/>
          <w:color w:val="auto"/>
          <w:sz w:val="28"/>
          <w:szCs w:val="28"/>
          <w:highlight w:val="none"/>
        </w:rPr>
        <w:t>本公司承诺本次关于</w:t>
      </w:r>
      <w:r>
        <w:rPr>
          <w:rFonts w:hint="eastAsia" w:ascii="宋体" w:hAnsi="宋体" w:cs="宋体"/>
          <w:color w:val="auto"/>
          <w:sz w:val="28"/>
          <w:szCs w:val="28"/>
          <w:highlight w:val="none"/>
          <w:u w:val="single"/>
        </w:rPr>
        <w:t>陈家祠片区老旧小区微改造项目实施方案编制</w:t>
      </w:r>
      <w:r>
        <w:rPr>
          <w:rFonts w:hint="eastAsia" w:ascii="宋体" w:hAnsi="宋体" w:cs="宋体"/>
          <w:color w:val="auto"/>
          <w:sz w:val="28"/>
          <w:szCs w:val="28"/>
          <w:highlight w:val="none"/>
        </w:rPr>
        <w:t>报价文件中所提供的全部材料均为属实，提交本承诺书的前3年内在经营活动中没有重大违法记录，如有虚假，本公司将承担一切后果及法律责任，特此承诺。</w:t>
      </w:r>
    </w:p>
    <w:p w14:paraId="06F065E7">
      <w:pPr>
        <w:spacing w:line="360" w:lineRule="auto"/>
        <w:jc w:val="left"/>
        <w:rPr>
          <w:rFonts w:ascii="宋体" w:hAnsi="宋体" w:cs="宋体"/>
          <w:b/>
          <w:bCs/>
          <w:color w:val="auto"/>
          <w:sz w:val="36"/>
          <w:szCs w:val="36"/>
          <w:highlight w:val="none"/>
        </w:rPr>
      </w:pPr>
      <w:r>
        <w:rPr>
          <w:rFonts w:hint="eastAsia" w:ascii="宋体" w:hAnsi="宋体" w:cs="宋体"/>
          <w:color w:val="auto"/>
          <w:sz w:val="28"/>
          <w:szCs w:val="28"/>
          <w:highlight w:val="none"/>
        </w:rPr>
        <w:t xml:space="preserve">       </w:t>
      </w:r>
    </w:p>
    <w:p w14:paraId="5C130C82">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14:paraId="20F5CA51">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14:paraId="4266DED8">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14:paraId="6098D939">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14:paraId="7428CFE6">
      <w:pPr>
        <w:snapToGrid w:val="0"/>
        <w:spacing w:line="360" w:lineRule="auto"/>
        <w:ind w:right="-52" w:firstLine="3600" w:firstLineChars="1500"/>
        <w:rPr>
          <w:rFonts w:ascii="宋体" w:hAnsi="宋体" w:cs="宋体"/>
          <w:color w:val="auto"/>
          <w:sz w:val="24"/>
          <w:szCs w:val="24"/>
          <w:highlight w:val="none"/>
          <w:u w:val="single"/>
        </w:rPr>
      </w:pPr>
      <w:r>
        <w:rPr>
          <w:rFonts w:hint="eastAsia" w:ascii="宋体" w:hAnsi="宋体" w:cs="宋体"/>
          <w:color w:val="auto"/>
          <w:sz w:val="24"/>
          <w:szCs w:val="24"/>
          <w:highlight w:val="none"/>
        </w:rPr>
        <w:t>报价人（公章）：</w:t>
      </w:r>
      <w:r>
        <w:rPr>
          <w:rFonts w:hint="eastAsia" w:ascii="宋体" w:hAnsi="宋体" w:cs="宋体"/>
          <w:color w:val="auto"/>
          <w:sz w:val="24"/>
          <w:szCs w:val="24"/>
          <w:highlight w:val="none"/>
          <w:u w:val="single"/>
        </w:rPr>
        <w:t xml:space="preserve">                  </w:t>
      </w:r>
    </w:p>
    <w:p w14:paraId="1D606EF4">
      <w:pPr>
        <w:snapToGrid w:val="0"/>
        <w:spacing w:line="360" w:lineRule="auto"/>
        <w:ind w:left="718" w:leftChars="342" w:right="-52" w:firstLine="2872" w:firstLineChars="1197"/>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p>
    <w:p w14:paraId="6BF845FB">
      <w:pPr>
        <w:adjustRightInd w:val="0"/>
        <w:snapToGrid w:val="0"/>
        <w:spacing w:line="360" w:lineRule="auto"/>
        <w:ind w:right="480" w:firstLine="3600" w:firstLineChars="1500"/>
        <w:rPr>
          <w:rFonts w:ascii="宋体" w:hAnsi="宋体" w:cs="宋体"/>
          <w:color w:val="auto"/>
          <w:highlight w:val="none"/>
        </w:rPr>
      </w:pPr>
      <w:r>
        <w:rPr>
          <w:rFonts w:hint="eastAsia" w:ascii="宋体" w:hAnsi="宋体" w:cs="宋体"/>
          <w:color w:val="auto"/>
          <w:sz w:val="24"/>
          <w:szCs w:val="24"/>
          <w:highlight w:val="none"/>
        </w:rPr>
        <w:t>日期：</w:t>
      </w:r>
      <w:r>
        <w:rPr>
          <w:rFonts w:hint="eastAsia"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3B6BB9D">
      <w:pPr>
        <w:pStyle w:val="18"/>
        <w:spacing w:before="0" w:beforeAutospacing="0" w:after="0" w:afterAutospacing="0"/>
        <w:rPr>
          <w:color w:val="auto"/>
          <w:sz w:val="18"/>
          <w:szCs w:val="18"/>
          <w:highlight w:val="none"/>
          <w:shd w:val="clear" w:color="auto" w:fill="FFFFFF"/>
        </w:rPr>
      </w:pPr>
    </w:p>
    <w:p w14:paraId="06AC5B9B">
      <w:pPr>
        <w:pStyle w:val="18"/>
        <w:spacing w:before="0" w:beforeAutospacing="0" w:after="0" w:afterAutospacing="0"/>
        <w:rPr>
          <w:color w:val="auto"/>
          <w:sz w:val="18"/>
          <w:szCs w:val="18"/>
          <w:highlight w:val="none"/>
          <w:shd w:val="clear" w:color="auto" w:fill="FFFFFF"/>
        </w:rPr>
      </w:pPr>
    </w:p>
    <w:p w14:paraId="64291FFA">
      <w:pPr>
        <w:pStyle w:val="18"/>
        <w:spacing w:before="0" w:beforeAutospacing="0" w:after="0" w:afterAutospacing="0"/>
        <w:rPr>
          <w:color w:val="auto"/>
          <w:sz w:val="18"/>
          <w:szCs w:val="18"/>
          <w:highlight w:val="none"/>
          <w:shd w:val="clear" w:color="auto" w:fill="FFFFFF"/>
        </w:rPr>
      </w:pPr>
    </w:p>
    <w:p w14:paraId="5D04E7BD">
      <w:pPr>
        <w:pStyle w:val="18"/>
        <w:spacing w:before="0" w:beforeAutospacing="0" w:after="0" w:afterAutospacing="0"/>
        <w:rPr>
          <w:color w:val="auto"/>
          <w:sz w:val="18"/>
          <w:szCs w:val="18"/>
          <w:highlight w:val="none"/>
          <w:shd w:val="clear" w:color="auto" w:fill="FFFFFF"/>
        </w:rPr>
      </w:pPr>
    </w:p>
    <w:p w14:paraId="1B7D949B">
      <w:pPr>
        <w:pStyle w:val="18"/>
        <w:spacing w:before="0" w:beforeAutospacing="0" w:after="0" w:afterAutospacing="0"/>
        <w:rPr>
          <w:color w:val="auto"/>
          <w:sz w:val="18"/>
          <w:szCs w:val="18"/>
          <w:highlight w:val="none"/>
          <w:shd w:val="clear" w:color="auto" w:fill="FFFFFF"/>
        </w:rPr>
      </w:pPr>
    </w:p>
    <w:p w14:paraId="33682132">
      <w:pPr>
        <w:pStyle w:val="18"/>
        <w:spacing w:before="0" w:beforeAutospacing="0" w:after="0" w:afterAutospacing="0"/>
        <w:rPr>
          <w:color w:val="auto"/>
          <w:sz w:val="18"/>
          <w:szCs w:val="18"/>
          <w:highlight w:val="none"/>
          <w:shd w:val="clear" w:color="auto" w:fill="FFFFFF"/>
        </w:rPr>
      </w:pPr>
    </w:p>
    <w:p w14:paraId="324E6E40">
      <w:pPr>
        <w:pStyle w:val="18"/>
        <w:spacing w:before="0" w:beforeAutospacing="0" w:after="0" w:afterAutospacing="0"/>
        <w:rPr>
          <w:color w:val="auto"/>
          <w:sz w:val="18"/>
          <w:szCs w:val="18"/>
          <w:highlight w:val="none"/>
          <w:shd w:val="clear" w:color="auto" w:fill="FFFFFF"/>
        </w:rPr>
      </w:pPr>
    </w:p>
    <w:p w14:paraId="0EBAE39B">
      <w:pPr>
        <w:pStyle w:val="18"/>
        <w:spacing w:before="0" w:beforeAutospacing="0" w:after="0" w:afterAutospacing="0"/>
        <w:rPr>
          <w:color w:val="auto"/>
          <w:sz w:val="18"/>
          <w:szCs w:val="18"/>
          <w:highlight w:val="none"/>
          <w:shd w:val="clear" w:color="auto" w:fill="FFFFFF"/>
        </w:rPr>
      </w:pPr>
    </w:p>
    <w:p w14:paraId="13ED45C3">
      <w:pPr>
        <w:pStyle w:val="18"/>
        <w:spacing w:before="0" w:beforeAutospacing="0" w:after="0" w:afterAutospacing="0"/>
        <w:rPr>
          <w:color w:val="auto"/>
          <w:sz w:val="18"/>
          <w:szCs w:val="18"/>
          <w:highlight w:val="none"/>
          <w:shd w:val="clear" w:color="auto" w:fill="FFFFFF"/>
        </w:rPr>
      </w:pPr>
    </w:p>
    <w:p w14:paraId="26ACE8C3">
      <w:pPr>
        <w:pStyle w:val="18"/>
        <w:spacing w:before="0" w:beforeAutospacing="0" w:after="0" w:afterAutospacing="0"/>
        <w:rPr>
          <w:color w:val="auto"/>
          <w:sz w:val="18"/>
          <w:szCs w:val="18"/>
          <w:highlight w:val="none"/>
          <w:shd w:val="clear" w:color="auto" w:fill="FFFFFF"/>
        </w:rPr>
      </w:pPr>
    </w:p>
    <w:p w14:paraId="5E59708C">
      <w:pPr>
        <w:pStyle w:val="18"/>
        <w:spacing w:before="0" w:beforeAutospacing="0" w:after="0" w:afterAutospacing="0"/>
        <w:rPr>
          <w:color w:val="auto"/>
          <w:sz w:val="18"/>
          <w:szCs w:val="18"/>
          <w:highlight w:val="none"/>
          <w:shd w:val="clear" w:color="auto" w:fill="FFFFFF"/>
        </w:rPr>
      </w:pPr>
    </w:p>
    <w:p w14:paraId="593B5414">
      <w:pPr>
        <w:pStyle w:val="18"/>
        <w:spacing w:before="0" w:beforeAutospacing="0" w:after="0" w:afterAutospacing="0"/>
        <w:rPr>
          <w:color w:val="auto"/>
          <w:sz w:val="18"/>
          <w:szCs w:val="18"/>
          <w:highlight w:val="none"/>
          <w:shd w:val="clear" w:color="auto" w:fill="FFFFFF"/>
        </w:rPr>
      </w:pPr>
    </w:p>
    <w:p w14:paraId="28B7E5E4">
      <w:pPr>
        <w:pStyle w:val="18"/>
        <w:spacing w:before="0" w:beforeAutospacing="0" w:after="0" w:afterAutospacing="0"/>
        <w:rPr>
          <w:color w:val="auto"/>
          <w:sz w:val="18"/>
          <w:szCs w:val="18"/>
          <w:highlight w:val="none"/>
          <w:shd w:val="clear" w:color="auto" w:fill="FFFFFF"/>
        </w:rPr>
      </w:pPr>
    </w:p>
    <w:p w14:paraId="6FFDC063">
      <w:pPr>
        <w:pStyle w:val="18"/>
        <w:spacing w:before="0" w:beforeAutospacing="0" w:after="0" w:afterAutospacing="0"/>
        <w:rPr>
          <w:color w:val="auto"/>
          <w:sz w:val="18"/>
          <w:szCs w:val="18"/>
          <w:highlight w:val="none"/>
          <w:shd w:val="clear" w:color="auto" w:fill="FFFFFF"/>
        </w:rPr>
      </w:pPr>
    </w:p>
    <w:p w14:paraId="6346AAC4">
      <w:pPr>
        <w:pStyle w:val="18"/>
        <w:spacing w:before="0" w:beforeAutospacing="0" w:after="0" w:afterAutospacing="0"/>
        <w:rPr>
          <w:color w:val="auto"/>
          <w:sz w:val="18"/>
          <w:szCs w:val="18"/>
          <w:highlight w:val="none"/>
          <w:shd w:val="clear" w:color="auto" w:fill="FFFFFF"/>
        </w:rPr>
      </w:pPr>
    </w:p>
    <w:p w14:paraId="251D26C9">
      <w:pPr>
        <w:pStyle w:val="18"/>
        <w:spacing w:before="0" w:beforeAutospacing="0" w:after="0" w:afterAutospacing="0"/>
        <w:jc w:val="center"/>
        <w:rPr>
          <w:b/>
          <w:bCs/>
          <w:color w:val="auto"/>
          <w:sz w:val="28"/>
          <w:szCs w:val="28"/>
          <w:highlight w:val="none"/>
          <w:shd w:val="clear" w:color="auto" w:fill="FFFFFF"/>
        </w:rPr>
        <w:sectPr>
          <w:footerReference r:id="rId7" w:type="default"/>
          <w:footerReference r:id="rId8" w:type="even"/>
          <w:pgSz w:w="11907" w:h="16840"/>
          <w:pgMar w:top="1701" w:right="1418" w:bottom="1701" w:left="1418" w:header="851" w:footer="992" w:gutter="0"/>
          <w:pgBorders>
            <w:top w:val="none" w:sz="0" w:space="0"/>
            <w:left w:val="none" w:sz="0" w:space="0"/>
            <w:bottom w:val="none" w:sz="0" w:space="0"/>
            <w:right w:val="none" w:sz="0" w:space="0"/>
          </w:pgBorders>
          <w:cols w:space="425" w:num="1"/>
          <w:docGrid w:type="lines" w:linePitch="312" w:charSpace="0"/>
        </w:sectPr>
      </w:pPr>
    </w:p>
    <w:p w14:paraId="4164B3EF">
      <w:pPr>
        <w:pStyle w:val="18"/>
        <w:numPr>
          <w:ilvl w:val="0"/>
          <w:numId w:val="2"/>
        </w:numPr>
        <w:spacing w:before="0" w:beforeAutospacing="0" w:after="0" w:afterAutospacing="0"/>
        <w:jc w:val="center"/>
        <w:rPr>
          <w:b/>
          <w:bCs/>
          <w:color w:val="auto"/>
          <w:sz w:val="28"/>
          <w:szCs w:val="28"/>
          <w:highlight w:val="none"/>
          <w:shd w:val="clear" w:color="auto" w:fill="FFFFFF"/>
        </w:rPr>
      </w:pPr>
      <w:r>
        <w:rPr>
          <w:rFonts w:hint="eastAsia"/>
          <w:b/>
          <w:bCs/>
          <w:color w:val="auto"/>
          <w:sz w:val="28"/>
          <w:szCs w:val="28"/>
          <w:highlight w:val="none"/>
          <w:shd w:val="clear" w:color="auto" w:fill="FFFFFF"/>
        </w:rPr>
        <w:t>合同</w:t>
      </w:r>
    </w:p>
    <w:p w14:paraId="294131C6">
      <w:pPr>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                 合同编号：</w:t>
      </w:r>
    </w:p>
    <w:p w14:paraId="091849C2">
      <w:pPr>
        <w:pStyle w:val="18"/>
        <w:spacing w:before="0" w:beforeAutospacing="0" w:after="0" w:afterAutospacing="0"/>
        <w:jc w:val="both"/>
        <w:rPr>
          <w:b/>
          <w:bCs/>
          <w:color w:val="auto"/>
          <w:sz w:val="28"/>
          <w:szCs w:val="28"/>
          <w:highlight w:val="none"/>
          <w:shd w:val="clear" w:color="auto" w:fill="FFFFFF"/>
        </w:rPr>
      </w:pPr>
    </w:p>
    <w:p w14:paraId="5AC49D37">
      <w:pPr>
        <w:pStyle w:val="18"/>
        <w:spacing w:before="0" w:beforeAutospacing="0" w:after="0" w:afterAutospacing="0"/>
        <w:jc w:val="both"/>
        <w:rPr>
          <w:b/>
          <w:bCs/>
          <w:color w:val="auto"/>
          <w:sz w:val="28"/>
          <w:szCs w:val="28"/>
          <w:highlight w:val="none"/>
          <w:shd w:val="clear" w:color="auto" w:fill="FFFFFF"/>
        </w:rPr>
      </w:pPr>
    </w:p>
    <w:p w14:paraId="383AADA3">
      <w:pPr>
        <w:ind w:firstLine="960"/>
        <w:jc w:val="center"/>
        <w:rPr>
          <w:rFonts w:ascii="黑体" w:eastAsia="黑体"/>
          <w:color w:val="auto"/>
          <w:sz w:val="52"/>
          <w:szCs w:val="52"/>
          <w:highlight w:val="none"/>
        </w:rPr>
      </w:pPr>
      <w:r>
        <w:rPr>
          <w:rFonts w:hint="eastAsia" w:ascii="黑体" w:eastAsia="黑体"/>
          <w:color w:val="auto"/>
          <w:sz w:val="48"/>
          <w:szCs w:val="48"/>
          <w:highlight w:val="none"/>
        </w:rPr>
        <w:t>陈家祠片区老旧小区微改造项目实施方案编制</w:t>
      </w:r>
      <w:r>
        <w:rPr>
          <w:rFonts w:ascii="黑体" w:eastAsia="黑体"/>
          <w:color w:val="auto"/>
          <w:sz w:val="48"/>
          <w:szCs w:val="48"/>
          <w:highlight w:val="none"/>
        </w:rPr>
        <w:t>合同</w:t>
      </w:r>
    </w:p>
    <w:p w14:paraId="0FF97F37">
      <w:pPr>
        <w:pStyle w:val="25"/>
        <w:rPr>
          <w:rFonts w:ascii="黑体" w:eastAsia="黑体"/>
          <w:color w:val="auto"/>
          <w:sz w:val="52"/>
          <w:szCs w:val="52"/>
          <w:highlight w:val="none"/>
        </w:rPr>
      </w:pPr>
    </w:p>
    <w:p w14:paraId="2305D6BC">
      <w:pPr>
        <w:pStyle w:val="25"/>
        <w:rPr>
          <w:rFonts w:ascii="黑体" w:eastAsia="黑体"/>
          <w:color w:val="auto"/>
          <w:sz w:val="52"/>
          <w:szCs w:val="52"/>
          <w:highlight w:val="none"/>
        </w:rPr>
      </w:pPr>
    </w:p>
    <w:p w14:paraId="66D3FFDD">
      <w:pPr>
        <w:pStyle w:val="25"/>
        <w:rPr>
          <w:rFonts w:ascii="黑体" w:eastAsia="黑体"/>
          <w:color w:val="auto"/>
          <w:sz w:val="52"/>
          <w:szCs w:val="52"/>
          <w:highlight w:val="none"/>
        </w:rPr>
      </w:pPr>
    </w:p>
    <w:p w14:paraId="251AF40F">
      <w:pPr>
        <w:adjustRightInd w:val="0"/>
        <w:snapToGrid w:val="0"/>
        <w:spacing w:line="440" w:lineRule="exact"/>
        <w:ind w:firstLine="560" w:firstLineChars="200"/>
        <w:rPr>
          <w:rFonts w:eastAsia="仿宋_GB2312"/>
          <w:color w:val="auto"/>
          <w:sz w:val="28"/>
          <w:szCs w:val="28"/>
          <w:highlight w:val="none"/>
        </w:rPr>
      </w:pPr>
    </w:p>
    <w:p w14:paraId="7C88E082">
      <w:pPr>
        <w:spacing w:before="156" w:beforeLines="50" w:after="156" w:afterLines="50" w:line="360" w:lineRule="exact"/>
        <w:rPr>
          <w:rFonts w:ascii="黑体" w:eastAsia="黑体"/>
          <w:color w:val="auto"/>
          <w:sz w:val="24"/>
          <w:szCs w:val="24"/>
          <w:highlight w:val="none"/>
          <w:u w:val="single"/>
        </w:rPr>
      </w:pPr>
      <w:r>
        <w:rPr>
          <w:rFonts w:hint="eastAsia" w:ascii="黑体" w:eastAsia="黑体"/>
          <w:color w:val="auto"/>
          <w:sz w:val="24"/>
          <w:szCs w:val="24"/>
          <w:highlight w:val="none"/>
        </w:rPr>
        <w:t>甲方（委托方）：</w:t>
      </w:r>
      <w:r>
        <w:rPr>
          <w:rFonts w:hint="eastAsia" w:ascii="仿宋_GB2312" w:hAnsi="仿宋_GB2312" w:eastAsia="仿宋_GB2312" w:cs="仿宋_GB2312"/>
          <w:color w:val="auto"/>
          <w:sz w:val="32"/>
          <w:szCs w:val="32"/>
          <w:highlight w:val="none"/>
          <w:u w:val="single"/>
        </w:rPr>
        <w:t>广州市荔湾区城市更新建设项目管理中心</w:t>
      </w:r>
      <w:r>
        <w:rPr>
          <w:rFonts w:hint="eastAsia" w:ascii="黑体" w:eastAsia="黑体"/>
          <w:color w:val="auto"/>
          <w:sz w:val="24"/>
          <w:szCs w:val="24"/>
          <w:highlight w:val="none"/>
        </w:rPr>
        <w:tab/>
      </w:r>
      <w:r>
        <w:rPr>
          <w:rFonts w:ascii="黑体" w:eastAsia="黑体"/>
          <w:color w:val="auto"/>
          <w:sz w:val="24"/>
          <w:szCs w:val="24"/>
          <w:highlight w:val="none"/>
        </w:rPr>
        <w:t xml:space="preserve">       </w:t>
      </w:r>
      <w:r>
        <w:rPr>
          <w:rFonts w:ascii="黑体" w:eastAsia="黑体"/>
          <w:color w:val="auto"/>
          <w:sz w:val="24"/>
          <w:szCs w:val="24"/>
          <w:highlight w:val="none"/>
          <w:u w:val="single"/>
        </w:rPr>
        <w:t xml:space="preserve">            </w:t>
      </w:r>
    </w:p>
    <w:p w14:paraId="7083472A">
      <w:pPr>
        <w:spacing w:before="156" w:beforeLines="50" w:after="156" w:afterLines="50" w:line="360" w:lineRule="exact"/>
        <w:rPr>
          <w:rFonts w:ascii="黑体" w:eastAsia="黑体"/>
          <w:color w:val="auto"/>
          <w:sz w:val="24"/>
          <w:szCs w:val="24"/>
          <w:highlight w:val="none"/>
        </w:rPr>
      </w:pPr>
    </w:p>
    <w:p w14:paraId="487A5FCF">
      <w:pPr>
        <w:spacing w:before="156" w:beforeLines="50" w:after="156" w:afterLines="50" w:line="360" w:lineRule="exact"/>
        <w:rPr>
          <w:rFonts w:ascii="黑体" w:eastAsia="黑体"/>
          <w:color w:val="auto"/>
          <w:sz w:val="24"/>
          <w:szCs w:val="24"/>
          <w:highlight w:val="none"/>
          <w:u w:val="single"/>
        </w:rPr>
      </w:pPr>
      <w:r>
        <w:rPr>
          <w:rFonts w:hint="eastAsia" w:ascii="黑体" w:eastAsia="黑体"/>
          <w:color w:val="auto"/>
          <w:sz w:val="24"/>
          <w:szCs w:val="24"/>
          <w:highlight w:val="none"/>
        </w:rPr>
        <w:t>乙方（受托方）：</w:t>
      </w:r>
      <w:r>
        <w:rPr>
          <w:rFonts w:hint="eastAsia" w:ascii="黑体" w:eastAsia="黑体"/>
          <w:color w:val="auto"/>
          <w:sz w:val="24"/>
          <w:szCs w:val="24"/>
          <w:highlight w:val="none"/>
          <w:u w:val="single"/>
        </w:rPr>
        <w:tab/>
      </w:r>
      <w:r>
        <w:rPr>
          <w:rFonts w:ascii="黑体" w:eastAsia="黑体"/>
          <w:color w:val="auto"/>
          <w:sz w:val="24"/>
          <w:szCs w:val="24"/>
          <w:highlight w:val="none"/>
          <w:u w:val="single"/>
        </w:rPr>
        <w:t xml:space="preserve">  </w:t>
      </w:r>
      <w:r>
        <w:rPr>
          <w:rFonts w:hint="eastAsia" w:ascii="黑体" w:eastAsia="黑体"/>
          <w:color w:val="auto"/>
          <w:sz w:val="24"/>
          <w:szCs w:val="24"/>
          <w:highlight w:val="none"/>
          <w:u w:val="single"/>
        </w:rPr>
        <w:t xml:space="preserve">                                          </w:t>
      </w:r>
      <w:r>
        <w:rPr>
          <w:rFonts w:ascii="黑体" w:eastAsia="黑体"/>
          <w:color w:val="auto"/>
          <w:sz w:val="24"/>
          <w:szCs w:val="24"/>
          <w:highlight w:val="none"/>
          <w:u w:val="single"/>
        </w:rPr>
        <w:t xml:space="preserve">  </w:t>
      </w:r>
    </w:p>
    <w:p w14:paraId="39648D5C">
      <w:pPr>
        <w:spacing w:before="156" w:beforeLines="50" w:after="156" w:afterLines="50" w:line="360" w:lineRule="exact"/>
        <w:rPr>
          <w:rFonts w:ascii="黑体" w:eastAsia="黑体"/>
          <w:color w:val="auto"/>
          <w:sz w:val="24"/>
          <w:szCs w:val="24"/>
          <w:highlight w:val="none"/>
        </w:rPr>
      </w:pPr>
    </w:p>
    <w:p w14:paraId="288A5116">
      <w:pPr>
        <w:pStyle w:val="25"/>
        <w:rPr>
          <w:color w:val="auto"/>
          <w:highlight w:val="none"/>
        </w:rPr>
      </w:pPr>
    </w:p>
    <w:p w14:paraId="6FC439C3">
      <w:pPr>
        <w:spacing w:before="156" w:beforeLines="50" w:after="156" w:afterLines="50" w:line="360" w:lineRule="exact"/>
        <w:rPr>
          <w:rFonts w:ascii="黑体" w:eastAsia="黑体"/>
          <w:color w:val="auto"/>
          <w:sz w:val="24"/>
          <w:szCs w:val="24"/>
          <w:highlight w:val="none"/>
          <w:u w:val="single"/>
        </w:rPr>
      </w:pPr>
      <w:r>
        <w:rPr>
          <w:rFonts w:hint="eastAsia" w:ascii="黑体" w:eastAsia="黑体"/>
          <w:color w:val="auto"/>
          <w:sz w:val="24"/>
          <w:szCs w:val="24"/>
          <w:highlight w:val="none"/>
        </w:rPr>
        <w:t>签订地点：</w:t>
      </w:r>
      <w:r>
        <w:rPr>
          <w:rFonts w:hint="eastAsia" w:ascii="仿宋_GB2312" w:hAnsi="仿宋_GB2312" w:eastAsia="仿宋_GB2312" w:cs="仿宋_GB2312"/>
          <w:color w:val="auto"/>
          <w:sz w:val="32"/>
          <w:szCs w:val="32"/>
          <w:highlight w:val="none"/>
          <w:u w:val="single"/>
        </w:rPr>
        <w:t xml:space="preserve"> 广州市荔湾区</w:t>
      </w:r>
      <w:r>
        <w:rPr>
          <w:rFonts w:hint="eastAsia" w:ascii="黑体" w:eastAsia="黑体"/>
          <w:color w:val="auto"/>
          <w:sz w:val="24"/>
          <w:szCs w:val="24"/>
          <w:highlight w:val="none"/>
          <w:u w:val="single"/>
        </w:rPr>
        <w:t xml:space="preserve"> </w:t>
      </w:r>
    </w:p>
    <w:p w14:paraId="56E53249">
      <w:pPr>
        <w:pStyle w:val="25"/>
        <w:rPr>
          <w:rFonts w:ascii="黑体" w:eastAsia="黑体"/>
          <w:color w:val="auto"/>
          <w:sz w:val="24"/>
          <w:szCs w:val="24"/>
          <w:highlight w:val="none"/>
          <w:u w:val="single"/>
        </w:rPr>
      </w:pPr>
    </w:p>
    <w:p w14:paraId="7AF16F9E">
      <w:pPr>
        <w:pStyle w:val="25"/>
        <w:rPr>
          <w:rFonts w:ascii="黑体" w:eastAsia="黑体"/>
          <w:color w:val="auto"/>
          <w:sz w:val="24"/>
          <w:szCs w:val="24"/>
          <w:highlight w:val="none"/>
          <w:u w:val="single"/>
        </w:rPr>
      </w:pPr>
    </w:p>
    <w:p w14:paraId="24FF874E">
      <w:pPr>
        <w:pStyle w:val="25"/>
        <w:rPr>
          <w:rFonts w:ascii="黑体" w:eastAsia="黑体"/>
          <w:color w:val="auto"/>
          <w:sz w:val="24"/>
          <w:szCs w:val="24"/>
          <w:highlight w:val="none"/>
          <w:u w:val="single"/>
        </w:rPr>
      </w:pPr>
      <w:r>
        <w:rPr>
          <w:rFonts w:hint="eastAsia" w:ascii="黑体" w:hAnsi="Calibri" w:eastAsia="黑体"/>
          <w:color w:val="auto"/>
          <w:sz w:val="24"/>
          <w:szCs w:val="24"/>
          <w:highlight w:val="none"/>
        </w:rPr>
        <w:t>签订日期：</w:t>
      </w:r>
      <w:r>
        <w:rPr>
          <w:rFonts w:hint="eastAsia" w:ascii="黑体" w:eastAsia="黑体"/>
          <w:color w:val="auto"/>
          <w:sz w:val="24"/>
          <w:szCs w:val="24"/>
          <w:highlight w:val="none"/>
          <w:u w:val="single"/>
        </w:rPr>
        <w:t xml:space="preserve"> </w:t>
      </w:r>
      <w:r>
        <w:rPr>
          <w:rFonts w:hint="eastAsia" w:ascii="仿宋_GB2312" w:hAnsi="仿宋_GB2312" w:eastAsia="仿宋_GB2312" w:cs="仿宋_GB2312"/>
          <w:color w:val="auto"/>
          <w:sz w:val="32"/>
          <w:szCs w:val="32"/>
          <w:highlight w:val="none"/>
          <w:u w:val="single"/>
        </w:rPr>
        <w:t>2024年  月</w:t>
      </w:r>
      <w:r>
        <w:rPr>
          <w:rFonts w:hint="eastAsia" w:ascii="黑体" w:eastAsia="黑体"/>
          <w:color w:val="auto"/>
          <w:sz w:val="24"/>
          <w:szCs w:val="24"/>
          <w:highlight w:val="none"/>
          <w:u w:val="single"/>
        </w:rPr>
        <w:t xml:space="preserve"> </w:t>
      </w:r>
      <w:r>
        <w:rPr>
          <w:rFonts w:hint="eastAsia" w:ascii="仿宋_GB2312" w:hAnsi="仿宋_GB2312" w:eastAsia="仿宋_GB2312" w:cs="仿宋_GB2312"/>
          <w:color w:val="auto"/>
          <w:sz w:val="32"/>
          <w:szCs w:val="32"/>
          <w:highlight w:val="none"/>
          <w:u w:val="single"/>
        </w:rPr>
        <w:t xml:space="preserve"> 日</w:t>
      </w:r>
      <w:r>
        <w:rPr>
          <w:rFonts w:hint="eastAsia" w:ascii="黑体" w:eastAsia="黑体"/>
          <w:color w:val="auto"/>
          <w:sz w:val="24"/>
          <w:szCs w:val="24"/>
          <w:highlight w:val="none"/>
        </w:rPr>
        <w:t xml:space="preserve">   </w:t>
      </w:r>
    </w:p>
    <w:p w14:paraId="5197F49A">
      <w:pPr>
        <w:pStyle w:val="25"/>
        <w:rPr>
          <w:color w:val="auto"/>
          <w:highlight w:val="none"/>
        </w:rPr>
      </w:pPr>
    </w:p>
    <w:p w14:paraId="28F3249E">
      <w:pPr>
        <w:spacing w:before="156" w:beforeLines="50" w:after="156" w:afterLines="50" w:line="360" w:lineRule="auto"/>
        <w:rPr>
          <w:rFonts w:ascii="黑体" w:eastAsia="黑体"/>
          <w:b/>
          <w:color w:val="auto"/>
          <w:sz w:val="32"/>
          <w:szCs w:val="32"/>
          <w:highlight w:val="none"/>
        </w:rPr>
      </w:pPr>
    </w:p>
    <w:p w14:paraId="459984D0">
      <w:pPr>
        <w:pStyle w:val="6"/>
        <w:rPr>
          <w:color w:val="auto"/>
          <w:highlight w:val="none"/>
        </w:rPr>
      </w:pPr>
    </w:p>
    <w:p w14:paraId="08ECB9C2">
      <w:pPr>
        <w:spacing w:line="360" w:lineRule="auto"/>
        <w:rPr>
          <w:rFonts w:ascii="宋体" w:hAnsi="宋体"/>
          <w:color w:val="auto"/>
          <w:sz w:val="24"/>
          <w:szCs w:val="24"/>
          <w:highlight w:val="none"/>
        </w:rPr>
      </w:pPr>
    </w:p>
    <w:p w14:paraId="5CAFDB20">
      <w:pPr>
        <w:spacing w:line="360" w:lineRule="auto"/>
        <w:ind w:firstLine="480" w:firstLineChars="200"/>
        <w:rPr>
          <w:rFonts w:asciiTheme="minorEastAsia" w:hAnsiTheme="minorEastAsia" w:eastAsiaTheme="minorEastAsia" w:cstheme="minorEastAsia"/>
          <w:color w:val="auto"/>
          <w:sz w:val="24"/>
          <w:szCs w:val="24"/>
          <w:highlight w:val="none"/>
        </w:rPr>
      </w:pPr>
      <w:r>
        <w:rPr>
          <w:rFonts w:ascii="宋体" w:hAnsi="宋体"/>
          <w:color w:val="auto"/>
          <w:sz w:val="24"/>
          <w:szCs w:val="24"/>
          <w:highlight w:val="none"/>
        </w:rPr>
        <w:t>甲方委托乙方</w:t>
      </w:r>
      <w:r>
        <w:rPr>
          <w:rFonts w:hint="eastAsia" w:ascii="宋体" w:hAnsi="宋体"/>
          <w:color w:val="auto"/>
          <w:sz w:val="24"/>
          <w:szCs w:val="24"/>
          <w:highlight w:val="none"/>
        </w:rPr>
        <w:t>开展</w:t>
      </w:r>
      <w:r>
        <w:rPr>
          <w:rFonts w:hint="eastAsia" w:asciiTheme="minorEastAsia" w:hAnsiTheme="minorEastAsia" w:eastAsiaTheme="minorEastAsia" w:cstheme="minorEastAsia"/>
          <w:color w:val="auto"/>
          <w:sz w:val="24"/>
          <w:szCs w:val="24"/>
          <w:highlight w:val="none"/>
        </w:rPr>
        <w:t>编制</w:t>
      </w:r>
      <w:r>
        <w:rPr>
          <w:rFonts w:hint="eastAsia" w:asciiTheme="minorEastAsia" w:hAnsiTheme="minorEastAsia" w:eastAsiaTheme="minorEastAsia" w:cstheme="minorEastAsia"/>
          <w:color w:val="auto"/>
          <w:sz w:val="24"/>
          <w:szCs w:val="24"/>
          <w:highlight w:val="none"/>
          <w:u w:val="single"/>
        </w:rPr>
        <w:t>陈家祠片区老旧小区微改造项目实施方案编制</w:t>
      </w:r>
      <w:r>
        <w:rPr>
          <w:rFonts w:hint="eastAsia" w:asciiTheme="minorEastAsia" w:hAnsiTheme="minorEastAsia" w:eastAsiaTheme="minorEastAsia" w:cstheme="minorEastAsia"/>
          <w:color w:val="auto"/>
          <w:sz w:val="24"/>
          <w:szCs w:val="24"/>
          <w:highlight w:val="none"/>
        </w:rPr>
        <w:t>工作，并支付相应的服务报酬。根据《中华人民共和国民法典》及相关法律法规的规定，双方经过平等协商，达成如下合同条款，共同遵守。</w:t>
      </w:r>
    </w:p>
    <w:p w14:paraId="5A7B2DFF">
      <w:pPr>
        <w:spacing w:line="360" w:lineRule="auto"/>
        <w:rPr>
          <w:rFonts w:asciiTheme="minorEastAsia" w:hAnsiTheme="minorEastAsia" w:eastAsiaTheme="minorEastAsia" w:cstheme="minorEastAsia"/>
          <w:color w:val="auto"/>
          <w:sz w:val="28"/>
          <w:szCs w:val="28"/>
          <w:highlight w:val="none"/>
        </w:rPr>
      </w:pPr>
    </w:p>
    <w:p w14:paraId="3381648F">
      <w:pPr>
        <w:pStyle w:val="3"/>
        <w:spacing w:before="312" w:beforeLines="100" w:after="156" w:afterLines="50" w:line="360" w:lineRule="auto"/>
        <w:rPr>
          <w:rFonts w:ascii="宋体" w:hAnsi="宋体"/>
          <w:color w:val="auto"/>
          <w:sz w:val="24"/>
          <w:szCs w:val="24"/>
          <w:highlight w:val="none"/>
        </w:rPr>
      </w:pPr>
      <w:bookmarkStart w:id="2" w:name="_Toc301352977"/>
      <w:r>
        <w:rPr>
          <w:rFonts w:hint="eastAsia" w:asciiTheme="minorEastAsia" w:hAnsiTheme="minorEastAsia" w:eastAsiaTheme="minorEastAsia" w:cstheme="minorEastAsia"/>
          <w:color w:val="auto"/>
          <w:sz w:val="24"/>
          <w:szCs w:val="24"/>
          <w:highlight w:val="none"/>
        </w:rPr>
        <w:t>第一条 项目名称：</w:t>
      </w:r>
      <w:r>
        <w:rPr>
          <w:rFonts w:hint="eastAsia" w:asciiTheme="minorEastAsia" w:hAnsiTheme="minorEastAsia" w:eastAsiaTheme="minorEastAsia" w:cstheme="minorEastAsia"/>
          <w:b w:val="0"/>
          <w:bCs w:val="0"/>
          <w:color w:val="auto"/>
          <w:sz w:val="24"/>
          <w:szCs w:val="24"/>
          <w:highlight w:val="none"/>
          <w:u w:val="single"/>
        </w:rPr>
        <w:t>陈家祠片区老旧小区微改造项目</w:t>
      </w:r>
      <w:r>
        <w:rPr>
          <w:rFonts w:hint="eastAsia" w:asciiTheme="minorEastAsia" w:hAnsiTheme="minorEastAsia" w:eastAsiaTheme="minorEastAsia" w:cstheme="minorEastAsia"/>
          <w:b w:val="0"/>
          <w:bCs w:val="0"/>
          <w:color w:val="auto"/>
          <w:kern w:val="2"/>
          <w:sz w:val="24"/>
          <w:szCs w:val="24"/>
          <w:highlight w:val="none"/>
          <w:u w:val="single"/>
        </w:rPr>
        <w:t>实施方案</w:t>
      </w:r>
      <w:r>
        <w:rPr>
          <w:rFonts w:hint="eastAsia" w:asciiTheme="minorEastAsia" w:hAnsiTheme="minorEastAsia" w:eastAsiaTheme="minorEastAsia" w:cstheme="minorEastAsia"/>
          <w:b w:val="0"/>
          <w:bCs w:val="0"/>
          <w:color w:val="auto"/>
          <w:sz w:val="24"/>
          <w:szCs w:val="24"/>
          <w:highlight w:val="none"/>
          <w:u w:val="single"/>
        </w:rPr>
        <w:t>编制</w:t>
      </w:r>
      <w:bookmarkEnd w:id="2"/>
      <w:r>
        <w:rPr>
          <w:rFonts w:hint="eastAsia"/>
          <w:b w:val="0"/>
          <w:bCs w:val="0"/>
          <w:color w:val="auto"/>
          <w:sz w:val="24"/>
          <w:szCs w:val="24"/>
          <w:highlight w:val="none"/>
          <w:u w:val="single"/>
        </w:rPr>
        <w:t>。</w:t>
      </w:r>
    </w:p>
    <w:p w14:paraId="0E4ECD8F">
      <w:pPr>
        <w:pStyle w:val="3"/>
        <w:spacing w:before="312" w:beforeLines="100" w:after="156" w:afterLines="50" w:line="360" w:lineRule="auto"/>
        <w:rPr>
          <w:rFonts w:ascii="宋体" w:hAnsi="宋体"/>
          <w:color w:val="auto"/>
          <w:sz w:val="24"/>
          <w:szCs w:val="24"/>
          <w:highlight w:val="none"/>
        </w:rPr>
      </w:pPr>
      <w:bookmarkStart w:id="3" w:name="_Toc301352978"/>
      <w:r>
        <w:rPr>
          <w:rFonts w:ascii="宋体" w:hAnsi="宋体"/>
          <w:color w:val="auto"/>
          <w:sz w:val="24"/>
          <w:szCs w:val="24"/>
          <w:highlight w:val="none"/>
        </w:rPr>
        <w:t>第二条</w:t>
      </w:r>
      <w:r>
        <w:rPr>
          <w:rFonts w:hint="eastAsia" w:ascii="宋体" w:hAnsi="宋体"/>
          <w:color w:val="auto"/>
          <w:sz w:val="24"/>
          <w:szCs w:val="24"/>
          <w:highlight w:val="none"/>
        </w:rPr>
        <w:t xml:space="preserve"> 工作</w:t>
      </w:r>
      <w:r>
        <w:rPr>
          <w:rFonts w:ascii="宋体" w:hAnsi="宋体"/>
          <w:color w:val="auto"/>
          <w:sz w:val="24"/>
          <w:szCs w:val="24"/>
          <w:highlight w:val="none"/>
        </w:rPr>
        <w:t>内容和要求</w:t>
      </w:r>
      <w:bookmarkEnd w:id="3"/>
    </w:p>
    <w:p w14:paraId="4355CF5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一、工作</w:t>
      </w:r>
      <w:r>
        <w:rPr>
          <w:rFonts w:ascii="宋体" w:hAnsi="宋体"/>
          <w:color w:val="auto"/>
          <w:sz w:val="24"/>
          <w:szCs w:val="24"/>
          <w:highlight w:val="none"/>
        </w:rPr>
        <w:t>内容</w:t>
      </w:r>
      <w:r>
        <w:rPr>
          <w:rFonts w:hint="eastAsia" w:ascii="宋体" w:hAnsi="宋体"/>
          <w:color w:val="auto"/>
          <w:sz w:val="24"/>
          <w:szCs w:val="24"/>
          <w:highlight w:val="none"/>
        </w:rPr>
        <w:t>及成果</w:t>
      </w:r>
      <w:r>
        <w:rPr>
          <w:rFonts w:ascii="宋体" w:hAnsi="宋体"/>
          <w:color w:val="auto"/>
          <w:sz w:val="24"/>
          <w:szCs w:val="24"/>
          <w:highlight w:val="none"/>
        </w:rPr>
        <w:t>：</w:t>
      </w:r>
    </w:p>
    <w:p w14:paraId="08DEF62E">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为更好地保护、挖掘和传承荔湾区陈家祠堂优秀历史文化遗产，弘扬民族传统文化，编制陈家祠片区老旧小区微改造项目实施方案。项目南至中山七路，北至龙源新街-金雁里，西至荔湾路，东至康王北路，总面积约14.0389公顷。</w:t>
      </w:r>
    </w:p>
    <w:p w14:paraId="2A6B931A">
      <w:pPr>
        <w:pStyle w:val="46"/>
        <w:spacing w:before="0" w:beforeAutospacing="0" w:after="0" w:afterAutospacing="0" w:line="360" w:lineRule="auto"/>
        <w:ind w:firstLine="490"/>
        <w:rPr>
          <w:rFonts w:ascii="等线" w:eastAsia="等线"/>
          <w:color w:val="auto"/>
          <w:highlight w:val="none"/>
        </w:rPr>
      </w:pPr>
      <w:r>
        <w:rPr>
          <w:rFonts w:hint="eastAsia"/>
          <w:b/>
          <w:bCs/>
          <w:color w:val="auto"/>
          <w:highlight w:val="none"/>
        </w:rPr>
        <w:t>（一）现状研究</w:t>
      </w:r>
    </w:p>
    <w:p w14:paraId="7A86DA56">
      <w:pPr>
        <w:pStyle w:val="46"/>
        <w:spacing w:before="0" w:beforeAutospacing="0" w:after="0" w:afterAutospacing="0" w:line="360" w:lineRule="auto"/>
        <w:ind w:firstLine="490"/>
        <w:rPr>
          <w:color w:val="auto"/>
          <w:highlight w:val="none"/>
        </w:rPr>
      </w:pPr>
      <w:r>
        <w:rPr>
          <w:rFonts w:hint="eastAsia"/>
          <w:color w:val="auto"/>
          <w:highlight w:val="none"/>
        </w:rPr>
        <w:t>1、通过实地调研，以及相关部门、街道及居民访谈，了解陈家祠片区文物保护、文旅功能、公共服务配套功能需求缺口。</w:t>
      </w:r>
    </w:p>
    <w:p w14:paraId="57BC61EE">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2、开展现状摸查，分析整理陈家祠片区相关基础数据和资料，主要包括历史文化遗产、房屋、现状市政基础设施及管网、公服配套设施等资料，梳理陈家祠片区范围内的文物保护要求和待改造房屋状况，包括公房的位置、面积、使用性质等。</w:t>
      </w:r>
    </w:p>
    <w:p w14:paraId="12CD9F42">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（二）总体方案设计</w:t>
      </w:r>
    </w:p>
    <w:p w14:paraId="283243AB">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1、概念规划：对陈家祠总体片区形成整体概念规划及方案设计整合，包括北片区老旧小区、东广场、西广场及南广场区域。</w:t>
      </w:r>
    </w:p>
    <w:p w14:paraId="5F2EDA9F">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2、概念方案设计：对陈家祠北片区老旧小区、西广场及南广场进行整体方案设计，并统筹整合东广场已有方案设计，合理优化整体功能分区，形成重点地区节点设计，盘点及优化公共服务设施布局，提升展示策划。</w:t>
      </w:r>
    </w:p>
    <w:p w14:paraId="7E6639A8">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（三）专项研究与策略</w:t>
      </w:r>
    </w:p>
    <w:p w14:paraId="04A37B39">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1、历史文化遗产保护利用：复核陈家祠片区内文物、历史建筑、传统风貌建筑、历史环境要素等文化遗产，落实文物保护要求，结合片区功能活化定位，制定适合文化遗产及历史要素的保护利用及展示方案。</w:t>
      </w:r>
    </w:p>
    <w:p w14:paraId="1AD432E8">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2、公共空间提升与公共服务设施、基础设施优化：全面盘点片区内公共空间现状和问题，包括东广场、西广场及南广场片区对陈家祠堂的文旅服务功能提升，北片区老旧小区按照完整社区、绿色社区、智慧社区标准，提出片区公共空间系统的提升策略和公共服务设施、基础设施布点规划。</w:t>
      </w:r>
    </w:p>
    <w:p w14:paraId="4A94CC74">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3、交通组织优化：针对陈家祠片区交通组织特点，提出旅游交通、公共交通、静态交通的疏解提升方案，进行相关出行模式的研究。</w:t>
      </w:r>
    </w:p>
    <w:p w14:paraId="0F3135A3">
      <w:pPr>
        <w:pStyle w:val="46"/>
        <w:spacing w:before="0" w:beforeAutospacing="0" w:after="0" w:afterAutospacing="0" w:line="360" w:lineRule="auto"/>
        <w:ind w:firstLine="490"/>
        <w:rPr>
          <w:rFonts w:hint="eastAsia"/>
          <w:color w:val="auto"/>
          <w:highlight w:val="none"/>
        </w:rPr>
      </w:pPr>
      <w:r>
        <w:rPr>
          <w:rFonts w:hint="eastAsia"/>
          <w:color w:val="auto"/>
          <w:highlight w:val="none"/>
        </w:rPr>
        <w:t>4、既有建筑活化利用专章：涉及既有建筑活化利用的，应按《广州市老旧小区既有建筑活化利用实施办法》有关规定编制既有建筑活化利用专章，按要求明确活化利用的建筑范围、功能业态导向、设计指引、相关消防设计安全评估、环境条件相符性分析、周边交通及市政设施承载力分析等内容。</w:t>
      </w:r>
    </w:p>
    <w:p w14:paraId="11F17573">
      <w:pPr>
        <w:pStyle w:val="46"/>
        <w:spacing w:before="0" w:beforeAutospacing="0" w:after="0" w:afterAutospacing="0" w:line="360" w:lineRule="auto"/>
        <w:ind w:firstLine="490"/>
        <w:rPr>
          <w:rFonts w:hint="eastAsia"/>
          <w:color w:val="auto"/>
          <w:highlight w:val="none"/>
        </w:rPr>
      </w:pPr>
      <w:r>
        <w:rPr>
          <w:rFonts w:hint="eastAsia"/>
          <w:color w:val="auto"/>
          <w:highlight w:val="none"/>
        </w:rPr>
        <w:t>5、存量公有房屋利用专章：涉及利用存量公有房屋的，应按《关于整合利用存量公有房屋促进城镇老旧小区改造的意见》有关规定编制存量公有房屋整合利用专章，按要求明确存量公有房屋使用范围基本信息、使用功能及日常管养要求、使用期限、整合接管运营主体、需求评估方法及标准、管理方式及责任等内容。</w:t>
      </w:r>
    </w:p>
    <w:p w14:paraId="30543D02">
      <w:pPr>
        <w:pStyle w:val="46"/>
        <w:spacing w:before="0" w:beforeAutospacing="0" w:after="0" w:afterAutospacing="0" w:line="360" w:lineRule="auto"/>
        <w:ind w:firstLine="490"/>
        <w:rPr>
          <w:rFonts w:hint="eastAsia"/>
          <w:color w:val="auto"/>
          <w:highlight w:val="none"/>
        </w:rPr>
      </w:pPr>
      <w:r>
        <w:rPr>
          <w:rFonts w:hint="eastAsia"/>
          <w:color w:val="auto"/>
          <w:highlight w:val="none"/>
        </w:rPr>
        <w:t>6、社会资本引入专章：需引入社会资本参与老旧小区改造的，应按照《广州市引入社会资本参与城镇老旧小区改造试行办法》有关规定编制社会资本引入专章，按要求明确招标内容、社会资本参与改造的方式及内容、项目概算总投资及项目收益分配方案、政府配置的资源、社会资本可享受的优惠支持政策、项目发包方式等。</w:t>
      </w:r>
    </w:p>
    <w:p w14:paraId="1BC76EA4">
      <w:pPr>
        <w:pStyle w:val="46"/>
        <w:spacing w:before="0" w:beforeAutospacing="0" w:after="0" w:afterAutospacing="0" w:line="360" w:lineRule="auto"/>
        <w:ind w:firstLine="490"/>
        <w:rPr>
          <w:rFonts w:hint="eastAsia"/>
          <w:color w:val="auto"/>
          <w:highlight w:val="none"/>
        </w:rPr>
      </w:pPr>
      <w:r>
        <w:rPr>
          <w:rFonts w:hint="eastAsia"/>
          <w:color w:val="auto"/>
          <w:highlight w:val="none"/>
        </w:rPr>
        <w:t>7、树木保护专章：涉及树木迁移、补种、绿化设计的，应按《广州市城市树木保护管理规定（试行）》《广州市城市树木保护专章编制指引》有关规定编制树木保护专章，按要求明确树木资源调查、方案比选和总体保护利用概况、迁移利用等内容。</w:t>
      </w:r>
    </w:p>
    <w:p w14:paraId="7B6EBBB5">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（四）近期实施方案</w:t>
      </w:r>
    </w:p>
    <w:p w14:paraId="19CC2630">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基于陈家祠片区整体实施方案，梳理东广场、西广场、南广场及北片区老旧小区近期可实施项目。其中包括东广场整体环境提升，陈家祠堂前广场片区景观一体化提升与南广场交通组织优化，西广场景观提升及交通提升工程及北片区老旧小区微改造与第五立面提升实施方案。</w:t>
      </w:r>
    </w:p>
    <w:p w14:paraId="4F5EBE75">
      <w:pPr>
        <w:pStyle w:val="46"/>
        <w:spacing w:before="0" w:beforeAutospacing="0" w:after="0" w:afterAutospacing="0" w:line="360" w:lineRule="auto"/>
        <w:ind w:firstLine="490"/>
        <w:rPr>
          <w:rFonts w:ascii="等线" w:eastAsia="等线"/>
          <w:color w:val="auto"/>
          <w:highlight w:val="none"/>
        </w:rPr>
      </w:pPr>
      <w:r>
        <w:rPr>
          <w:rFonts w:hint="eastAsia"/>
          <w:color w:val="auto"/>
          <w:highlight w:val="none"/>
        </w:rPr>
        <w:t>（五）远期实施方案</w:t>
      </w:r>
    </w:p>
    <w:p w14:paraId="4906AA49">
      <w:pPr>
        <w:widowControl/>
        <w:topLinePunct/>
        <w:snapToGrid w:val="0"/>
        <w:spacing w:line="360" w:lineRule="auto"/>
        <w:ind w:firstLine="489" w:firstLineChars="204"/>
        <w:jc w:val="left"/>
        <w:rPr>
          <w:rFonts w:asciiTheme="minorEastAsia" w:hAnsiTheme="minorEastAsia" w:eastAsiaTheme="minorEastAsia" w:cstheme="minorEastAsia"/>
          <w:color w:val="auto"/>
          <w:kern w:val="0"/>
          <w:sz w:val="24"/>
          <w:szCs w:val="24"/>
          <w:highlight w:val="none"/>
          <w:shd w:val="clear" w:color="auto" w:fill="FFFFFF"/>
        </w:rPr>
      </w:pPr>
      <w:r>
        <w:rPr>
          <w:rFonts w:hint="eastAsia"/>
          <w:color w:val="auto"/>
          <w:sz w:val="24"/>
          <w:szCs w:val="24"/>
          <w:highlight w:val="none"/>
        </w:rPr>
        <w:t> 基于陈家祠片区整体实施方案，面向整体规划研究范围，形成远期发展规划实施方案，包括东广场远期提升方案、西广场及荔湾体育馆协同提升、北片区老旧小区民生基础设施微改造、北片区重点活化片区协同五行科技创意园提升改造。</w:t>
      </w:r>
    </w:p>
    <w:p w14:paraId="159E4BD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2.工作成果</w:t>
      </w:r>
    </w:p>
    <w:p w14:paraId="19754C1D">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提交通过专家评审及根据相关审批程序批复同意实施的《陈家祠片区老旧小区微改造项目实施方案》成果文本。</w:t>
      </w:r>
    </w:p>
    <w:p w14:paraId="3AD83ADC">
      <w:pPr>
        <w:widowControl/>
        <w:topLinePunct/>
        <w:spacing w:line="360" w:lineRule="auto"/>
        <w:ind w:firstLine="489" w:firstLineChars="204"/>
        <w:jc w:val="left"/>
        <w:rPr>
          <w:rFonts w:ascii="宋体" w:hAnsi="宋体" w:cs="宋体"/>
          <w:color w:val="auto"/>
          <w:sz w:val="24"/>
          <w:szCs w:val="24"/>
          <w:highlight w:val="none"/>
        </w:rPr>
      </w:pPr>
      <w:r>
        <w:rPr>
          <w:rFonts w:hint="eastAsia" w:ascii="宋体" w:hAnsi="宋体" w:cs="宋体"/>
          <w:color w:val="auto"/>
          <w:sz w:val="24"/>
          <w:szCs w:val="24"/>
          <w:highlight w:val="none"/>
        </w:rPr>
        <w:t>二、相关要求：</w:t>
      </w:r>
    </w:p>
    <w:p w14:paraId="0E1D6FD8">
      <w:pPr>
        <w:widowControl/>
        <w:topLinePunct/>
        <w:spacing w:line="360" w:lineRule="auto"/>
        <w:ind w:firstLine="489" w:firstLineChars="204"/>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⑴实施方案编制：乙方应在</w:t>
      </w:r>
      <w:r>
        <w:rPr>
          <w:rFonts w:hint="eastAsia" w:asciiTheme="minorEastAsia" w:hAnsiTheme="minorEastAsia" w:cstheme="minorEastAsia"/>
          <w:color w:val="auto"/>
          <w:kern w:val="0"/>
          <w:sz w:val="24"/>
          <w:szCs w:val="24"/>
          <w:highlight w:val="none"/>
          <w:shd w:val="clear" w:color="auto" w:fill="FFFFFF"/>
        </w:rPr>
        <w:t>成交</w:t>
      </w:r>
      <w:r>
        <w:rPr>
          <w:rFonts w:hint="eastAsia" w:asciiTheme="minorEastAsia" w:hAnsiTheme="minorEastAsia" w:eastAsiaTheme="minorEastAsia" w:cstheme="minorEastAsia"/>
          <w:color w:val="auto"/>
          <w:kern w:val="0"/>
          <w:sz w:val="24"/>
          <w:szCs w:val="24"/>
          <w:highlight w:val="none"/>
          <w:shd w:val="clear" w:color="auto" w:fill="FFFFFF"/>
        </w:rPr>
        <w:t>通知书发出后</w:t>
      </w:r>
      <w:r>
        <w:rPr>
          <w:rFonts w:hint="eastAsia" w:asciiTheme="minorEastAsia" w:hAnsiTheme="minorEastAsia" w:cstheme="minorEastAsia"/>
          <w:color w:val="auto"/>
          <w:kern w:val="0"/>
          <w:sz w:val="24"/>
          <w:szCs w:val="24"/>
          <w:highlight w:val="none"/>
          <w:u w:val="single"/>
          <w:shd w:val="clear" w:color="auto" w:fill="FFFFFF"/>
        </w:rPr>
        <w:t xml:space="preserve"> 10 </w:t>
      </w:r>
      <w:r>
        <w:rPr>
          <w:rFonts w:hint="eastAsia" w:asciiTheme="minorEastAsia" w:hAnsiTheme="minorEastAsia" w:eastAsiaTheme="minorEastAsia" w:cstheme="minorEastAsia"/>
          <w:color w:val="auto"/>
          <w:kern w:val="0"/>
          <w:sz w:val="24"/>
          <w:szCs w:val="24"/>
          <w:highlight w:val="none"/>
          <w:shd w:val="clear" w:color="auto" w:fill="FFFFFF"/>
        </w:rPr>
        <w:t>个日历天内完成</w:t>
      </w:r>
      <w:r>
        <w:rPr>
          <w:rFonts w:hint="eastAsia" w:asciiTheme="minorEastAsia" w:hAnsiTheme="minorEastAsia" w:cstheme="minorEastAsia"/>
          <w:color w:val="auto"/>
          <w:kern w:val="0"/>
          <w:sz w:val="24"/>
          <w:szCs w:val="24"/>
          <w:highlight w:val="none"/>
          <w:shd w:val="clear" w:color="auto" w:fill="FFFFFF"/>
        </w:rPr>
        <w:t>该实施方案</w:t>
      </w:r>
      <w:r>
        <w:rPr>
          <w:rFonts w:hint="eastAsia" w:asciiTheme="minorEastAsia" w:hAnsiTheme="minorEastAsia" w:eastAsiaTheme="minorEastAsia" w:cstheme="minorEastAsia"/>
          <w:color w:val="auto"/>
          <w:kern w:val="0"/>
          <w:sz w:val="24"/>
          <w:szCs w:val="24"/>
          <w:highlight w:val="none"/>
          <w:shd w:val="clear" w:color="auto" w:fill="FFFFFF"/>
        </w:rPr>
        <w:t>编制</w:t>
      </w:r>
      <w:r>
        <w:rPr>
          <w:rFonts w:hint="eastAsia" w:asciiTheme="minorEastAsia" w:hAnsiTheme="minorEastAsia" w:cstheme="minorEastAsia"/>
          <w:color w:val="auto"/>
          <w:kern w:val="0"/>
          <w:sz w:val="24"/>
          <w:szCs w:val="24"/>
          <w:highlight w:val="none"/>
          <w:shd w:val="clear" w:color="auto" w:fill="FFFFFF"/>
        </w:rPr>
        <w:t>成果。</w:t>
      </w:r>
    </w:p>
    <w:p w14:paraId="010C8FB7">
      <w:pPr>
        <w:spacing w:line="360" w:lineRule="auto"/>
        <w:ind w:firstLine="480" w:firstLineChars="200"/>
        <w:rPr>
          <w:color w:val="auto"/>
          <w:kern w:val="44"/>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FFFFF"/>
        </w:rPr>
        <w:t>⑵实施方案修改：有关部门进行评审后</w:t>
      </w:r>
      <w:r>
        <w:rPr>
          <w:rFonts w:hint="eastAsia" w:asciiTheme="minorEastAsia" w:hAnsiTheme="minorEastAsia" w:cstheme="minorEastAsia"/>
          <w:color w:val="auto"/>
          <w:kern w:val="0"/>
          <w:sz w:val="24"/>
          <w:szCs w:val="24"/>
          <w:highlight w:val="none"/>
          <w:u w:val="single"/>
          <w:shd w:val="clear" w:color="auto" w:fill="FFFFFF"/>
        </w:rPr>
        <w:t>5</w:t>
      </w:r>
      <w:r>
        <w:rPr>
          <w:rFonts w:hint="eastAsia" w:asciiTheme="minorEastAsia" w:hAnsiTheme="minorEastAsia" w:eastAsiaTheme="minorEastAsia" w:cstheme="minorEastAsia"/>
          <w:color w:val="auto"/>
          <w:kern w:val="0"/>
          <w:sz w:val="24"/>
          <w:szCs w:val="24"/>
          <w:highlight w:val="none"/>
          <w:shd w:val="clear" w:color="auto" w:fill="FFFFFF"/>
        </w:rPr>
        <w:t>个日历天内完成实施方案</w:t>
      </w:r>
      <w:r>
        <w:rPr>
          <w:rFonts w:hint="eastAsia" w:asciiTheme="minorEastAsia" w:hAnsiTheme="minorEastAsia" w:cstheme="minorEastAsia"/>
          <w:color w:val="auto"/>
          <w:kern w:val="0"/>
          <w:sz w:val="24"/>
          <w:szCs w:val="24"/>
          <w:highlight w:val="none"/>
          <w:shd w:val="clear" w:color="auto" w:fill="FFFFFF"/>
        </w:rPr>
        <w:t>成果的</w:t>
      </w:r>
      <w:r>
        <w:rPr>
          <w:rFonts w:hint="eastAsia" w:asciiTheme="minorEastAsia" w:hAnsiTheme="minorEastAsia" w:eastAsiaTheme="minorEastAsia" w:cstheme="minorEastAsia"/>
          <w:color w:val="auto"/>
          <w:kern w:val="0"/>
          <w:sz w:val="24"/>
          <w:szCs w:val="24"/>
          <w:highlight w:val="none"/>
          <w:shd w:val="clear" w:color="auto" w:fill="FFFFFF"/>
        </w:rPr>
        <w:t>修改。期限结束后，若发现实施方案</w:t>
      </w:r>
      <w:r>
        <w:rPr>
          <w:rFonts w:hint="eastAsia" w:asciiTheme="minorEastAsia" w:hAnsiTheme="minorEastAsia" w:cstheme="minorEastAsia"/>
          <w:color w:val="auto"/>
          <w:kern w:val="0"/>
          <w:sz w:val="24"/>
          <w:szCs w:val="24"/>
          <w:highlight w:val="none"/>
          <w:shd w:val="clear" w:color="auto" w:fill="FFFFFF"/>
        </w:rPr>
        <w:t>成果</w:t>
      </w:r>
      <w:r>
        <w:rPr>
          <w:rFonts w:hint="eastAsia" w:asciiTheme="minorEastAsia" w:hAnsiTheme="minorEastAsia" w:eastAsiaTheme="minorEastAsia" w:cstheme="minorEastAsia"/>
          <w:color w:val="auto"/>
          <w:kern w:val="0"/>
          <w:sz w:val="24"/>
          <w:szCs w:val="24"/>
          <w:highlight w:val="none"/>
          <w:shd w:val="clear" w:color="auto" w:fill="FFFFFF"/>
        </w:rPr>
        <w:t>仍需修改、调整，乙方应继续提供有关服务。</w:t>
      </w:r>
    </w:p>
    <w:p w14:paraId="28DD8EF3">
      <w:pPr>
        <w:spacing w:line="360" w:lineRule="auto"/>
        <w:ind w:firstLine="480" w:firstLineChars="200"/>
        <w:rPr>
          <w:color w:val="auto"/>
          <w:kern w:val="44"/>
          <w:sz w:val="24"/>
          <w:szCs w:val="24"/>
          <w:highlight w:val="none"/>
          <w:u w:val="single"/>
        </w:rPr>
      </w:pPr>
      <w:r>
        <w:rPr>
          <w:rFonts w:hint="eastAsia" w:ascii="宋体" w:hAnsi="宋体"/>
          <w:color w:val="auto"/>
          <w:sz w:val="24"/>
          <w:szCs w:val="24"/>
          <w:highlight w:val="none"/>
        </w:rPr>
        <w:t>三、服务方式</w:t>
      </w:r>
      <w:r>
        <w:rPr>
          <w:rFonts w:ascii="宋体" w:hAnsi="宋体"/>
          <w:color w:val="auto"/>
          <w:sz w:val="24"/>
          <w:szCs w:val="24"/>
          <w:highlight w:val="none"/>
        </w:rPr>
        <w:t>：</w:t>
      </w:r>
      <w:r>
        <w:rPr>
          <w:rFonts w:hint="eastAsia"/>
          <w:color w:val="auto"/>
          <w:sz w:val="24"/>
          <w:szCs w:val="24"/>
          <w:highlight w:val="none"/>
        </w:rPr>
        <w:t>统筹兼顾荔湾旧城整体活化提升要求、历史文化资源本底与发展条件、群众改造意愿摸查情况，总体谋划陈家祠片区提升及周边老旧小区微改造项目，明确整体空间与风貌管控与织补、片区功能活化利用、建筑保护与活化、道路与交通设施优化、老旧小区完善提升措施。基于现状摸查与权属情况，形成近远结合的建设实施计划与项目库。</w:t>
      </w:r>
    </w:p>
    <w:p w14:paraId="477E243F">
      <w:pPr>
        <w:pStyle w:val="3"/>
        <w:spacing w:before="312" w:beforeLines="100" w:after="156" w:afterLines="50" w:line="360" w:lineRule="auto"/>
        <w:rPr>
          <w:rFonts w:ascii="宋体" w:hAnsi="宋体"/>
          <w:color w:val="auto"/>
          <w:sz w:val="24"/>
          <w:szCs w:val="24"/>
          <w:highlight w:val="none"/>
        </w:rPr>
      </w:pPr>
      <w:r>
        <w:rPr>
          <w:rFonts w:ascii="宋体" w:hAnsi="宋体"/>
          <w:color w:val="auto"/>
          <w:sz w:val="24"/>
          <w:szCs w:val="24"/>
          <w:highlight w:val="none"/>
        </w:rPr>
        <w:t>第三条</w:t>
      </w:r>
      <w:r>
        <w:rPr>
          <w:rFonts w:hint="eastAsia" w:ascii="宋体" w:hAnsi="宋体"/>
          <w:color w:val="auto"/>
          <w:sz w:val="24"/>
          <w:szCs w:val="24"/>
          <w:highlight w:val="none"/>
        </w:rPr>
        <w:t xml:space="preserve"> 进度</w:t>
      </w:r>
      <w:r>
        <w:rPr>
          <w:rFonts w:ascii="宋体" w:hAnsi="宋体"/>
          <w:color w:val="auto"/>
          <w:sz w:val="24"/>
          <w:szCs w:val="24"/>
          <w:highlight w:val="none"/>
        </w:rPr>
        <w:t>要求</w:t>
      </w:r>
    </w:p>
    <w:p w14:paraId="27C0FE8C">
      <w:pPr>
        <w:autoSpaceDE w:val="0"/>
        <w:autoSpaceDN w:val="0"/>
        <w:adjustRightIn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乙方应在</w:t>
      </w:r>
      <w:r>
        <w:rPr>
          <w:rFonts w:hint="eastAsia" w:asciiTheme="minorEastAsia" w:hAnsiTheme="minorEastAsia" w:cstheme="minorEastAsia"/>
          <w:color w:val="auto"/>
          <w:kern w:val="0"/>
          <w:sz w:val="24"/>
          <w:szCs w:val="24"/>
          <w:highlight w:val="none"/>
          <w:shd w:val="clear" w:color="auto" w:fill="FFFFFF"/>
        </w:rPr>
        <w:t>成交</w:t>
      </w:r>
      <w:r>
        <w:rPr>
          <w:rFonts w:hint="eastAsia" w:asciiTheme="minorEastAsia" w:hAnsiTheme="minorEastAsia" w:eastAsiaTheme="minorEastAsia" w:cstheme="minorEastAsia"/>
          <w:color w:val="auto"/>
          <w:kern w:val="0"/>
          <w:sz w:val="24"/>
          <w:szCs w:val="24"/>
          <w:highlight w:val="none"/>
          <w:shd w:val="clear" w:color="auto" w:fill="FFFFFF"/>
        </w:rPr>
        <w:t>通知书发出后</w:t>
      </w:r>
      <w:r>
        <w:rPr>
          <w:rFonts w:hint="eastAsia" w:ascii="宋体" w:hAnsi="宋体"/>
          <w:color w:val="auto"/>
          <w:sz w:val="24"/>
          <w:szCs w:val="24"/>
          <w:highlight w:val="none"/>
          <w:u w:val="single"/>
        </w:rPr>
        <w:t xml:space="preserve"> 10 </w:t>
      </w:r>
      <w:r>
        <w:rPr>
          <w:rFonts w:hint="eastAsia" w:ascii="宋体" w:hAnsi="宋体"/>
          <w:color w:val="auto"/>
          <w:sz w:val="24"/>
          <w:szCs w:val="24"/>
          <w:highlight w:val="none"/>
        </w:rPr>
        <w:t>日内编制成果报告</w:t>
      </w:r>
      <w:r>
        <w:rPr>
          <w:rFonts w:hint="eastAsia" w:asciiTheme="minorEastAsia" w:hAnsiTheme="minorEastAsia" w:eastAsiaTheme="minorEastAsia" w:cstheme="minorEastAsia"/>
          <w:color w:val="auto"/>
          <w:kern w:val="0"/>
          <w:sz w:val="24"/>
          <w:szCs w:val="24"/>
          <w:highlight w:val="none"/>
          <w:shd w:val="clear" w:color="auto" w:fill="FFFFFF"/>
        </w:rPr>
        <w:t>。成果报告</w:t>
      </w:r>
      <w:r>
        <w:rPr>
          <w:rFonts w:hint="eastAsia" w:ascii="宋体" w:hAnsi="宋体"/>
          <w:color w:val="auto"/>
          <w:sz w:val="24"/>
          <w:szCs w:val="24"/>
          <w:highlight w:val="none"/>
        </w:rPr>
        <w:t>通过专家评审及根据</w:t>
      </w:r>
      <w:r>
        <w:rPr>
          <w:rFonts w:hint="eastAsia" w:asciiTheme="minorEastAsia" w:hAnsiTheme="minorEastAsia" w:eastAsiaTheme="minorEastAsia" w:cstheme="minorEastAsia"/>
          <w:color w:val="auto"/>
          <w:kern w:val="0"/>
          <w:sz w:val="24"/>
          <w:szCs w:val="24"/>
          <w:highlight w:val="none"/>
          <w:shd w:val="clear" w:color="auto" w:fill="FFFFFF"/>
        </w:rPr>
        <w:t>相关审批程序批复</w:t>
      </w:r>
      <w:r>
        <w:rPr>
          <w:rFonts w:hint="eastAsia" w:ascii="宋体" w:hAnsi="宋体"/>
          <w:color w:val="auto"/>
          <w:sz w:val="24"/>
          <w:szCs w:val="24"/>
          <w:highlight w:val="none"/>
        </w:rPr>
        <w:t>同意实施，并根据修改意见在甲方要求的期限内提交最终成果报告。</w:t>
      </w:r>
    </w:p>
    <w:p w14:paraId="726F387E">
      <w:pPr>
        <w:pStyle w:val="3"/>
        <w:spacing w:before="312" w:beforeLines="100" w:after="156" w:afterLines="50" w:line="360" w:lineRule="auto"/>
        <w:rPr>
          <w:rFonts w:ascii="宋体" w:hAnsi="宋体"/>
          <w:color w:val="auto"/>
          <w:sz w:val="24"/>
          <w:szCs w:val="24"/>
          <w:highlight w:val="none"/>
        </w:rPr>
      </w:pPr>
      <w:r>
        <w:rPr>
          <w:rFonts w:hint="eastAsia" w:ascii="宋体" w:hAnsi="宋体"/>
          <w:color w:val="auto"/>
          <w:sz w:val="24"/>
          <w:szCs w:val="24"/>
          <w:highlight w:val="none"/>
        </w:rPr>
        <w:t>第四条 技术人员组成</w:t>
      </w:r>
    </w:p>
    <w:p w14:paraId="6C5189FC">
      <w:pPr>
        <w:autoSpaceDE w:val="0"/>
        <w:autoSpaceDN w:val="0"/>
        <w:adjustRightInd w:val="0"/>
        <w:spacing w:line="360" w:lineRule="auto"/>
        <w:ind w:firstLine="480" w:firstLineChars="200"/>
        <w:jc w:val="left"/>
        <w:rPr>
          <w:color w:val="auto"/>
          <w:highlight w:val="none"/>
        </w:rPr>
      </w:pPr>
      <w:r>
        <w:rPr>
          <w:rFonts w:ascii="宋体" w:hAnsi="宋体"/>
          <w:color w:val="auto"/>
          <w:sz w:val="24"/>
          <w:szCs w:val="24"/>
          <w:highlight w:val="none"/>
        </w:rPr>
        <w:t>乙方指派</w:t>
      </w:r>
      <w:r>
        <w:rPr>
          <w:rFonts w:hint="eastAsia" w:ascii="宋体" w:hAnsi="宋体"/>
          <w:color w:val="auto"/>
          <w:sz w:val="24"/>
          <w:szCs w:val="24"/>
          <w:highlight w:val="none"/>
          <w:u w:val="single"/>
        </w:rPr>
        <w:t xml:space="preserve">        </w:t>
      </w:r>
      <w:r>
        <w:rPr>
          <w:rFonts w:ascii="宋体" w:hAnsi="宋体"/>
          <w:color w:val="auto"/>
          <w:sz w:val="24"/>
          <w:szCs w:val="24"/>
          <w:highlight w:val="none"/>
        </w:rPr>
        <w:t>作为本项目的负责人</w:t>
      </w:r>
      <w:r>
        <w:rPr>
          <w:rFonts w:hint="eastAsia" w:ascii="宋体" w:hAnsi="宋体"/>
          <w:color w:val="auto"/>
          <w:sz w:val="24"/>
          <w:szCs w:val="24"/>
          <w:highlight w:val="none"/>
        </w:rPr>
        <w:t>（联系方式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），负责配合甲方完成该项目实施方案工作。</w:t>
      </w:r>
      <w:r>
        <w:rPr>
          <w:rFonts w:ascii="宋体" w:hAnsi="宋体"/>
          <w:color w:val="auto"/>
          <w:sz w:val="24"/>
          <w:szCs w:val="24"/>
          <w:highlight w:val="none"/>
        </w:rPr>
        <w:t>未经甲方同意，乙方不得随意更换</w:t>
      </w: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olor w:val="auto"/>
          <w:sz w:val="24"/>
          <w:szCs w:val="24"/>
          <w:highlight w:val="none"/>
        </w:rPr>
        <w:t>如果甲方认为乙方指派的项目负责人不能胜任的，乙方应当及时更换。</w:t>
      </w:r>
    </w:p>
    <w:p w14:paraId="0690621B">
      <w:pPr>
        <w:pStyle w:val="3"/>
        <w:spacing w:before="312" w:beforeLines="100" w:after="156" w:afterLines="50" w:line="360" w:lineRule="auto"/>
        <w:rPr>
          <w:rFonts w:ascii="宋体" w:hAnsi="宋体"/>
          <w:color w:val="auto"/>
          <w:sz w:val="24"/>
          <w:szCs w:val="24"/>
          <w:highlight w:val="none"/>
        </w:rPr>
      </w:pPr>
      <w:r>
        <w:rPr>
          <w:rFonts w:ascii="宋体" w:hAnsi="宋体"/>
          <w:color w:val="auto"/>
          <w:sz w:val="24"/>
          <w:szCs w:val="24"/>
          <w:highlight w:val="none"/>
        </w:rPr>
        <w:t>第</w:t>
      </w:r>
      <w:r>
        <w:rPr>
          <w:rFonts w:hint="eastAsia" w:ascii="宋体" w:hAnsi="宋体"/>
          <w:color w:val="auto"/>
          <w:sz w:val="24"/>
          <w:szCs w:val="24"/>
          <w:highlight w:val="none"/>
        </w:rPr>
        <w:t>五</w:t>
      </w:r>
      <w:r>
        <w:rPr>
          <w:rFonts w:ascii="宋体" w:hAnsi="宋体"/>
          <w:color w:val="auto"/>
          <w:sz w:val="24"/>
          <w:szCs w:val="24"/>
          <w:highlight w:val="none"/>
        </w:rPr>
        <w:t>条</w:t>
      </w:r>
      <w:r>
        <w:rPr>
          <w:rFonts w:hint="eastAsia" w:ascii="宋体" w:hAnsi="宋体"/>
          <w:color w:val="auto"/>
          <w:sz w:val="24"/>
          <w:szCs w:val="24"/>
          <w:highlight w:val="none"/>
        </w:rPr>
        <w:t xml:space="preserve"> 服务期限</w:t>
      </w:r>
    </w:p>
    <w:p w14:paraId="69D1B50C">
      <w:pPr>
        <w:spacing w:line="360" w:lineRule="auto"/>
        <w:ind w:firstLine="480" w:firstLineChars="200"/>
        <w:rPr>
          <w:rFonts w:ascii="宋体" w:hAnsi="宋体"/>
          <w:color w:val="auto"/>
          <w:sz w:val="24"/>
          <w:szCs w:val="24"/>
          <w:highlight w:val="none"/>
        </w:rPr>
      </w:pPr>
      <w:bookmarkStart w:id="4" w:name="_Toc301352980"/>
      <w:r>
        <w:rPr>
          <w:rFonts w:hint="eastAsia" w:asciiTheme="minorEastAsia" w:hAnsiTheme="minorEastAsia" w:eastAsiaTheme="minorEastAsia" w:cstheme="minorEastAsia"/>
          <w:color w:val="auto"/>
          <w:kern w:val="0"/>
          <w:sz w:val="24"/>
          <w:szCs w:val="24"/>
          <w:highlight w:val="none"/>
          <w:shd w:val="clear" w:color="auto" w:fill="FFFFFF"/>
        </w:rPr>
        <w:t>本编制成果通过专家评审及根据相关审批程序批复同意实施</w:t>
      </w:r>
      <w:r>
        <w:rPr>
          <w:rFonts w:hint="eastAsia" w:ascii="宋体" w:hAnsi="宋体"/>
          <w:color w:val="auto"/>
          <w:sz w:val="24"/>
          <w:szCs w:val="24"/>
          <w:highlight w:val="none"/>
        </w:rPr>
        <w:t>，</w:t>
      </w:r>
      <w:r>
        <w:rPr>
          <w:rFonts w:hint="eastAsia" w:asciiTheme="minorEastAsia" w:hAnsiTheme="minorEastAsia" w:eastAsiaTheme="minorEastAsia" w:cstheme="minorEastAsia"/>
          <w:color w:val="auto"/>
          <w:kern w:val="0"/>
          <w:sz w:val="24"/>
          <w:szCs w:val="24"/>
          <w:highlight w:val="none"/>
          <w:shd w:val="clear" w:color="auto" w:fill="FFFFFF"/>
        </w:rPr>
        <w:t>并由甲方确认。</w:t>
      </w:r>
    </w:p>
    <w:p w14:paraId="763B479D">
      <w:pPr>
        <w:pStyle w:val="3"/>
        <w:spacing w:before="312" w:beforeLines="100" w:after="156" w:afterLines="50" w:line="360" w:lineRule="auto"/>
        <w:rPr>
          <w:rFonts w:ascii="宋体" w:hAnsi="宋体"/>
          <w:color w:val="auto"/>
          <w:sz w:val="24"/>
          <w:szCs w:val="24"/>
          <w:highlight w:val="none"/>
        </w:rPr>
      </w:pPr>
      <w:r>
        <w:rPr>
          <w:rFonts w:ascii="宋体" w:hAnsi="宋体"/>
          <w:color w:val="auto"/>
          <w:sz w:val="24"/>
          <w:szCs w:val="24"/>
          <w:highlight w:val="none"/>
        </w:rPr>
        <w:t>第</w:t>
      </w:r>
      <w:r>
        <w:rPr>
          <w:rFonts w:hint="eastAsia" w:ascii="宋体" w:hAnsi="宋体"/>
          <w:color w:val="auto"/>
          <w:sz w:val="24"/>
          <w:szCs w:val="24"/>
          <w:highlight w:val="none"/>
        </w:rPr>
        <w:t>六</w:t>
      </w:r>
      <w:r>
        <w:rPr>
          <w:rFonts w:ascii="宋体" w:hAnsi="宋体"/>
          <w:color w:val="auto"/>
          <w:sz w:val="24"/>
          <w:szCs w:val="24"/>
          <w:highlight w:val="none"/>
        </w:rPr>
        <w:t>条</w:t>
      </w:r>
      <w:r>
        <w:rPr>
          <w:rFonts w:hint="eastAsia" w:ascii="宋体" w:hAnsi="宋体"/>
          <w:color w:val="auto"/>
          <w:sz w:val="24"/>
          <w:szCs w:val="24"/>
          <w:highlight w:val="none"/>
        </w:rPr>
        <w:t xml:space="preserve"> 相关</w:t>
      </w:r>
      <w:r>
        <w:rPr>
          <w:rFonts w:ascii="宋体" w:hAnsi="宋体"/>
          <w:color w:val="auto"/>
          <w:sz w:val="24"/>
          <w:szCs w:val="24"/>
          <w:highlight w:val="none"/>
        </w:rPr>
        <w:t>资料</w:t>
      </w:r>
      <w:bookmarkEnd w:id="4"/>
    </w:p>
    <w:p w14:paraId="5821BF00">
      <w:pPr>
        <w:snapToGrid w:val="0"/>
        <w:spacing w:before="120" w:line="360" w:lineRule="auto"/>
        <w:ind w:firstLine="480" w:firstLineChars="200"/>
        <w:rPr>
          <w:rFonts w:ascii="宋体" w:hAnsi="宋体"/>
          <w:color w:val="auto"/>
          <w:kern w:val="0"/>
          <w:sz w:val="24"/>
          <w:szCs w:val="24"/>
          <w:highlight w:val="none"/>
        </w:rPr>
      </w:pPr>
      <w:bookmarkStart w:id="5" w:name="_Toc301352981"/>
      <w:r>
        <w:rPr>
          <w:rFonts w:hint="eastAsia" w:ascii="宋体" w:hAnsi="宋体"/>
          <w:color w:val="auto"/>
          <w:sz w:val="24"/>
          <w:szCs w:val="24"/>
          <w:highlight w:val="none"/>
        </w:rPr>
        <w:t>一、甲方应向乙方</w:t>
      </w:r>
      <w:r>
        <w:rPr>
          <w:rFonts w:hint="eastAsia" w:ascii="宋体" w:hAnsi="宋体"/>
          <w:color w:val="auto"/>
          <w:kern w:val="0"/>
          <w:sz w:val="24"/>
          <w:szCs w:val="24"/>
          <w:highlight w:val="none"/>
        </w:rPr>
        <w:t>提供的资料如下：</w:t>
      </w:r>
    </w:p>
    <w:p w14:paraId="688CC35B">
      <w:pPr>
        <w:spacing w:line="360" w:lineRule="auto"/>
        <w:ind w:firstLine="480" w:firstLineChars="200"/>
        <w:rPr>
          <w:rFonts w:ascii="宋体" w:hAnsi="宋体"/>
          <w:color w:val="auto"/>
          <w:sz w:val="24"/>
          <w:szCs w:val="24"/>
          <w:highlight w:val="none"/>
        </w:rPr>
      </w:pPr>
      <w:r>
        <w:rPr>
          <w:rFonts w:ascii="宋体" w:hAnsi="宋体"/>
          <w:color w:val="auto"/>
          <w:kern w:val="0"/>
          <w:sz w:val="24"/>
          <w:szCs w:val="24"/>
          <w:highlight w:val="none"/>
        </w:rPr>
        <w:t xml:space="preserve">    </w:t>
      </w:r>
      <w:r>
        <w:rPr>
          <w:rFonts w:hint="eastAsia" w:ascii="宋体" w:hAnsi="宋体"/>
          <w:color w:val="auto"/>
          <w:sz w:val="24"/>
          <w:szCs w:val="24"/>
          <w:highlight w:val="none"/>
        </w:rPr>
        <w:t>⑴  本项目研究有关基础资料；</w:t>
      </w:r>
    </w:p>
    <w:p w14:paraId="199F0B09">
      <w:pPr>
        <w:spacing w:line="360" w:lineRule="auto"/>
        <w:ind w:firstLine="960" w:firstLineChars="400"/>
        <w:rPr>
          <w:rFonts w:ascii="宋体" w:hAnsi="宋体"/>
          <w:color w:val="auto"/>
          <w:sz w:val="24"/>
          <w:szCs w:val="24"/>
          <w:highlight w:val="none"/>
        </w:rPr>
      </w:pPr>
      <w:r>
        <w:rPr>
          <w:rFonts w:hint="eastAsia" w:ascii="宋体" w:hAnsi="宋体"/>
          <w:color w:val="auto"/>
          <w:sz w:val="24"/>
          <w:szCs w:val="24"/>
          <w:highlight w:val="none"/>
        </w:rPr>
        <w:t>⑵  本项目成交通知书；</w:t>
      </w:r>
    </w:p>
    <w:p w14:paraId="324ED400">
      <w:pPr>
        <w:adjustRightInd w:val="0"/>
        <w:snapToGrid w:val="0"/>
        <w:spacing w:before="60" w:line="360" w:lineRule="auto"/>
        <w:ind w:firstLine="480" w:firstLineChars="200"/>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甲方应于</w:t>
      </w:r>
      <w:r>
        <w:rPr>
          <w:rFonts w:hint="eastAsia" w:asciiTheme="minorEastAsia" w:hAnsiTheme="minorEastAsia" w:cstheme="minorEastAsia"/>
          <w:color w:val="auto"/>
          <w:kern w:val="0"/>
          <w:sz w:val="24"/>
          <w:szCs w:val="24"/>
          <w:highlight w:val="none"/>
          <w:shd w:val="clear" w:color="auto" w:fill="FFFFFF"/>
        </w:rPr>
        <w:t>成交</w:t>
      </w:r>
      <w:r>
        <w:rPr>
          <w:rFonts w:hint="eastAsia" w:asciiTheme="minorEastAsia" w:hAnsiTheme="minorEastAsia" w:eastAsiaTheme="minorEastAsia" w:cstheme="minorEastAsia"/>
          <w:color w:val="auto"/>
          <w:kern w:val="0"/>
          <w:sz w:val="24"/>
          <w:szCs w:val="24"/>
          <w:highlight w:val="none"/>
          <w:shd w:val="clear" w:color="auto" w:fill="FFFFFF"/>
        </w:rPr>
        <w:t>通知书发出后</w:t>
      </w:r>
      <w:r>
        <w:rPr>
          <w:rFonts w:hint="eastAsia" w:ascii="宋体" w:hAnsi="宋体"/>
          <w:color w:val="auto"/>
          <w:kern w:val="0"/>
          <w:sz w:val="24"/>
          <w:szCs w:val="24"/>
          <w:highlight w:val="none"/>
          <w:u w:val="single"/>
        </w:rPr>
        <w:t xml:space="preserve"> 3</w:t>
      </w:r>
      <w:r>
        <w:rPr>
          <w:rFonts w:hint="eastAsia" w:ascii="宋体" w:hAnsi="宋体"/>
          <w:color w:val="auto"/>
          <w:kern w:val="0"/>
          <w:sz w:val="24"/>
          <w:szCs w:val="24"/>
          <w:highlight w:val="none"/>
        </w:rPr>
        <w:t>日内将上述资料提供给乙方。</w:t>
      </w:r>
    </w:p>
    <w:p w14:paraId="25BE7F9C">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乙方根据需要，可要求甲方补充必要的技术背景材料、技术资料及数据，甲方审核确认后提供。若乙方在收到甲方资料后3个工作日内未提出异议，视为甲方提供的资料完整而准确，乙方不得事后以甲方提供的资料不完整或不准确为由主张提交报告顺延。</w:t>
      </w:r>
    </w:p>
    <w:p w14:paraId="272DFFA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乙方对于甲方提供的技术背景材料、技术资料、数据应当妥善保管，</w:t>
      </w:r>
      <w:r>
        <w:rPr>
          <w:rFonts w:hint="eastAsia" w:ascii="宋体" w:hAnsi="宋体"/>
          <w:color w:val="auto"/>
          <w:sz w:val="24"/>
          <w:szCs w:val="24"/>
          <w:highlight w:val="none"/>
        </w:rPr>
        <w:t>未经甲方同意，乙方不得将因为本合同项目而了解、取得的甲方资料及文件擅自修改或用于本合同项目外的其他用途。</w:t>
      </w:r>
    </w:p>
    <w:p w14:paraId="05470C60">
      <w:pPr>
        <w:pStyle w:val="3"/>
        <w:spacing w:before="312" w:beforeLines="100" w:after="156" w:afterLines="50" w:line="360" w:lineRule="auto"/>
        <w:rPr>
          <w:rFonts w:ascii="宋体" w:hAnsi="宋体"/>
          <w:color w:val="auto"/>
          <w:sz w:val="24"/>
          <w:szCs w:val="24"/>
          <w:highlight w:val="none"/>
        </w:rPr>
      </w:pPr>
      <w:bookmarkStart w:id="6" w:name="_Toc301352982"/>
      <w:r>
        <w:rPr>
          <w:rFonts w:ascii="宋体" w:hAnsi="宋体"/>
          <w:color w:val="auto"/>
          <w:sz w:val="24"/>
          <w:szCs w:val="24"/>
          <w:highlight w:val="none"/>
        </w:rPr>
        <w:t>第</w:t>
      </w:r>
      <w:r>
        <w:rPr>
          <w:rFonts w:hint="eastAsia" w:ascii="宋体" w:hAnsi="宋体"/>
          <w:color w:val="auto"/>
          <w:sz w:val="24"/>
          <w:szCs w:val="24"/>
          <w:highlight w:val="none"/>
        </w:rPr>
        <w:t>七</w:t>
      </w:r>
      <w:r>
        <w:rPr>
          <w:rFonts w:ascii="宋体" w:hAnsi="宋体"/>
          <w:color w:val="auto"/>
          <w:sz w:val="24"/>
          <w:szCs w:val="24"/>
          <w:highlight w:val="none"/>
        </w:rPr>
        <w:t>条</w:t>
      </w:r>
      <w:r>
        <w:rPr>
          <w:rFonts w:hint="eastAsia" w:ascii="宋体" w:hAnsi="宋体"/>
          <w:color w:val="auto"/>
          <w:sz w:val="24"/>
          <w:szCs w:val="24"/>
          <w:highlight w:val="none"/>
        </w:rPr>
        <w:t xml:space="preserve"> </w:t>
      </w:r>
      <w:r>
        <w:rPr>
          <w:rFonts w:ascii="宋体" w:hAnsi="宋体"/>
          <w:color w:val="auto"/>
          <w:sz w:val="24"/>
          <w:szCs w:val="24"/>
          <w:highlight w:val="none"/>
        </w:rPr>
        <w:t>报酬及支付方式</w:t>
      </w:r>
      <w:bookmarkEnd w:id="6"/>
    </w:p>
    <w:p w14:paraId="78AB58D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一、本项目服务费包干合同价人民币为：大写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（小写：</w:t>
      </w:r>
      <w:r>
        <w:rPr>
          <w:rFonts w:hint="eastAsia" w:ascii="宋体" w:hAnsi="宋体"/>
          <w:color w:val="auto"/>
          <w:sz w:val="24"/>
          <w:szCs w:val="24"/>
          <w:highlight w:val="none"/>
          <w:u w:val="single"/>
        </w:rPr>
        <w:t>￥       元</w:t>
      </w:r>
      <w:r>
        <w:rPr>
          <w:rFonts w:hint="eastAsia" w:ascii="宋体" w:hAnsi="宋体"/>
          <w:color w:val="auto"/>
          <w:sz w:val="24"/>
          <w:szCs w:val="24"/>
          <w:highlight w:val="none"/>
        </w:rPr>
        <w:t xml:space="preserve"> ）。该金额已</w:t>
      </w:r>
      <w:r>
        <w:rPr>
          <w:rFonts w:ascii="宋体" w:hAnsi="宋体" w:cs="宋体"/>
          <w:color w:val="auto"/>
          <w:sz w:val="24"/>
          <w:szCs w:val="24"/>
          <w:highlight w:val="none"/>
        </w:rPr>
        <w:t>包括但不限于乙方完成本合同项下工作所需的一切人工、现场查勘、</w:t>
      </w:r>
      <w:r>
        <w:rPr>
          <w:rFonts w:hint="eastAsia" w:ascii="宋体" w:hAnsi="宋体" w:cs="宋体"/>
          <w:color w:val="auto"/>
          <w:sz w:val="24"/>
          <w:szCs w:val="24"/>
          <w:highlight w:val="none"/>
        </w:rPr>
        <w:t>住街设计、</w:t>
      </w:r>
      <w:r>
        <w:rPr>
          <w:rFonts w:ascii="宋体" w:hAnsi="宋体" w:cs="宋体"/>
          <w:color w:val="auto"/>
          <w:sz w:val="24"/>
          <w:szCs w:val="24"/>
          <w:highlight w:val="none"/>
        </w:rPr>
        <w:t>交通</w:t>
      </w:r>
      <w:r>
        <w:rPr>
          <w:rFonts w:hint="eastAsia" w:ascii="宋体" w:hAnsi="宋体" w:cs="宋体"/>
          <w:color w:val="auto"/>
          <w:sz w:val="24"/>
          <w:szCs w:val="24"/>
          <w:highlight w:val="none"/>
        </w:rPr>
        <w:t>费</w:t>
      </w:r>
      <w:r>
        <w:rPr>
          <w:rFonts w:ascii="宋体" w:hAnsi="宋体" w:cs="宋体"/>
          <w:color w:val="auto"/>
          <w:sz w:val="24"/>
          <w:szCs w:val="24"/>
          <w:highlight w:val="none"/>
        </w:rPr>
        <w:t>、图纸资料、文印费、汇报视频、展览展板、会议组织费用、各种评审时发生的会务费（包含资料费）、专家评审费、专家调研费、根据专家意见修改及调整等费用、成本、利润、税费、赶工费等</w:t>
      </w:r>
      <w:r>
        <w:rPr>
          <w:rFonts w:hint="eastAsia" w:ascii="宋体" w:hAnsi="宋体" w:cs="宋体"/>
          <w:color w:val="auto"/>
          <w:sz w:val="24"/>
          <w:szCs w:val="24"/>
          <w:highlight w:val="none"/>
        </w:rPr>
        <w:t>乙方</w:t>
      </w:r>
      <w:r>
        <w:rPr>
          <w:rFonts w:ascii="宋体" w:hAnsi="宋体" w:cs="宋体"/>
          <w:color w:val="auto"/>
          <w:sz w:val="24"/>
          <w:szCs w:val="24"/>
          <w:highlight w:val="none"/>
        </w:rPr>
        <w:t>履行合同项下义务所产生的全部费用等，除此之外，甲方不再向乙方支付本条款明示以外的其他任何费用</w:t>
      </w:r>
      <w:r>
        <w:rPr>
          <w:rFonts w:hint="eastAsia" w:ascii="宋体" w:hAnsi="宋体"/>
          <w:color w:val="auto"/>
          <w:sz w:val="24"/>
          <w:szCs w:val="24"/>
          <w:highlight w:val="none"/>
        </w:rPr>
        <w:t>。</w:t>
      </w:r>
    </w:p>
    <w:p w14:paraId="798D1B52">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报酬由甲方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分期</w:t>
      </w:r>
      <w:r>
        <w:rPr>
          <w:rFonts w:ascii="宋体" w:hAnsi="宋体"/>
          <w:color w:val="auto"/>
          <w:sz w:val="24"/>
          <w:szCs w:val="24"/>
          <w:highlight w:val="none"/>
          <w:u w:val="single"/>
        </w:rPr>
        <w:t xml:space="preserve"> </w:t>
      </w:r>
      <w:r>
        <w:rPr>
          <w:rFonts w:ascii="宋体" w:hAnsi="宋体"/>
          <w:color w:val="auto"/>
          <w:sz w:val="24"/>
          <w:szCs w:val="24"/>
          <w:highlight w:val="none"/>
        </w:rPr>
        <w:t>支付乙方，具体支付方式和时间为：</w:t>
      </w:r>
    </w:p>
    <w:p w14:paraId="1159D6EE">
      <w:pPr>
        <w:spacing w:line="360" w:lineRule="auto"/>
        <w:ind w:firstLine="570"/>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）合同生效后，支付预付款至合同总金额的2</w:t>
      </w:r>
      <w:r>
        <w:rPr>
          <w:rFonts w:ascii="宋体" w:hAnsi="宋体"/>
          <w:color w:val="auto"/>
          <w:sz w:val="24"/>
          <w:szCs w:val="24"/>
          <w:highlight w:val="none"/>
          <w:u w:val="single"/>
        </w:rPr>
        <w:t>0%</w:t>
      </w:r>
      <w:r>
        <w:rPr>
          <w:rFonts w:hint="eastAsia" w:ascii="宋体" w:hAnsi="宋体"/>
          <w:color w:val="auto"/>
          <w:sz w:val="24"/>
          <w:szCs w:val="24"/>
          <w:highlight w:val="none"/>
          <w:u w:val="single"/>
        </w:rPr>
        <w:t>；</w:t>
      </w:r>
    </w:p>
    <w:p w14:paraId="51734800">
      <w:pPr>
        <w:spacing w:line="360" w:lineRule="auto"/>
        <w:ind w:firstLine="570"/>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）乙方向甲方提交成果报告并通过专家评审，支付至单项工作包干价的5</w:t>
      </w:r>
      <w:r>
        <w:rPr>
          <w:rFonts w:ascii="宋体" w:hAnsi="宋体"/>
          <w:color w:val="auto"/>
          <w:sz w:val="24"/>
          <w:szCs w:val="24"/>
          <w:highlight w:val="none"/>
          <w:u w:val="single"/>
        </w:rPr>
        <w:t>0%</w:t>
      </w:r>
      <w:r>
        <w:rPr>
          <w:rFonts w:hint="eastAsia" w:ascii="宋体" w:hAnsi="宋体"/>
          <w:color w:val="auto"/>
          <w:sz w:val="24"/>
          <w:szCs w:val="24"/>
          <w:highlight w:val="none"/>
          <w:u w:val="single"/>
        </w:rPr>
        <w:t>；</w:t>
      </w:r>
    </w:p>
    <w:p w14:paraId="20C652B7">
      <w:pPr>
        <w:spacing w:line="360" w:lineRule="auto"/>
        <w:ind w:firstLine="570"/>
        <w:rPr>
          <w:rFonts w:ascii="宋体" w:hAnsi="宋体"/>
          <w:color w:val="auto"/>
          <w:sz w:val="24"/>
          <w:szCs w:val="24"/>
          <w:highlight w:val="none"/>
          <w:u w:val="single"/>
        </w:rPr>
      </w:pPr>
      <w:r>
        <w:rPr>
          <w:rFonts w:hint="eastAsia" w:ascii="宋体" w:hAnsi="宋体"/>
          <w:color w:val="auto"/>
          <w:sz w:val="24"/>
          <w:szCs w:val="24"/>
          <w:highlight w:val="none"/>
          <w:u w:val="single"/>
        </w:rPr>
        <w:t>（3）成果报告</w:t>
      </w:r>
      <w:r>
        <w:rPr>
          <w:rFonts w:hint="eastAsia" w:asciiTheme="minorEastAsia" w:hAnsiTheme="minorEastAsia" w:eastAsiaTheme="minorEastAsia" w:cstheme="minorEastAsia"/>
          <w:color w:val="auto"/>
          <w:kern w:val="0"/>
          <w:sz w:val="24"/>
          <w:szCs w:val="24"/>
          <w:highlight w:val="none"/>
          <w:u w:val="single"/>
          <w:shd w:val="clear" w:color="auto" w:fill="FFFFFF"/>
        </w:rPr>
        <w:t>根据相关审批程序批复</w:t>
      </w:r>
      <w:r>
        <w:rPr>
          <w:rFonts w:hint="eastAsia" w:ascii="宋体" w:hAnsi="宋体"/>
          <w:color w:val="auto"/>
          <w:sz w:val="24"/>
          <w:szCs w:val="24"/>
          <w:highlight w:val="none"/>
          <w:u w:val="single"/>
        </w:rPr>
        <w:t>审核后，支付至单项工作包干价的70%；</w:t>
      </w:r>
    </w:p>
    <w:p w14:paraId="56D16292">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u w:val="single"/>
        </w:rPr>
        <w:t>（4）乙方完成所有工作并提交结算</w:t>
      </w:r>
      <w:r>
        <w:rPr>
          <w:rFonts w:ascii="宋体" w:hAnsi="宋体"/>
          <w:color w:val="auto"/>
          <w:sz w:val="24"/>
          <w:szCs w:val="24"/>
          <w:highlight w:val="none"/>
          <w:u w:val="single"/>
        </w:rPr>
        <w:t>资料及</w:t>
      </w:r>
      <w:r>
        <w:rPr>
          <w:rFonts w:hint="eastAsia" w:ascii="宋体" w:hAnsi="宋体"/>
          <w:color w:val="auto"/>
          <w:sz w:val="24"/>
          <w:szCs w:val="24"/>
          <w:highlight w:val="none"/>
          <w:u w:val="single"/>
        </w:rPr>
        <w:t>尾款资金申请资料，经</w:t>
      </w:r>
      <w:r>
        <w:rPr>
          <w:rFonts w:ascii="宋体" w:hAnsi="宋体"/>
          <w:color w:val="auto"/>
          <w:sz w:val="24"/>
          <w:szCs w:val="24"/>
          <w:highlight w:val="none"/>
          <w:u w:val="single"/>
        </w:rPr>
        <w:t>审核后一次性付清余额。</w:t>
      </w:r>
    </w:p>
    <w:p w14:paraId="04C2990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乙方收款账户信息如下：</w:t>
      </w:r>
    </w:p>
    <w:p w14:paraId="78BE8E8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账户名称：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4FA28D6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开户行：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404E4F4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银行</w:t>
      </w:r>
      <w:r>
        <w:rPr>
          <w:rFonts w:hint="eastAsia" w:ascii="宋体" w:hAnsi="宋体"/>
          <w:color w:val="auto"/>
          <w:sz w:val="24"/>
          <w:szCs w:val="24"/>
          <w:highlight w:val="none"/>
        </w:rPr>
        <w:t>账号：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29FFE2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11721B8C">
      <w:pPr>
        <w:numPr>
          <w:ilvl w:val="0"/>
          <w:numId w:val="3"/>
        </w:numPr>
        <w:spacing w:line="360" w:lineRule="auto"/>
        <w:ind w:firstLine="480" w:firstLineChars="200"/>
        <w:rPr>
          <w:color w:val="auto"/>
          <w:highlight w:val="none"/>
        </w:rPr>
      </w:pPr>
      <w:r>
        <w:rPr>
          <w:rFonts w:hint="eastAsia" w:ascii="宋体" w:hAnsi="宋体"/>
          <w:color w:val="auto"/>
          <w:sz w:val="24"/>
          <w:szCs w:val="24"/>
          <w:highlight w:val="none"/>
        </w:rPr>
        <w:t>乙方应在甲方支付各笔技术服务费用20天前，向甲方开具该笔结算技术咨询费用的等额发票及其他甲方需要的财务资料，否则甲方可相应的迟延付款。</w:t>
      </w:r>
      <w:bookmarkStart w:id="7" w:name="_Hlk73086931"/>
    </w:p>
    <w:bookmarkEnd w:id="7"/>
    <w:p w14:paraId="1839BBC9">
      <w:pPr>
        <w:spacing w:line="360" w:lineRule="auto"/>
        <w:ind w:firstLine="480" w:firstLineChars="200"/>
        <w:rPr>
          <w:rFonts w:ascii="宋体" w:hAnsi="宋体"/>
          <w:color w:val="auto"/>
          <w:sz w:val="24"/>
          <w:szCs w:val="24"/>
          <w:highlight w:val="none"/>
        </w:rPr>
      </w:pPr>
      <w:bookmarkStart w:id="8" w:name="_Hlk38632925"/>
    </w:p>
    <w:p w14:paraId="602B73A4">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上述条款中的付款时间，均是指甲方为向财政申请支付而办理申请手续的时间，而非指实际付款时间，具体付款时间以财政拨款时间为准，若因财政审批或财政支付程序原因导致支付迟延的，不属甲方违约。乙方对此无异议。</w:t>
      </w:r>
      <w:bookmarkEnd w:id="8"/>
    </w:p>
    <w:p w14:paraId="6AC4CB0F">
      <w:pPr>
        <w:pStyle w:val="3"/>
        <w:spacing w:before="312" w:beforeLines="100" w:after="156" w:afterLines="50" w:line="360" w:lineRule="auto"/>
        <w:rPr>
          <w:rFonts w:ascii="宋体" w:hAnsi="宋体"/>
          <w:b w:val="0"/>
          <w:color w:val="auto"/>
          <w:sz w:val="24"/>
          <w:szCs w:val="24"/>
          <w:highlight w:val="none"/>
        </w:rPr>
      </w:pPr>
      <w:r>
        <w:rPr>
          <w:rFonts w:ascii="宋体" w:hAnsi="宋体"/>
          <w:color w:val="auto"/>
          <w:sz w:val="24"/>
          <w:szCs w:val="24"/>
          <w:highlight w:val="none"/>
        </w:rPr>
        <w:t>第</w:t>
      </w:r>
      <w:r>
        <w:rPr>
          <w:rFonts w:hint="eastAsia" w:ascii="宋体" w:hAnsi="宋体"/>
          <w:color w:val="auto"/>
          <w:sz w:val="24"/>
          <w:szCs w:val="24"/>
          <w:highlight w:val="none"/>
        </w:rPr>
        <w:t>八</w:t>
      </w:r>
      <w:r>
        <w:rPr>
          <w:rFonts w:ascii="宋体" w:hAnsi="宋体"/>
          <w:color w:val="auto"/>
          <w:sz w:val="24"/>
          <w:szCs w:val="24"/>
          <w:highlight w:val="none"/>
        </w:rPr>
        <w:t>条</w:t>
      </w:r>
      <w:r>
        <w:rPr>
          <w:rFonts w:hint="eastAsia" w:ascii="宋体" w:hAnsi="宋体"/>
          <w:color w:val="auto"/>
          <w:sz w:val="24"/>
          <w:szCs w:val="24"/>
          <w:highlight w:val="none"/>
        </w:rPr>
        <w:t xml:space="preserve"> 成果的交付</w:t>
      </w:r>
    </w:p>
    <w:p w14:paraId="3E5E269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一、交付的技术咨询成果应达到的要求：</w:t>
      </w:r>
      <w:r>
        <w:rPr>
          <w:rFonts w:hint="eastAsia" w:ascii="宋体" w:hAnsi="宋体"/>
          <w:color w:val="auto"/>
          <w:sz w:val="24"/>
          <w:szCs w:val="24"/>
          <w:highlight w:val="none"/>
          <w:u w:val="single"/>
        </w:rPr>
        <w:t>按本合同第二条</w:t>
      </w:r>
      <w:r>
        <w:rPr>
          <w:rFonts w:hint="eastAsia" w:ascii="宋体" w:hAnsi="宋体"/>
          <w:bCs/>
          <w:color w:val="auto"/>
          <w:sz w:val="24"/>
          <w:szCs w:val="24"/>
          <w:highlight w:val="none"/>
          <w:u w:val="single"/>
        </w:rPr>
        <w:t>形成实施方案成果。</w:t>
      </w:r>
    </w:p>
    <w:p w14:paraId="453BC99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二、交付的形式及数量：</w:t>
      </w:r>
      <w:r>
        <w:rPr>
          <w:rFonts w:hint="eastAsia" w:ascii="宋体" w:hAnsi="宋体"/>
          <w:bCs/>
          <w:color w:val="auto"/>
          <w:sz w:val="24"/>
          <w:szCs w:val="24"/>
          <w:highlight w:val="none"/>
          <w:u w:val="single"/>
        </w:rPr>
        <w:t xml:space="preserve"> 六份纸质文件及两份电子文件 </w:t>
      </w:r>
      <w:r>
        <w:rPr>
          <w:rFonts w:hint="eastAsia" w:ascii="宋体" w:hAnsi="宋体"/>
          <w:color w:val="auto"/>
          <w:sz w:val="24"/>
          <w:szCs w:val="24"/>
          <w:highlight w:val="none"/>
        </w:rPr>
        <w:t xml:space="preserve">。 </w:t>
      </w:r>
    </w:p>
    <w:p w14:paraId="132F4818">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三、交付的时间及地点：</w:t>
      </w:r>
      <w:r>
        <w:rPr>
          <w:rFonts w:hint="eastAsia" w:ascii="宋体" w:hAnsi="宋体"/>
          <w:bCs/>
          <w:color w:val="auto"/>
          <w:sz w:val="24"/>
          <w:szCs w:val="24"/>
          <w:highlight w:val="none"/>
          <w:u w:val="single"/>
        </w:rPr>
        <w:t xml:space="preserve"> 按本合同第三条规定期限内交付成果至甲方 </w:t>
      </w:r>
      <w:r>
        <w:rPr>
          <w:rFonts w:hint="eastAsia" w:ascii="宋体" w:hAnsi="宋体"/>
          <w:color w:val="auto"/>
          <w:sz w:val="24"/>
          <w:szCs w:val="24"/>
          <w:highlight w:val="none"/>
        </w:rPr>
        <w:t>。</w:t>
      </w:r>
    </w:p>
    <w:bookmarkEnd w:id="5"/>
    <w:p w14:paraId="314DF650">
      <w:pPr>
        <w:pStyle w:val="3"/>
        <w:spacing w:before="312" w:beforeLines="100" w:after="156" w:afterLines="50" w:line="360" w:lineRule="auto"/>
        <w:rPr>
          <w:rFonts w:ascii="宋体" w:hAnsi="宋体"/>
          <w:color w:val="auto"/>
          <w:sz w:val="24"/>
          <w:szCs w:val="24"/>
          <w:highlight w:val="none"/>
        </w:rPr>
      </w:pPr>
      <w:bookmarkStart w:id="9" w:name="_Toc301352983"/>
      <w:r>
        <w:rPr>
          <w:rFonts w:ascii="宋体" w:hAnsi="宋体"/>
          <w:color w:val="auto"/>
          <w:sz w:val="24"/>
          <w:szCs w:val="24"/>
          <w:highlight w:val="none"/>
        </w:rPr>
        <w:t>第</w:t>
      </w:r>
      <w:r>
        <w:rPr>
          <w:rFonts w:hint="eastAsia" w:ascii="宋体" w:hAnsi="宋体"/>
          <w:color w:val="auto"/>
          <w:sz w:val="24"/>
          <w:szCs w:val="24"/>
          <w:highlight w:val="none"/>
        </w:rPr>
        <w:t>九</w:t>
      </w:r>
      <w:r>
        <w:rPr>
          <w:rFonts w:ascii="宋体" w:hAnsi="宋体"/>
          <w:color w:val="auto"/>
          <w:sz w:val="24"/>
          <w:szCs w:val="24"/>
          <w:highlight w:val="none"/>
        </w:rPr>
        <w:t>条</w:t>
      </w:r>
      <w:r>
        <w:rPr>
          <w:rFonts w:hint="eastAsia" w:ascii="宋体" w:hAnsi="宋体"/>
          <w:color w:val="auto"/>
          <w:sz w:val="24"/>
          <w:szCs w:val="24"/>
          <w:highlight w:val="none"/>
        </w:rPr>
        <w:t xml:space="preserve"> </w:t>
      </w:r>
      <w:r>
        <w:rPr>
          <w:rFonts w:ascii="宋体" w:hAnsi="宋体"/>
          <w:color w:val="auto"/>
          <w:sz w:val="24"/>
          <w:szCs w:val="24"/>
          <w:highlight w:val="none"/>
        </w:rPr>
        <w:t>知识产权事项</w:t>
      </w:r>
      <w:bookmarkEnd w:id="9"/>
    </w:p>
    <w:p w14:paraId="5D03570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一、在本合同有效期内，乙方利用甲方提供的技术资料和工作条件所完成的新技术成果及所有相关权利，归</w:t>
      </w:r>
      <w:r>
        <w:rPr>
          <w:rFonts w:hint="eastAsia" w:ascii="宋体" w:hAnsi="宋体"/>
          <w:color w:val="auto"/>
          <w:sz w:val="24"/>
          <w:szCs w:val="24"/>
          <w:highlight w:val="none"/>
          <w:u w:val="single"/>
        </w:rPr>
        <w:t>甲</w:t>
      </w:r>
      <w:r>
        <w:rPr>
          <w:rFonts w:hint="eastAsia" w:ascii="宋体" w:hAnsi="宋体"/>
          <w:color w:val="auto"/>
          <w:sz w:val="24"/>
          <w:szCs w:val="24"/>
          <w:highlight w:val="none"/>
        </w:rPr>
        <w:t>方所有。</w:t>
      </w:r>
    </w:p>
    <w:p w14:paraId="0C8A99B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二、甲方利用乙方提交的工作成果所完成的新技术成果及所有相关权利，归甲方所有。</w:t>
      </w:r>
    </w:p>
    <w:p w14:paraId="12E4371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乙方完成</w:t>
      </w:r>
      <w:r>
        <w:rPr>
          <w:rFonts w:hint="eastAsia" w:ascii="宋体" w:hAnsi="宋体"/>
          <w:color w:val="auto"/>
          <w:sz w:val="24"/>
          <w:szCs w:val="24"/>
          <w:highlight w:val="none"/>
        </w:rPr>
        <w:t>项目</w:t>
      </w:r>
      <w:r>
        <w:rPr>
          <w:rFonts w:ascii="宋体" w:hAnsi="宋体"/>
          <w:color w:val="auto"/>
          <w:sz w:val="24"/>
          <w:szCs w:val="24"/>
          <w:highlight w:val="none"/>
        </w:rPr>
        <w:t>的</w:t>
      </w:r>
      <w:r>
        <w:rPr>
          <w:rFonts w:hint="eastAsia" w:ascii="宋体" w:hAnsi="宋体"/>
          <w:color w:val="auto"/>
          <w:sz w:val="24"/>
          <w:szCs w:val="24"/>
          <w:highlight w:val="none"/>
        </w:rPr>
        <w:t>技术</w:t>
      </w:r>
      <w:r>
        <w:rPr>
          <w:rFonts w:ascii="宋体" w:hAnsi="宋体"/>
          <w:color w:val="auto"/>
          <w:sz w:val="24"/>
          <w:szCs w:val="24"/>
          <w:highlight w:val="none"/>
        </w:rPr>
        <w:t>人员享有在</w:t>
      </w:r>
      <w:r>
        <w:rPr>
          <w:rFonts w:hint="eastAsia" w:ascii="宋体" w:hAnsi="宋体"/>
          <w:color w:val="auto"/>
          <w:sz w:val="24"/>
          <w:szCs w:val="24"/>
          <w:highlight w:val="none"/>
        </w:rPr>
        <w:t>技术</w:t>
      </w:r>
      <w:r>
        <w:rPr>
          <w:rFonts w:ascii="宋体" w:hAnsi="宋体"/>
          <w:color w:val="auto"/>
          <w:sz w:val="24"/>
          <w:szCs w:val="24"/>
          <w:highlight w:val="none"/>
        </w:rPr>
        <w:t>成果文件上写明自己是完成者和取得有关荣誉证书、奖励的权利。</w:t>
      </w:r>
    </w:p>
    <w:p w14:paraId="186D642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四、依据本合同约定，新技术成果归甲方所有时，甲方需就技</w:t>
      </w:r>
      <w:r>
        <w:rPr>
          <w:rFonts w:ascii="宋体" w:hAnsi="宋体"/>
          <w:color w:val="auto"/>
          <w:sz w:val="24"/>
          <w:szCs w:val="24"/>
          <w:highlight w:val="none"/>
        </w:rPr>
        <w:t>术成果文件</w:t>
      </w:r>
      <w:r>
        <w:rPr>
          <w:rFonts w:hint="eastAsia" w:ascii="宋体" w:hAnsi="宋体"/>
          <w:color w:val="auto"/>
          <w:sz w:val="24"/>
          <w:szCs w:val="24"/>
          <w:highlight w:val="none"/>
        </w:rPr>
        <w:t>进行著作权备案或申请专利的，</w:t>
      </w:r>
      <w:r>
        <w:rPr>
          <w:rFonts w:ascii="宋体" w:hAnsi="宋体"/>
          <w:color w:val="auto"/>
          <w:sz w:val="24"/>
          <w:szCs w:val="24"/>
          <w:highlight w:val="none"/>
        </w:rPr>
        <w:t>乙方</w:t>
      </w:r>
      <w:r>
        <w:rPr>
          <w:rFonts w:hint="eastAsia" w:ascii="宋体" w:hAnsi="宋体"/>
          <w:color w:val="auto"/>
          <w:sz w:val="24"/>
          <w:szCs w:val="24"/>
          <w:highlight w:val="none"/>
        </w:rPr>
        <w:t>应予以协助。</w:t>
      </w:r>
    </w:p>
    <w:p w14:paraId="13EBCB4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五、依据本合同约定，完成的新技术成果归甲方所有，乙方无权使用或许可他人使用该技术成果</w:t>
      </w:r>
      <w:r>
        <w:rPr>
          <w:rFonts w:ascii="宋体" w:hAnsi="宋体"/>
          <w:color w:val="auto"/>
          <w:sz w:val="24"/>
          <w:szCs w:val="24"/>
          <w:highlight w:val="none"/>
        </w:rPr>
        <w:t>。</w:t>
      </w:r>
    </w:p>
    <w:p w14:paraId="63EE90E5">
      <w:pPr>
        <w:pStyle w:val="3"/>
        <w:spacing w:before="312" w:beforeLines="100" w:after="156" w:afterLines="50" w:line="360" w:lineRule="auto"/>
        <w:rPr>
          <w:rFonts w:ascii="宋体" w:hAnsi="宋体"/>
          <w:color w:val="auto"/>
          <w:sz w:val="24"/>
          <w:szCs w:val="24"/>
          <w:highlight w:val="none"/>
        </w:rPr>
      </w:pPr>
      <w:bookmarkStart w:id="10" w:name="_Toc301352985"/>
      <w:r>
        <w:rPr>
          <w:rFonts w:ascii="宋体" w:hAnsi="宋体"/>
          <w:color w:val="auto"/>
          <w:sz w:val="24"/>
          <w:szCs w:val="24"/>
          <w:highlight w:val="none"/>
        </w:rPr>
        <w:t>第</w:t>
      </w:r>
      <w:r>
        <w:rPr>
          <w:rFonts w:hint="eastAsia" w:ascii="宋体" w:hAnsi="宋体"/>
          <w:color w:val="auto"/>
          <w:sz w:val="24"/>
          <w:szCs w:val="24"/>
          <w:highlight w:val="none"/>
        </w:rPr>
        <w:t>十</w:t>
      </w:r>
      <w:r>
        <w:rPr>
          <w:rFonts w:ascii="宋体" w:hAnsi="宋体"/>
          <w:color w:val="auto"/>
          <w:sz w:val="24"/>
          <w:szCs w:val="24"/>
          <w:highlight w:val="none"/>
        </w:rPr>
        <w:t>条</w:t>
      </w:r>
      <w:r>
        <w:rPr>
          <w:rFonts w:hint="eastAsia" w:ascii="宋体" w:hAnsi="宋体"/>
          <w:color w:val="auto"/>
          <w:sz w:val="24"/>
          <w:szCs w:val="24"/>
          <w:highlight w:val="none"/>
        </w:rPr>
        <w:t xml:space="preserve"> 甲方</w:t>
      </w:r>
      <w:r>
        <w:rPr>
          <w:rFonts w:ascii="宋体" w:hAnsi="宋体"/>
          <w:color w:val="auto"/>
          <w:sz w:val="24"/>
          <w:szCs w:val="24"/>
          <w:highlight w:val="none"/>
        </w:rPr>
        <w:t>的权利</w:t>
      </w:r>
      <w:r>
        <w:rPr>
          <w:rFonts w:hint="eastAsia" w:ascii="宋体" w:hAnsi="宋体"/>
          <w:color w:val="auto"/>
          <w:sz w:val="24"/>
          <w:szCs w:val="24"/>
          <w:highlight w:val="none"/>
        </w:rPr>
        <w:t>和</w:t>
      </w:r>
      <w:r>
        <w:rPr>
          <w:rFonts w:ascii="宋体" w:hAnsi="宋体"/>
          <w:color w:val="auto"/>
          <w:sz w:val="24"/>
          <w:szCs w:val="24"/>
          <w:highlight w:val="none"/>
        </w:rPr>
        <w:t>义务</w:t>
      </w:r>
      <w:bookmarkEnd w:id="10"/>
    </w:p>
    <w:p w14:paraId="36950D82">
      <w:pPr>
        <w:numPr>
          <w:ilvl w:val="0"/>
          <w:numId w:val="4"/>
        </w:numPr>
        <w:spacing w:line="360" w:lineRule="auto"/>
        <w:rPr>
          <w:rFonts w:ascii="宋体" w:hAnsi="宋体"/>
          <w:color w:val="auto"/>
          <w:sz w:val="24"/>
          <w:szCs w:val="24"/>
          <w:highlight w:val="none"/>
        </w:rPr>
      </w:pPr>
      <w:r>
        <w:rPr>
          <w:rFonts w:ascii="宋体" w:hAnsi="宋体"/>
          <w:color w:val="auto"/>
          <w:sz w:val="24"/>
          <w:szCs w:val="24"/>
          <w:highlight w:val="none"/>
        </w:rPr>
        <w:t>甲方有权对乙方</w:t>
      </w:r>
      <w:r>
        <w:rPr>
          <w:rFonts w:hint="eastAsia" w:ascii="宋体" w:hAnsi="宋体"/>
          <w:color w:val="auto"/>
          <w:sz w:val="24"/>
          <w:szCs w:val="24"/>
          <w:highlight w:val="none"/>
        </w:rPr>
        <w:t>开展的工作</w:t>
      </w:r>
      <w:r>
        <w:rPr>
          <w:rFonts w:ascii="宋体" w:hAnsi="宋体"/>
          <w:color w:val="auto"/>
          <w:sz w:val="24"/>
          <w:szCs w:val="24"/>
          <w:highlight w:val="none"/>
        </w:rPr>
        <w:t>情况进行检查监督。</w:t>
      </w:r>
    </w:p>
    <w:p w14:paraId="7A6CB41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二、甲方协助乙方开展编制工作，及时向乙方提供有关数据，并及时解决乙方提出的需要甲方配合的相关事宜。</w:t>
      </w:r>
    </w:p>
    <w:p w14:paraId="778958F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三、甲方应按合同约定及时、足额向乙方支付服务报酬。</w:t>
      </w:r>
    </w:p>
    <w:p w14:paraId="2FAA2D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四、甲方应按合同约定及时对乙方的编制成果进行验收。</w:t>
      </w:r>
    </w:p>
    <w:p w14:paraId="191A7CE9">
      <w:pPr>
        <w:pStyle w:val="3"/>
        <w:spacing w:before="312" w:beforeLines="100" w:after="156" w:afterLines="50" w:line="360" w:lineRule="auto"/>
        <w:rPr>
          <w:color w:val="auto"/>
          <w:sz w:val="24"/>
          <w:szCs w:val="24"/>
          <w:highlight w:val="none"/>
        </w:rPr>
      </w:pPr>
      <w:r>
        <w:rPr>
          <w:color w:val="auto"/>
          <w:sz w:val="24"/>
          <w:szCs w:val="24"/>
          <w:highlight w:val="none"/>
        </w:rPr>
        <w:t>第</w:t>
      </w:r>
      <w:r>
        <w:rPr>
          <w:rFonts w:hint="eastAsia"/>
          <w:color w:val="auto"/>
          <w:sz w:val="24"/>
          <w:szCs w:val="24"/>
          <w:highlight w:val="none"/>
        </w:rPr>
        <w:t>十一</w:t>
      </w:r>
      <w:r>
        <w:rPr>
          <w:color w:val="auto"/>
          <w:sz w:val="24"/>
          <w:szCs w:val="24"/>
          <w:highlight w:val="none"/>
        </w:rPr>
        <w:t>条</w:t>
      </w:r>
      <w:r>
        <w:rPr>
          <w:rFonts w:hint="eastAsia"/>
          <w:color w:val="auto"/>
          <w:sz w:val="24"/>
          <w:szCs w:val="24"/>
          <w:highlight w:val="none"/>
        </w:rPr>
        <w:t xml:space="preserve"> 乙方</w:t>
      </w:r>
      <w:r>
        <w:rPr>
          <w:color w:val="auto"/>
          <w:sz w:val="24"/>
          <w:szCs w:val="24"/>
          <w:highlight w:val="none"/>
        </w:rPr>
        <w:t>的权利</w:t>
      </w:r>
      <w:r>
        <w:rPr>
          <w:rFonts w:hint="eastAsia"/>
          <w:color w:val="auto"/>
          <w:sz w:val="24"/>
          <w:szCs w:val="24"/>
          <w:highlight w:val="none"/>
        </w:rPr>
        <w:t>和</w:t>
      </w:r>
      <w:r>
        <w:rPr>
          <w:color w:val="auto"/>
          <w:sz w:val="24"/>
          <w:szCs w:val="24"/>
          <w:highlight w:val="none"/>
        </w:rPr>
        <w:t>义务</w:t>
      </w:r>
    </w:p>
    <w:p w14:paraId="130A4C1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一、乙方有权要求甲方按约支付服务报酬，甲方无正当理由拒不支付时，乙方有权中止编制工作。</w:t>
      </w:r>
    </w:p>
    <w:p w14:paraId="1448A67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二、乙方应当按照约定的期限完成编制任务或者解答问题；提出的策划方案应当达到约定的要求。</w:t>
      </w:r>
    </w:p>
    <w:p w14:paraId="2F0B549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三、乙方应按双方约定的工作进度完成工作，每一个阶段的工作完成后应报甲方认可方可进行下一阶段的工作。</w:t>
      </w:r>
    </w:p>
    <w:p w14:paraId="7587685F">
      <w:pPr>
        <w:adjustRightInd w:val="0"/>
        <w:snapToGrid w:val="0"/>
        <w:spacing w:line="360" w:lineRule="auto"/>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四、</w:t>
      </w:r>
      <w:r>
        <w:rPr>
          <w:rFonts w:ascii="宋体" w:hAnsi="宋体"/>
          <w:color w:val="auto"/>
          <w:spacing w:val="-2"/>
          <w:sz w:val="24"/>
          <w:szCs w:val="24"/>
          <w:highlight w:val="none"/>
        </w:rPr>
        <w:t>乙方应当保证其</w:t>
      </w:r>
      <w:r>
        <w:rPr>
          <w:rFonts w:hint="eastAsia" w:ascii="宋体" w:hAnsi="宋体"/>
          <w:color w:val="auto"/>
          <w:spacing w:val="-2"/>
          <w:sz w:val="24"/>
          <w:szCs w:val="24"/>
          <w:highlight w:val="none"/>
        </w:rPr>
        <w:t>提供的服务</w:t>
      </w:r>
      <w:r>
        <w:rPr>
          <w:rFonts w:ascii="宋体" w:hAnsi="宋体"/>
          <w:color w:val="auto"/>
          <w:spacing w:val="-2"/>
          <w:sz w:val="24"/>
          <w:szCs w:val="24"/>
          <w:highlight w:val="none"/>
        </w:rPr>
        <w:t>不侵犯任何第三</w:t>
      </w:r>
      <w:r>
        <w:rPr>
          <w:rFonts w:hint="eastAsia" w:ascii="宋体" w:hAnsi="宋体"/>
          <w:color w:val="auto"/>
          <w:spacing w:val="-2"/>
          <w:sz w:val="24"/>
          <w:szCs w:val="24"/>
          <w:highlight w:val="none"/>
        </w:rPr>
        <w:t>方</w:t>
      </w:r>
      <w:r>
        <w:rPr>
          <w:rFonts w:ascii="宋体" w:hAnsi="宋体"/>
          <w:color w:val="auto"/>
          <w:spacing w:val="-2"/>
          <w:sz w:val="24"/>
          <w:szCs w:val="24"/>
          <w:highlight w:val="none"/>
        </w:rPr>
        <w:t>的合法权益，如第三方</w:t>
      </w:r>
      <w:r>
        <w:rPr>
          <w:rFonts w:hint="eastAsia" w:ascii="宋体" w:hAnsi="宋体"/>
          <w:color w:val="auto"/>
          <w:spacing w:val="-2"/>
          <w:sz w:val="24"/>
          <w:szCs w:val="24"/>
          <w:highlight w:val="none"/>
        </w:rPr>
        <w:t>因</w:t>
      </w:r>
      <w:r>
        <w:rPr>
          <w:rFonts w:ascii="宋体" w:hAnsi="宋体"/>
          <w:color w:val="auto"/>
          <w:sz w:val="24"/>
          <w:szCs w:val="24"/>
          <w:highlight w:val="none"/>
        </w:rPr>
        <w:t>乙方</w:t>
      </w:r>
      <w:r>
        <w:rPr>
          <w:rFonts w:hint="eastAsia" w:ascii="宋体" w:hAnsi="宋体"/>
          <w:color w:val="auto"/>
          <w:sz w:val="24"/>
          <w:szCs w:val="24"/>
          <w:highlight w:val="none"/>
        </w:rPr>
        <w:t>的服务工作向</w:t>
      </w:r>
      <w:r>
        <w:rPr>
          <w:rFonts w:ascii="宋体" w:hAnsi="宋体"/>
          <w:color w:val="auto"/>
          <w:spacing w:val="-2"/>
          <w:sz w:val="24"/>
          <w:szCs w:val="24"/>
          <w:highlight w:val="none"/>
        </w:rPr>
        <w:t>甲方</w:t>
      </w:r>
      <w:r>
        <w:rPr>
          <w:rFonts w:hint="eastAsia" w:ascii="宋体" w:hAnsi="宋体"/>
          <w:color w:val="auto"/>
          <w:spacing w:val="-2"/>
          <w:sz w:val="24"/>
          <w:szCs w:val="24"/>
          <w:highlight w:val="none"/>
        </w:rPr>
        <w:t>主张权利</w:t>
      </w:r>
      <w:r>
        <w:rPr>
          <w:rFonts w:ascii="宋体" w:hAnsi="宋体"/>
          <w:color w:val="auto"/>
          <w:spacing w:val="-2"/>
          <w:sz w:val="24"/>
          <w:szCs w:val="24"/>
          <w:highlight w:val="none"/>
        </w:rPr>
        <w:t>，由此产生的一切法律后果由乙方承担。</w:t>
      </w:r>
    </w:p>
    <w:p w14:paraId="736B884D">
      <w:pPr>
        <w:spacing w:line="360" w:lineRule="auto"/>
        <w:ind w:firstLine="472" w:firstLineChars="200"/>
        <w:rPr>
          <w:rFonts w:ascii="宋体" w:hAnsi="宋体"/>
          <w:color w:val="auto"/>
          <w:sz w:val="24"/>
          <w:szCs w:val="24"/>
          <w:highlight w:val="none"/>
        </w:rPr>
      </w:pPr>
      <w:r>
        <w:rPr>
          <w:rFonts w:hint="eastAsia" w:ascii="宋体" w:hAnsi="宋体"/>
          <w:color w:val="auto"/>
          <w:spacing w:val="-2"/>
          <w:sz w:val="24"/>
          <w:szCs w:val="24"/>
          <w:highlight w:val="none"/>
        </w:rPr>
        <w:t>五、</w:t>
      </w:r>
      <w:r>
        <w:rPr>
          <w:rFonts w:ascii="宋体" w:hAnsi="宋体"/>
          <w:color w:val="auto"/>
          <w:sz w:val="24"/>
          <w:szCs w:val="24"/>
          <w:highlight w:val="none"/>
        </w:rPr>
        <w:t>未经甲方同意，乙方不得将本合同项目</w:t>
      </w:r>
      <w:r>
        <w:rPr>
          <w:rFonts w:hint="eastAsia" w:ascii="宋体" w:hAnsi="宋体"/>
          <w:color w:val="auto"/>
          <w:sz w:val="24"/>
          <w:szCs w:val="24"/>
          <w:highlight w:val="none"/>
        </w:rPr>
        <w:t>咨询</w:t>
      </w:r>
      <w:r>
        <w:rPr>
          <w:rFonts w:ascii="宋体" w:hAnsi="宋体"/>
          <w:color w:val="auto"/>
          <w:sz w:val="24"/>
          <w:szCs w:val="24"/>
          <w:highlight w:val="none"/>
        </w:rPr>
        <w:t>工作转</w:t>
      </w:r>
      <w:r>
        <w:rPr>
          <w:rFonts w:hint="eastAsia" w:ascii="宋体" w:hAnsi="宋体"/>
          <w:color w:val="auto"/>
          <w:sz w:val="24"/>
          <w:szCs w:val="24"/>
          <w:highlight w:val="none"/>
        </w:rPr>
        <w:t>委托给</w:t>
      </w:r>
      <w:r>
        <w:rPr>
          <w:rFonts w:ascii="宋体" w:hAnsi="宋体"/>
          <w:color w:val="auto"/>
          <w:sz w:val="24"/>
          <w:szCs w:val="24"/>
          <w:highlight w:val="none"/>
        </w:rPr>
        <w:t>第三</w:t>
      </w:r>
      <w:r>
        <w:rPr>
          <w:rFonts w:hint="eastAsia" w:ascii="宋体" w:hAnsi="宋体"/>
          <w:color w:val="auto"/>
          <w:sz w:val="24"/>
          <w:szCs w:val="24"/>
          <w:highlight w:val="none"/>
        </w:rPr>
        <w:t>方</w:t>
      </w:r>
      <w:r>
        <w:rPr>
          <w:rFonts w:ascii="宋体" w:hAnsi="宋体"/>
          <w:color w:val="auto"/>
          <w:sz w:val="24"/>
          <w:szCs w:val="24"/>
          <w:highlight w:val="none"/>
        </w:rPr>
        <w:t>承担。</w:t>
      </w:r>
    </w:p>
    <w:p w14:paraId="7606A6E8">
      <w:pPr>
        <w:pStyle w:val="3"/>
        <w:spacing w:before="312" w:beforeLines="100" w:after="156" w:afterLines="50" w:line="360" w:lineRule="auto"/>
        <w:rPr>
          <w:rFonts w:ascii="宋体" w:hAnsi="宋体"/>
          <w:color w:val="auto"/>
          <w:sz w:val="24"/>
          <w:szCs w:val="24"/>
          <w:highlight w:val="none"/>
        </w:rPr>
      </w:pPr>
      <w:r>
        <w:rPr>
          <w:rFonts w:hint="eastAsia" w:ascii="宋体" w:hAnsi="宋体"/>
          <w:color w:val="auto"/>
          <w:sz w:val="24"/>
          <w:szCs w:val="24"/>
          <w:highlight w:val="none"/>
        </w:rPr>
        <w:t>第十二条 合同的变更和解除</w:t>
      </w:r>
    </w:p>
    <w:p w14:paraId="3FD2263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一、在本合同履行过程中，经甲乙双方协商一致，可以对本合同的条款进行变更，不能就变更达成一致意见的，应当按照原合同条款执行。但甲方因客观情况变化需变更委托项目的，乙方应当同意。</w:t>
      </w:r>
    </w:p>
    <w:p w14:paraId="73A8D57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二、因甲方变更委托项目或因提交的资料错误，及所提交资料作较大修改，以致造成乙方返工时，双方另行协商签订补充协议（或另订合同），可根据乙方所耗工作量向乙方支付返工费。</w:t>
      </w:r>
    </w:p>
    <w:p w14:paraId="6431B286">
      <w:pPr>
        <w:adjustRightInd w:val="0"/>
        <w:snapToGrid w:val="0"/>
        <w:spacing w:line="360" w:lineRule="auto"/>
        <w:ind w:firstLine="470" w:firstLineChars="196"/>
        <w:outlineLvl w:val="0"/>
        <w:rPr>
          <w:rFonts w:ascii="宋体" w:hAnsi="宋体"/>
          <w:color w:val="auto"/>
          <w:sz w:val="24"/>
          <w:szCs w:val="24"/>
          <w:highlight w:val="none"/>
        </w:rPr>
      </w:pPr>
      <w:r>
        <w:rPr>
          <w:rFonts w:hint="eastAsia" w:ascii="宋体" w:hAnsi="宋体"/>
          <w:color w:val="auto"/>
          <w:sz w:val="24"/>
          <w:szCs w:val="24"/>
          <w:highlight w:val="none"/>
        </w:rPr>
        <w:t>三、乙方在履行本合同中发生以下情形之一的，甲方有权解除本合同：</w:t>
      </w:r>
    </w:p>
    <w:p w14:paraId="046A09F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（一）乙方丧失履约能力的或者明确表示</w:t>
      </w:r>
      <w:r>
        <w:rPr>
          <w:rFonts w:ascii="宋体" w:hAnsi="宋体"/>
          <w:color w:val="auto"/>
          <w:sz w:val="24"/>
          <w:szCs w:val="24"/>
          <w:highlight w:val="none"/>
        </w:rPr>
        <w:t>不能</w:t>
      </w:r>
      <w:r>
        <w:rPr>
          <w:rFonts w:hint="eastAsia" w:ascii="宋体" w:hAnsi="宋体"/>
          <w:color w:val="auto"/>
          <w:sz w:val="24"/>
          <w:szCs w:val="24"/>
          <w:highlight w:val="none"/>
        </w:rPr>
        <w:t>完成</w:t>
      </w:r>
      <w:r>
        <w:rPr>
          <w:rFonts w:ascii="宋体" w:hAnsi="宋体"/>
          <w:color w:val="auto"/>
          <w:sz w:val="24"/>
          <w:szCs w:val="24"/>
          <w:highlight w:val="none"/>
        </w:rPr>
        <w:t>本合同约定的</w:t>
      </w:r>
      <w:r>
        <w:rPr>
          <w:rFonts w:hint="eastAsia" w:ascii="宋体" w:hAnsi="宋体"/>
          <w:color w:val="auto"/>
          <w:sz w:val="24"/>
          <w:szCs w:val="24"/>
          <w:highlight w:val="none"/>
        </w:rPr>
        <w:t>工作</w:t>
      </w:r>
      <w:r>
        <w:rPr>
          <w:rFonts w:ascii="宋体" w:hAnsi="宋体"/>
          <w:color w:val="auto"/>
          <w:sz w:val="24"/>
          <w:szCs w:val="24"/>
          <w:highlight w:val="none"/>
        </w:rPr>
        <w:t>的</w:t>
      </w:r>
      <w:r>
        <w:rPr>
          <w:rFonts w:hint="eastAsia" w:ascii="宋体" w:hAnsi="宋体"/>
          <w:color w:val="auto"/>
          <w:sz w:val="24"/>
          <w:szCs w:val="24"/>
          <w:highlight w:val="none"/>
        </w:rPr>
        <w:t>。</w:t>
      </w:r>
    </w:p>
    <w:p w14:paraId="2FD73F39">
      <w:pPr>
        <w:spacing w:line="360" w:lineRule="auto"/>
        <w:ind w:left="120" w:leftChars="57" w:firstLine="360" w:firstLineChars="150"/>
        <w:rPr>
          <w:rFonts w:ascii="宋体" w:hAnsi="宋体"/>
          <w:color w:val="auto"/>
          <w:sz w:val="24"/>
          <w:szCs w:val="24"/>
          <w:highlight w:val="none"/>
        </w:rPr>
      </w:pPr>
      <w:r>
        <w:rPr>
          <w:rFonts w:hint="eastAsia" w:ascii="宋体" w:hAnsi="宋体"/>
          <w:color w:val="auto"/>
          <w:sz w:val="24"/>
          <w:szCs w:val="24"/>
          <w:highlight w:val="none"/>
        </w:rPr>
        <w:t>（二）若乙方指派的负责人或技术人员未实际参与本合同工作或者乙方擅自更换上述人员，经甲方通知后</w:t>
      </w:r>
      <w:r>
        <w:rPr>
          <w:rFonts w:hint="eastAsia" w:ascii="宋体" w:hAnsi="宋体"/>
          <w:color w:val="auto"/>
          <w:sz w:val="24"/>
          <w:szCs w:val="24"/>
          <w:highlight w:val="none"/>
          <w:u w:val="single"/>
        </w:rPr>
        <w:t xml:space="preserve"> 3 </w:t>
      </w:r>
      <w:r>
        <w:rPr>
          <w:rFonts w:hint="eastAsia" w:ascii="宋体" w:hAnsi="宋体"/>
          <w:color w:val="auto"/>
          <w:sz w:val="24"/>
          <w:szCs w:val="24"/>
          <w:highlight w:val="none"/>
        </w:rPr>
        <w:t>天内仍未纠正或已严重影响本合同履行的。</w:t>
      </w:r>
    </w:p>
    <w:p w14:paraId="66CDEC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（三）乙方的工作不符合本合同约定的进度或者工作内容不符合本合同约定的，经甲方通知后</w:t>
      </w:r>
      <w:r>
        <w:rPr>
          <w:rFonts w:hint="eastAsia" w:ascii="宋体" w:hAnsi="宋体"/>
          <w:color w:val="auto"/>
          <w:sz w:val="24"/>
          <w:szCs w:val="24"/>
          <w:highlight w:val="none"/>
          <w:u w:val="single"/>
        </w:rPr>
        <w:t xml:space="preserve">7 </w:t>
      </w:r>
      <w:r>
        <w:rPr>
          <w:rFonts w:hint="eastAsia" w:ascii="宋体" w:hAnsi="宋体"/>
          <w:color w:val="auto"/>
          <w:sz w:val="24"/>
          <w:szCs w:val="24"/>
          <w:highlight w:val="none"/>
        </w:rPr>
        <w:t>天内仍不予纠正的。</w:t>
      </w:r>
    </w:p>
    <w:p w14:paraId="225A62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乙方</w:t>
      </w:r>
      <w:r>
        <w:rPr>
          <w:rFonts w:hint="eastAsia" w:ascii="宋体" w:hAnsi="宋体"/>
          <w:color w:val="auto"/>
          <w:sz w:val="24"/>
          <w:szCs w:val="24"/>
          <w:highlight w:val="none"/>
        </w:rPr>
        <w:t>未</w:t>
      </w:r>
      <w:r>
        <w:rPr>
          <w:rFonts w:ascii="宋体" w:hAnsi="宋体"/>
          <w:color w:val="auto"/>
          <w:sz w:val="24"/>
          <w:szCs w:val="24"/>
          <w:highlight w:val="none"/>
        </w:rPr>
        <w:t>按照本合同约定时间</w:t>
      </w:r>
      <w:r>
        <w:rPr>
          <w:rFonts w:hint="eastAsia" w:ascii="宋体" w:hAnsi="宋体"/>
          <w:color w:val="auto"/>
          <w:sz w:val="24"/>
          <w:szCs w:val="24"/>
          <w:highlight w:val="none"/>
        </w:rPr>
        <w:t>完成工作</w:t>
      </w:r>
      <w:r>
        <w:rPr>
          <w:rFonts w:ascii="宋体" w:hAnsi="宋体"/>
          <w:color w:val="auto"/>
          <w:sz w:val="24"/>
          <w:szCs w:val="24"/>
          <w:highlight w:val="none"/>
        </w:rPr>
        <w:t>，</w:t>
      </w:r>
      <w:r>
        <w:rPr>
          <w:rFonts w:hint="eastAsia" w:ascii="宋体" w:hAnsi="宋体"/>
          <w:color w:val="auto"/>
          <w:sz w:val="24"/>
          <w:szCs w:val="24"/>
          <w:highlight w:val="none"/>
        </w:rPr>
        <w:t>迟延</w:t>
      </w:r>
      <w:r>
        <w:rPr>
          <w:rFonts w:hint="eastAsia" w:ascii="宋体" w:hAnsi="宋体"/>
          <w:color w:val="auto"/>
          <w:sz w:val="24"/>
          <w:szCs w:val="24"/>
          <w:highlight w:val="none"/>
          <w:u w:val="single"/>
        </w:rPr>
        <w:t xml:space="preserve"> 10 </w:t>
      </w:r>
      <w:r>
        <w:rPr>
          <w:rFonts w:hint="eastAsia" w:ascii="宋体" w:hAnsi="宋体"/>
          <w:color w:val="auto"/>
          <w:sz w:val="24"/>
          <w:szCs w:val="24"/>
          <w:highlight w:val="none"/>
        </w:rPr>
        <w:t>天仍未完成的。</w:t>
      </w:r>
    </w:p>
    <w:p w14:paraId="070CF1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乙方提交的</w:t>
      </w:r>
      <w:r>
        <w:rPr>
          <w:rFonts w:hint="eastAsia" w:ascii="宋体" w:hAnsi="宋体"/>
          <w:color w:val="auto"/>
          <w:sz w:val="24"/>
          <w:szCs w:val="24"/>
          <w:highlight w:val="none"/>
        </w:rPr>
        <w:t>工作成果</w:t>
      </w:r>
      <w:r>
        <w:rPr>
          <w:rFonts w:ascii="宋体" w:hAnsi="宋体"/>
          <w:color w:val="auto"/>
          <w:sz w:val="24"/>
          <w:szCs w:val="24"/>
          <w:highlight w:val="none"/>
        </w:rPr>
        <w:t>经两次验收后仍不</w:t>
      </w:r>
      <w:r>
        <w:rPr>
          <w:rFonts w:hint="eastAsia" w:ascii="宋体" w:hAnsi="宋体"/>
          <w:color w:val="auto"/>
          <w:sz w:val="24"/>
          <w:szCs w:val="24"/>
          <w:highlight w:val="none"/>
        </w:rPr>
        <w:t>合格的。</w:t>
      </w:r>
    </w:p>
    <w:p w14:paraId="4FC5D3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四、特别约定：如本项目因政策、有关部门决策等原因暂停或者短期内不实施，自本合同签订之日起三年内都无法实施相关实施方案编制工作的，则本合同自然终止，双方不因此承担任何违约责任。</w:t>
      </w:r>
    </w:p>
    <w:p w14:paraId="373D2CA1">
      <w:pPr>
        <w:pStyle w:val="3"/>
        <w:spacing w:before="312" w:beforeLines="100" w:after="156" w:afterLines="50" w:line="360" w:lineRule="auto"/>
        <w:rPr>
          <w:rFonts w:ascii="宋体" w:hAnsi="宋体"/>
          <w:color w:val="auto"/>
          <w:sz w:val="24"/>
          <w:szCs w:val="24"/>
          <w:highlight w:val="none"/>
        </w:rPr>
      </w:pPr>
      <w:bookmarkStart w:id="11" w:name="_Toc301352986"/>
      <w:r>
        <w:rPr>
          <w:rFonts w:ascii="宋体" w:hAnsi="宋体"/>
          <w:color w:val="auto"/>
          <w:sz w:val="24"/>
          <w:szCs w:val="24"/>
          <w:highlight w:val="none"/>
        </w:rPr>
        <w:t>第十</w:t>
      </w:r>
      <w:r>
        <w:rPr>
          <w:rFonts w:hint="eastAsia" w:ascii="宋体" w:hAnsi="宋体"/>
          <w:color w:val="auto"/>
          <w:sz w:val="24"/>
          <w:szCs w:val="24"/>
          <w:highlight w:val="none"/>
        </w:rPr>
        <w:t>三</w:t>
      </w:r>
      <w:r>
        <w:rPr>
          <w:rFonts w:ascii="宋体" w:hAnsi="宋体"/>
          <w:color w:val="auto"/>
          <w:sz w:val="24"/>
          <w:szCs w:val="24"/>
          <w:highlight w:val="none"/>
        </w:rPr>
        <w:t>条</w:t>
      </w:r>
      <w:r>
        <w:rPr>
          <w:rFonts w:hint="eastAsia" w:ascii="宋体" w:hAnsi="宋体"/>
          <w:color w:val="auto"/>
          <w:sz w:val="24"/>
          <w:szCs w:val="24"/>
          <w:highlight w:val="none"/>
        </w:rPr>
        <w:t xml:space="preserve"> </w:t>
      </w:r>
      <w:r>
        <w:rPr>
          <w:rFonts w:ascii="宋体" w:hAnsi="宋体"/>
          <w:color w:val="auto"/>
          <w:sz w:val="24"/>
          <w:szCs w:val="24"/>
          <w:highlight w:val="none"/>
        </w:rPr>
        <w:t>违约责任</w:t>
      </w:r>
      <w:bookmarkEnd w:id="11"/>
    </w:p>
    <w:p w14:paraId="624FCB2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一、乙方未能按本合同规定的时间完工的，从逾期之日起每日按本合同总价</w:t>
      </w:r>
      <w:r>
        <w:rPr>
          <w:rFonts w:hint="eastAsia" w:ascii="宋体" w:hAnsi="宋体"/>
          <w:color w:val="auto"/>
          <w:sz w:val="24"/>
          <w:szCs w:val="24"/>
          <w:highlight w:val="none"/>
          <w:u w:val="single"/>
        </w:rPr>
        <w:t>2‰</w:t>
      </w:r>
      <w:r>
        <w:rPr>
          <w:rFonts w:hint="eastAsia" w:ascii="宋体" w:hAnsi="宋体"/>
          <w:color w:val="auto"/>
          <w:sz w:val="24"/>
          <w:szCs w:val="24"/>
          <w:highlight w:val="none"/>
        </w:rPr>
        <w:t>的数额向甲方支付违约金。如延误超过</w:t>
      </w:r>
      <w:r>
        <w:rPr>
          <w:rFonts w:hint="eastAsia" w:ascii="宋体" w:hAnsi="宋体"/>
          <w:color w:val="auto"/>
          <w:sz w:val="24"/>
          <w:szCs w:val="24"/>
          <w:highlight w:val="none"/>
          <w:u w:val="single"/>
        </w:rPr>
        <w:t>10</w:t>
      </w:r>
      <w:r>
        <w:rPr>
          <w:rFonts w:hint="eastAsia" w:ascii="宋体" w:hAnsi="宋体"/>
          <w:color w:val="auto"/>
          <w:sz w:val="24"/>
          <w:szCs w:val="24"/>
          <w:highlight w:val="none"/>
        </w:rPr>
        <w:t>日仍未完工的，甲方有权解除合同并不予支付任何费用，并有权要求乙方支付合同总价</w:t>
      </w:r>
      <w:r>
        <w:rPr>
          <w:rFonts w:hint="eastAsia" w:ascii="宋体" w:hAnsi="宋体"/>
          <w:color w:val="auto"/>
          <w:sz w:val="24"/>
          <w:szCs w:val="24"/>
          <w:highlight w:val="none"/>
          <w:u w:val="single"/>
        </w:rPr>
        <w:t>20%</w:t>
      </w:r>
      <w:r>
        <w:rPr>
          <w:rFonts w:hint="eastAsia" w:ascii="宋体" w:hAnsi="宋体"/>
          <w:color w:val="auto"/>
          <w:sz w:val="24"/>
          <w:szCs w:val="24"/>
          <w:highlight w:val="none"/>
        </w:rPr>
        <w:t>的款项作为违约金。此外，乙方还应退还已收的全部费用。如乙方已提交阶段成果且经甲方认可的，对应阶段费用无需退还。</w:t>
      </w:r>
    </w:p>
    <w:p w14:paraId="283BA2DE">
      <w:pPr>
        <w:spacing w:line="360" w:lineRule="auto"/>
        <w:ind w:firstLine="480" w:firstLineChars="200"/>
        <w:rPr>
          <w:rFonts w:ascii="宋体" w:hAnsi="宋体"/>
          <w:color w:val="auto"/>
          <w:sz w:val="24"/>
          <w:szCs w:val="24"/>
          <w:highlight w:val="none"/>
        </w:rPr>
      </w:pPr>
      <w:bookmarkStart w:id="12" w:name="_Hlk41563911"/>
      <w:bookmarkStart w:id="13" w:name="_Hlk41563966"/>
      <w:r>
        <w:rPr>
          <w:rFonts w:hint="eastAsia" w:ascii="宋体" w:hAnsi="宋体"/>
          <w:color w:val="auto"/>
          <w:sz w:val="24"/>
          <w:szCs w:val="24"/>
          <w:highlight w:val="none"/>
        </w:rPr>
        <w:t>二、乙方提供的工作成果文件经专家评审质量不合格</w:t>
      </w:r>
      <w:bookmarkEnd w:id="12"/>
      <w:r>
        <w:rPr>
          <w:rFonts w:hint="eastAsia" w:ascii="宋体" w:hAnsi="宋体"/>
          <w:color w:val="auto"/>
          <w:sz w:val="24"/>
          <w:szCs w:val="24"/>
          <w:highlight w:val="none"/>
        </w:rPr>
        <w:t>，应支付合同总价</w:t>
      </w:r>
      <w:r>
        <w:rPr>
          <w:rFonts w:hint="eastAsia" w:ascii="宋体" w:hAnsi="宋体"/>
          <w:color w:val="auto"/>
          <w:sz w:val="24"/>
          <w:szCs w:val="24"/>
          <w:highlight w:val="none"/>
          <w:u w:val="single"/>
        </w:rPr>
        <w:t>20 %</w:t>
      </w:r>
      <w:r>
        <w:rPr>
          <w:rFonts w:hint="eastAsia" w:ascii="宋体" w:hAnsi="宋体"/>
          <w:color w:val="auto"/>
          <w:sz w:val="24"/>
          <w:szCs w:val="24"/>
          <w:highlight w:val="none"/>
        </w:rPr>
        <w:t>的违约金，并且在</w:t>
      </w:r>
      <w:r>
        <w:rPr>
          <w:rFonts w:hint="eastAsia" w:ascii="宋体" w:hAnsi="宋体"/>
          <w:color w:val="auto"/>
          <w:sz w:val="24"/>
          <w:szCs w:val="24"/>
          <w:highlight w:val="none"/>
          <w:u w:val="single"/>
        </w:rPr>
        <w:t>10</w:t>
      </w:r>
      <w:r>
        <w:rPr>
          <w:rFonts w:hint="eastAsia" w:ascii="宋体" w:hAnsi="宋体"/>
          <w:color w:val="auto"/>
          <w:sz w:val="24"/>
          <w:szCs w:val="24"/>
          <w:highlight w:val="none"/>
        </w:rPr>
        <w:t>天内无偿补充完善至质量合格；若乙方无能力补充完善或期满仍未能补充完善完毕，甲方有权单方解除本合同并不予支付任何费用，且有权另行委托其他单位完成，该补充完善的费用由乙方全部承担。</w:t>
      </w:r>
      <w:bookmarkEnd w:id="13"/>
    </w:p>
    <w:p w14:paraId="0239A085">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三、乙方无正当理由不履行本协议时，甲方有权单方解除本合同，乙方除应退还甲方已付给乙方的所有费用，还应向甲方支付本合同暂定总价金额的</w:t>
      </w:r>
      <w:r>
        <w:rPr>
          <w:rFonts w:hint="eastAsia" w:ascii="宋体" w:hAnsi="宋体"/>
          <w:color w:val="auto"/>
          <w:sz w:val="24"/>
          <w:szCs w:val="24"/>
          <w:highlight w:val="none"/>
          <w:u w:val="single"/>
        </w:rPr>
        <w:t>20%</w:t>
      </w:r>
      <w:r>
        <w:rPr>
          <w:rFonts w:hint="eastAsia" w:ascii="宋体" w:hAnsi="宋体"/>
          <w:color w:val="auto"/>
          <w:sz w:val="24"/>
          <w:szCs w:val="24"/>
          <w:highlight w:val="none"/>
        </w:rPr>
        <w:t>作为违约金。</w:t>
      </w:r>
    </w:p>
    <w:p w14:paraId="7D34449A">
      <w:pPr>
        <w:pStyle w:val="6"/>
        <w:snapToGrid w:val="0"/>
        <w:spacing w:line="360" w:lineRule="auto"/>
        <w:rPr>
          <w:rFonts w:ascii="宋体" w:hAnsi="宋体" w:eastAsia="宋体" w:cs="Times New Roman"/>
          <w:b w:val="0"/>
          <w:bCs w:val="0"/>
          <w:color w:val="auto"/>
          <w:highlight w:val="none"/>
        </w:rPr>
      </w:pPr>
      <w:r>
        <w:rPr>
          <w:rFonts w:hint="eastAsia" w:ascii="宋体" w:hAnsi="宋体"/>
          <w:color w:val="auto"/>
          <w:highlight w:val="none"/>
        </w:rPr>
        <w:t xml:space="preserve">   </w:t>
      </w:r>
      <w:r>
        <w:rPr>
          <w:rFonts w:hint="eastAsia" w:ascii="宋体" w:hAnsi="宋体" w:eastAsia="宋体" w:cs="Times New Roman"/>
          <w:b w:val="0"/>
          <w:bCs w:val="0"/>
          <w:color w:val="auto"/>
          <w:highlight w:val="none"/>
        </w:rPr>
        <w:t xml:space="preserve"> 四、双方应在本合同生效之日起三年内履行完毕本合同所述全部权利义务。若因甲方原因终止合同或本合同无法继续履行的，甲方已付费用不予退还，且甲方应按乙方已进行工作所处的阶段支付该阶段的工作费用。</w:t>
      </w:r>
    </w:p>
    <w:p w14:paraId="54755AC6">
      <w:pPr>
        <w:pStyle w:val="6"/>
        <w:snapToGrid w:val="0"/>
        <w:spacing w:line="360" w:lineRule="auto"/>
        <w:ind w:firstLine="480" w:firstLineChars="200"/>
        <w:rPr>
          <w:rFonts w:ascii="宋体" w:hAnsi="宋体" w:eastAsia="宋体" w:cs="Times New Roman"/>
          <w:b w:val="0"/>
          <w:bCs w:val="0"/>
          <w:color w:val="auto"/>
          <w:highlight w:val="none"/>
        </w:rPr>
      </w:pPr>
      <w:r>
        <w:rPr>
          <w:rFonts w:hint="eastAsia" w:ascii="宋体" w:hAnsi="宋体" w:eastAsia="宋体" w:cs="Times New Roman"/>
          <w:b w:val="0"/>
          <w:bCs w:val="0"/>
          <w:color w:val="auto"/>
          <w:highlight w:val="none"/>
        </w:rPr>
        <w:t>五、乙方未经甲方同意将本合同项目咨询工作转委托给第三方的，甲方有权单方解除本合同，乙方应退还甲方已付给乙方的所有费用。</w:t>
      </w:r>
    </w:p>
    <w:p w14:paraId="35C59ADB">
      <w:pPr>
        <w:pStyle w:val="3"/>
        <w:spacing w:before="312" w:beforeLines="100" w:after="156" w:afterLines="50" w:line="360" w:lineRule="auto"/>
        <w:rPr>
          <w:rFonts w:ascii="宋体" w:hAnsi="宋体"/>
          <w:color w:val="auto"/>
          <w:sz w:val="24"/>
          <w:szCs w:val="24"/>
          <w:highlight w:val="none"/>
        </w:rPr>
      </w:pPr>
      <w:bookmarkStart w:id="14" w:name="_Toc301352987"/>
      <w:r>
        <w:rPr>
          <w:rFonts w:hint="eastAsia" w:ascii="宋体" w:hAnsi="宋体"/>
          <w:color w:val="auto"/>
          <w:sz w:val="24"/>
          <w:szCs w:val="24"/>
          <w:highlight w:val="none"/>
        </w:rPr>
        <w:t xml:space="preserve">第十四条 </w:t>
      </w:r>
      <w:r>
        <w:rPr>
          <w:rFonts w:ascii="宋体" w:hAnsi="宋体"/>
          <w:color w:val="auto"/>
          <w:sz w:val="24"/>
          <w:szCs w:val="24"/>
          <w:highlight w:val="none"/>
        </w:rPr>
        <w:t>保密条款</w:t>
      </w:r>
      <w:bookmarkEnd w:id="14"/>
    </w:p>
    <w:p w14:paraId="585AB8D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一</w:t>
      </w:r>
      <w:r>
        <w:rPr>
          <w:rFonts w:hint="eastAsia" w:ascii="宋体" w:hAnsi="宋体"/>
          <w:color w:val="auto"/>
          <w:sz w:val="24"/>
          <w:szCs w:val="24"/>
          <w:highlight w:val="none"/>
        </w:rPr>
        <w:t>、</w:t>
      </w:r>
      <w:r>
        <w:rPr>
          <w:rFonts w:ascii="宋体" w:hAnsi="宋体"/>
          <w:color w:val="auto"/>
          <w:sz w:val="24"/>
          <w:szCs w:val="24"/>
          <w:highlight w:val="none"/>
        </w:rPr>
        <w:t>乙方对在履行本</w:t>
      </w:r>
      <w:r>
        <w:rPr>
          <w:rFonts w:hint="eastAsia" w:ascii="宋体" w:hAnsi="宋体"/>
          <w:color w:val="auto"/>
          <w:sz w:val="24"/>
          <w:szCs w:val="24"/>
          <w:highlight w:val="none"/>
        </w:rPr>
        <w:t>合同</w:t>
      </w:r>
      <w:r>
        <w:rPr>
          <w:rFonts w:ascii="宋体" w:hAnsi="宋体"/>
          <w:color w:val="auto"/>
          <w:sz w:val="24"/>
          <w:szCs w:val="24"/>
          <w:highlight w:val="none"/>
        </w:rPr>
        <w:t>过程中所获悉的属于</w:t>
      </w:r>
      <w:r>
        <w:rPr>
          <w:rFonts w:hint="eastAsia" w:ascii="宋体" w:hAnsi="宋体"/>
          <w:color w:val="auto"/>
          <w:sz w:val="24"/>
          <w:szCs w:val="24"/>
          <w:highlight w:val="none"/>
        </w:rPr>
        <w:t>甲</w:t>
      </w:r>
      <w:r>
        <w:rPr>
          <w:rFonts w:ascii="宋体" w:hAnsi="宋体"/>
          <w:color w:val="auto"/>
          <w:sz w:val="24"/>
          <w:szCs w:val="24"/>
          <w:highlight w:val="none"/>
        </w:rPr>
        <w:t>方的</w:t>
      </w:r>
      <w:r>
        <w:rPr>
          <w:rFonts w:hint="eastAsia" w:ascii="宋体" w:hAnsi="宋体"/>
          <w:color w:val="auto"/>
          <w:sz w:val="24"/>
          <w:szCs w:val="24"/>
          <w:highlight w:val="none"/>
        </w:rPr>
        <w:t>商业秘密、技术秘密和其他行政管理信息、技术信息、政府决策等一切暂未对外公开的</w:t>
      </w:r>
      <w:r>
        <w:rPr>
          <w:rFonts w:ascii="宋体" w:hAnsi="宋体"/>
          <w:color w:val="auto"/>
          <w:sz w:val="24"/>
          <w:szCs w:val="24"/>
          <w:highlight w:val="none"/>
        </w:rPr>
        <w:t>信息和资料均属于保密信息</w:t>
      </w:r>
      <w:r>
        <w:rPr>
          <w:rFonts w:hint="eastAsia" w:ascii="宋体" w:hAnsi="宋体"/>
          <w:color w:val="auto"/>
          <w:sz w:val="24"/>
          <w:szCs w:val="24"/>
          <w:highlight w:val="none"/>
        </w:rPr>
        <w:t>，乙方</w:t>
      </w:r>
      <w:r>
        <w:rPr>
          <w:rFonts w:ascii="宋体" w:hAnsi="宋体"/>
          <w:color w:val="auto"/>
          <w:sz w:val="24"/>
          <w:szCs w:val="24"/>
          <w:highlight w:val="none"/>
        </w:rPr>
        <w:t>不得向任何第三方泄露</w:t>
      </w:r>
      <w:r>
        <w:rPr>
          <w:rFonts w:hint="eastAsia" w:ascii="宋体" w:hAnsi="宋体"/>
          <w:color w:val="auto"/>
          <w:sz w:val="24"/>
          <w:szCs w:val="24"/>
          <w:highlight w:val="none"/>
        </w:rPr>
        <w:t>，</w:t>
      </w:r>
      <w:r>
        <w:rPr>
          <w:rFonts w:ascii="宋体" w:hAnsi="宋体"/>
          <w:color w:val="auto"/>
          <w:sz w:val="24"/>
          <w:szCs w:val="24"/>
          <w:highlight w:val="none"/>
        </w:rPr>
        <w:t>无论本合同是否生效、被撤销、变更、解除或终止，仍应执行本保密条款。</w:t>
      </w:r>
    </w:p>
    <w:p w14:paraId="709A40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二、乙方委派的专家、助理等直接或间接接触保密信息的人员均应恪尽保密义务，不因人员的流动、更替而免责。</w:t>
      </w:r>
    </w:p>
    <w:p w14:paraId="3FABA92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乙方对于从甲方得到的保密信息，应当确保保密信息的安全，如乙方内部已有保密制度的，应将从甲方得到的保密信息视同乙方内部的保密信息进行安全管理。对于从甲方获得的保密信息，安全管理要求不得低于国家、行业和甲方相关的安全管理要求。</w:t>
      </w:r>
    </w:p>
    <w:p w14:paraId="7CE3685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四、乙方所获知的保密信息须在本单位内部谨慎的使用，只能透露给本单位直接参与合同项目的人员，透露的内容只能是与其工作相关的信息。</w:t>
      </w:r>
    </w:p>
    <w:p w14:paraId="4106747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五、乙方应当采取必要的措施防止复制、泄漏或遗失。乙方亦不得依据保密信息，就任何问题，向第三方做出任何建议。</w:t>
      </w:r>
    </w:p>
    <w:p w14:paraId="25A106A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保密信息及利用保密信息所形成的工作成果，乙方及其相关人员应负保密责任，非经甲方书面同意，不得以任何方式就保密信息及工作过程内容、成果之全部或部分泄漏、告知、复制、传播、或对外发表、或为自己及其他第三人使用。</w:t>
      </w:r>
    </w:p>
    <w:p w14:paraId="47586330">
      <w:pPr>
        <w:pStyle w:val="3"/>
        <w:spacing w:before="312" w:beforeLines="100" w:after="156" w:afterLines="50" w:line="360" w:lineRule="auto"/>
        <w:rPr>
          <w:rFonts w:ascii="宋体" w:hAnsi="宋体"/>
          <w:color w:val="auto"/>
          <w:sz w:val="24"/>
          <w:szCs w:val="24"/>
          <w:highlight w:val="none"/>
        </w:rPr>
      </w:pPr>
      <w:bookmarkStart w:id="15" w:name="_Toc301352990"/>
      <w:bookmarkStart w:id="16" w:name="_Toc301352989"/>
      <w:r>
        <w:rPr>
          <w:rFonts w:ascii="宋体" w:hAnsi="宋体"/>
          <w:color w:val="auto"/>
          <w:sz w:val="24"/>
          <w:szCs w:val="24"/>
          <w:highlight w:val="none"/>
        </w:rPr>
        <w:t>第十</w:t>
      </w:r>
      <w:r>
        <w:rPr>
          <w:rFonts w:hint="eastAsia" w:ascii="宋体" w:hAnsi="宋体"/>
          <w:color w:val="auto"/>
          <w:sz w:val="24"/>
          <w:szCs w:val="24"/>
          <w:highlight w:val="none"/>
        </w:rPr>
        <w:t>五</w:t>
      </w:r>
      <w:r>
        <w:rPr>
          <w:rFonts w:ascii="宋体" w:hAnsi="宋体"/>
          <w:color w:val="auto"/>
          <w:sz w:val="24"/>
          <w:szCs w:val="24"/>
          <w:highlight w:val="none"/>
        </w:rPr>
        <w:t>条</w:t>
      </w:r>
      <w:r>
        <w:rPr>
          <w:rFonts w:hint="eastAsia" w:ascii="宋体" w:hAnsi="宋体"/>
          <w:color w:val="auto"/>
          <w:sz w:val="24"/>
          <w:szCs w:val="24"/>
          <w:highlight w:val="none"/>
        </w:rPr>
        <w:t xml:space="preserve"> </w:t>
      </w:r>
      <w:r>
        <w:rPr>
          <w:rFonts w:ascii="宋体" w:hAnsi="宋体"/>
          <w:color w:val="auto"/>
          <w:sz w:val="24"/>
          <w:szCs w:val="24"/>
          <w:highlight w:val="none"/>
        </w:rPr>
        <w:t>不可抗力</w:t>
      </w:r>
      <w:bookmarkEnd w:id="15"/>
    </w:p>
    <w:p w14:paraId="66C5E28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一、不可抗力事件是指合同双方在签署本合同时不能预见、不能避免并不能克服的客观情况。包括：地震、台风、水灾、火灾，以及政府行为、战争、瘟疫等。</w:t>
      </w:r>
    </w:p>
    <w:p w14:paraId="567BA5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二、若任何一方因不可抗力事件不能履行本合同，应及时通知对方，并在不可抗力发生后10天内向对方提供有关不可抗力发生的有效证明。</w:t>
      </w:r>
    </w:p>
    <w:p w14:paraId="67BAF01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三、受不可抗力事件影响的一方应迅速采取合理的措施，尽量减少因不可抗力事件给各方带来的损失。如果未能采取积极的措施减少不可抗力事件的影响，则该方应承担由此而扩大的损失。</w:t>
      </w:r>
    </w:p>
    <w:p w14:paraId="4499815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四、如果发生影响履行本合同的不可抗力事件，则双方应及时协商制定并实施补救计划和合理的替代措施，减少或消除不可抗力事件的影响。</w:t>
      </w:r>
    </w:p>
    <w:p w14:paraId="152FB47C">
      <w:pPr>
        <w:pStyle w:val="3"/>
        <w:spacing w:before="312" w:beforeLines="100" w:after="156" w:afterLines="50" w:line="360" w:lineRule="auto"/>
        <w:rPr>
          <w:rFonts w:ascii="宋体" w:hAnsi="宋体"/>
          <w:color w:val="auto"/>
          <w:sz w:val="24"/>
          <w:szCs w:val="24"/>
          <w:highlight w:val="none"/>
        </w:rPr>
      </w:pPr>
      <w:r>
        <w:rPr>
          <w:rFonts w:ascii="宋体" w:hAnsi="宋体"/>
          <w:color w:val="auto"/>
          <w:sz w:val="24"/>
          <w:szCs w:val="24"/>
          <w:highlight w:val="none"/>
        </w:rPr>
        <w:t>第十</w:t>
      </w:r>
      <w:r>
        <w:rPr>
          <w:rFonts w:hint="eastAsia" w:ascii="宋体" w:hAnsi="宋体"/>
          <w:color w:val="auto"/>
          <w:sz w:val="24"/>
          <w:szCs w:val="24"/>
          <w:highlight w:val="none"/>
        </w:rPr>
        <w:t>六</w:t>
      </w:r>
      <w:r>
        <w:rPr>
          <w:rFonts w:ascii="宋体" w:hAnsi="宋体"/>
          <w:color w:val="auto"/>
          <w:sz w:val="24"/>
          <w:szCs w:val="24"/>
          <w:highlight w:val="none"/>
        </w:rPr>
        <w:t>条</w:t>
      </w:r>
      <w:r>
        <w:rPr>
          <w:rFonts w:hint="eastAsia" w:ascii="宋体" w:hAnsi="宋体"/>
          <w:color w:val="auto"/>
          <w:sz w:val="24"/>
          <w:szCs w:val="24"/>
          <w:highlight w:val="none"/>
        </w:rPr>
        <w:t xml:space="preserve"> </w:t>
      </w:r>
      <w:r>
        <w:rPr>
          <w:rFonts w:ascii="宋体" w:hAnsi="宋体"/>
          <w:color w:val="auto"/>
          <w:sz w:val="24"/>
          <w:szCs w:val="24"/>
          <w:highlight w:val="none"/>
        </w:rPr>
        <w:t>争议解决方式</w:t>
      </w:r>
      <w:bookmarkEnd w:id="16"/>
    </w:p>
    <w:p w14:paraId="67FA791F">
      <w:pPr>
        <w:spacing w:line="360" w:lineRule="auto"/>
        <w:ind w:firstLine="480" w:firstLineChars="200"/>
        <w:rPr>
          <w:rFonts w:ascii="宋体" w:hAnsi="宋体"/>
          <w:color w:val="auto"/>
          <w:sz w:val="24"/>
          <w:szCs w:val="24"/>
          <w:highlight w:val="none"/>
        </w:rPr>
      </w:pPr>
      <w:bookmarkStart w:id="17" w:name="_Toc301352991"/>
      <w:r>
        <w:rPr>
          <w:rFonts w:ascii="宋体" w:hAnsi="宋体"/>
          <w:color w:val="auto"/>
          <w:sz w:val="24"/>
          <w:szCs w:val="24"/>
          <w:highlight w:val="none"/>
        </w:rPr>
        <w:t>本合同在履行过程中发生争议，</w:t>
      </w:r>
      <w:r>
        <w:rPr>
          <w:rFonts w:hint="eastAsia" w:ascii="宋体" w:hAnsi="宋体"/>
          <w:color w:val="auto"/>
          <w:sz w:val="24"/>
          <w:szCs w:val="24"/>
          <w:highlight w:val="none"/>
        </w:rPr>
        <w:t>应首先</w:t>
      </w:r>
      <w:r>
        <w:rPr>
          <w:rFonts w:ascii="宋体" w:hAnsi="宋体"/>
          <w:color w:val="auto"/>
          <w:sz w:val="24"/>
          <w:szCs w:val="24"/>
          <w:highlight w:val="none"/>
        </w:rPr>
        <w:t>通过协商</w:t>
      </w:r>
      <w:r>
        <w:rPr>
          <w:rFonts w:hint="eastAsia" w:ascii="宋体" w:hAnsi="宋体"/>
          <w:color w:val="auto"/>
          <w:sz w:val="24"/>
          <w:szCs w:val="24"/>
          <w:highlight w:val="none"/>
        </w:rPr>
        <w:t>的方式</w:t>
      </w:r>
      <w:r>
        <w:rPr>
          <w:rFonts w:ascii="宋体" w:hAnsi="宋体"/>
          <w:color w:val="auto"/>
          <w:sz w:val="24"/>
          <w:szCs w:val="24"/>
          <w:highlight w:val="none"/>
        </w:rPr>
        <w:t>解决，协商不成，向</w:t>
      </w:r>
      <w:r>
        <w:rPr>
          <w:rFonts w:hint="eastAsia" w:ascii="宋体" w:hAnsi="宋体"/>
          <w:color w:val="auto"/>
          <w:sz w:val="24"/>
          <w:szCs w:val="24"/>
          <w:highlight w:val="none"/>
        </w:rPr>
        <w:t>甲方所在地</w:t>
      </w:r>
      <w:r>
        <w:rPr>
          <w:rFonts w:ascii="宋体" w:hAnsi="宋体"/>
          <w:color w:val="auto"/>
          <w:sz w:val="24"/>
          <w:szCs w:val="24"/>
          <w:highlight w:val="none"/>
        </w:rPr>
        <w:t>人民法院起诉。</w:t>
      </w:r>
    </w:p>
    <w:p w14:paraId="025761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在诉讼期间，本合同不涉及争议部分的条款仍须履行。</w:t>
      </w:r>
    </w:p>
    <w:p w14:paraId="3E86AC4D">
      <w:pPr>
        <w:pStyle w:val="25"/>
        <w:spacing w:line="360" w:lineRule="auto"/>
        <w:rPr>
          <w:color w:val="auto"/>
          <w:highlight w:val="none"/>
        </w:rPr>
      </w:pPr>
    </w:p>
    <w:p w14:paraId="30198C9B">
      <w:pPr>
        <w:spacing w:line="360" w:lineRule="auto"/>
        <w:rPr>
          <w:rFonts w:ascii="宋体" w:hAnsi="宋体"/>
          <w:color w:val="auto"/>
          <w:sz w:val="24"/>
          <w:szCs w:val="24"/>
          <w:highlight w:val="none"/>
        </w:rPr>
      </w:pPr>
      <w:r>
        <w:rPr>
          <w:rFonts w:ascii="宋体" w:hAnsi="宋体"/>
          <w:b/>
          <w:bCs/>
          <w:color w:val="auto"/>
          <w:kern w:val="44"/>
          <w:sz w:val="24"/>
          <w:szCs w:val="24"/>
          <w:highlight w:val="none"/>
        </w:rPr>
        <w:t>第十</w:t>
      </w:r>
      <w:r>
        <w:rPr>
          <w:rFonts w:hint="eastAsia" w:ascii="宋体" w:hAnsi="宋体"/>
          <w:b/>
          <w:bCs/>
          <w:color w:val="auto"/>
          <w:kern w:val="44"/>
          <w:sz w:val="24"/>
          <w:szCs w:val="24"/>
          <w:highlight w:val="none"/>
        </w:rPr>
        <w:t>七条 其他</w:t>
      </w:r>
      <w:bookmarkEnd w:id="17"/>
    </w:p>
    <w:p w14:paraId="2F34185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如在本合同履行期间，因政策变化、计划调整及其它不可抗力的自然及人为原因，造成本项目停止或延缓，则乙方必须无条件接受甲方要求终止服务，并应积极配合甲方做好善后工作，甲方无需向乙方承担任何违约责任。如乙方未开展工作的，应退还甲方已付费用；如乙方已经开展工作的，双方按照乙方已完成工作量按照本合同约定支付相应合同款。</w:t>
      </w:r>
    </w:p>
    <w:p w14:paraId="6082792D">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二、本项工作期间，召开专家评审会、工作汇报、项目介绍等所需文本及相关材料打印，均由乙方按需求的份数、质量提供。甲方不再另行支付费用。</w:t>
      </w:r>
    </w:p>
    <w:p w14:paraId="680A7B84">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本合同经双方签字</w:t>
      </w:r>
      <w:r>
        <w:rPr>
          <w:rFonts w:hint="eastAsia" w:ascii="宋体" w:hAnsi="宋体"/>
          <w:color w:val="auto"/>
          <w:sz w:val="24"/>
          <w:szCs w:val="24"/>
          <w:highlight w:val="none"/>
        </w:rPr>
        <w:t>盖章之日</w:t>
      </w:r>
      <w:r>
        <w:rPr>
          <w:rFonts w:ascii="宋体" w:hAnsi="宋体"/>
          <w:color w:val="auto"/>
          <w:sz w:val="24"/>
          <w:szCs w:val="24"/>
          <w:highlight w:val="none"/>
        </w:rPr>
        <w:t>起生效</w:t>
      </w:r>
      <w:r>
        <w:rPr>
          <w:rFonts w:hint="eastAsia" w:ascii="宋体" w:hAnsi="宋体"/>
          <w:color w:val="auto"/>
          <w:sz w:val="24"/>
          <w:szCs w:val="24"/>
          <w:highlight w:val="none"/>
        </w:rPr>
        <w:t>，</w:t>
      </w:r>
      <w:r>
        <w:rPr>
          <w:rFonts w:ascii="宋体" w:hAnsi="宋体"/>
          <w:color w:val="auto"/>
          <w:sz w:val="24"/>
          <w:szCs w:val="24"/>
          <w:highlight w:val="none"/>
        </w:rPr>
        <w:t>本合同一式</w:t>
      </w:r>
      <w:r>
        <w:rPr>
          <w:rFonts w:hint="eastAsia" w:ascii="宋体" w:hAnsi="宋体"/>
          <w:color w:val="auto"/>
          <w:sz w:val="24"/>
          <w:szCs w:val="24"/>
          <w:highlight w:val="none"/>
          <w:u w:val="single"/>
        </w:rPr>
        <w:t xml:space="preserve"> 八</w:t>
      </w:r>
      <w:r>
        <w:rPr>
          <w:rFonts w:ascii="宋体" w:hAnsi="宋体"/>
          <w:color w:val="auto"/>
          <w:sz w:val="24"/>
          <w:szCs w:val="24"/>
          <w:highlight w:val="none"/>
          <w:u w:val="single"/>
        </w:rPr>
        <w:t xml:space="preserve"> </w:t>
      </w:r>
      <w:r>
        <w:rPr>
          <w:rFonts w:ascii="宋体" w:hAnsi="宋体"/>
          <w:color w:val="auto"/>
          <w:sz w:val="24"/>
          <w:szCs w:val="24"/>
          <w:highlight w:val="none"/>
        </w:rPr>
        <w:t>份，甲方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四</w:t>
      </w:r>
      <w:r>
        <w:rPr>
          <w:rFonts w:ascii="宋体" w:hAnsi="宋体"/>
          <w:color w:val="auto"/>
          <w:sz w:val="24"/>
          <w:szCs w:val="24"/>
          <w:highlight w:val="none"/>
          <w:u w:val="single"/>
        </w:rPr>
        <w:t xml:space="preserve"> </w:t>
      </w:r>
      <w:r>
        <w:rPr>
          <w:rFonts w:ascii="宋体" w:hAnsi="宋体"/>
          <w:color w:val="auto"/>
          <w:sz w:val="24"/>
          <w:szCs w:val="24"/>
          <w:highlight w:val="none"/>
        </w:rPr>
        <w:t>份，乙方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四</w:t>
      </w:r>
      <w:r>
        <w:rPr>
          <w:rFonts w:ascii="宋体" w:hAnsi="宋体"/>
          <w:color w:val="auto"/>
          <w:sz w:val="24"/>
          <w:szCs w:val="24"/>
          <w:highlight w:val="none"/>
          <w:u w:val="single"/>
        </w:rPr>
        <w:t xml:space="preserve"> </w:t>
      </w:r>
      <w:r>
        <w:rPr>
          <w:rFonts w:ascii="宋体" w:hAnsi="宋体"/>
          <w:color w:val="auto"/>
          <w:sz w:val="24"/>
          <w:szCs w:val="24"/>
          <w:highlight w:val="none"/>
        </w:rPr>
        <w:t>份，每份均具有同等法律效力。</w:t>
      </w:r>
    </w:p>
    <w:p w14:paraId="6BB287B6">
      <w:pPr>
        <w:pStyle w:val="25"/>
        <w:rPr>
          <w:color w:val="auto"/>
          <w:highlight w:val="none"/>
        </w:rPr>
      </w:pPr>
    </w:p>
    <w:p w14:paraId="18A42322">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附件：1.廉政合同</w:t>
      </w:r>
    </w:p>
    <w:p w14:paraId="72D0C7DA">
      <w:pPr>
        <w:adjustRightInd w:val="0"/>
        <w:snapToGrid w:val="0"/>
        <w:spacing w:line="360" w:lineRule="auto"/>
        <w:ind w:left="1200"/>
        <w:rPr>
          <w:rFonts w:ascii="宋体" w:hAnsi="宋体"/>
          <w:color w:val="auto"/>
          <w:sz w:val="24"/>
          <w:szCs w:val="24"/>
          <w:highlight w:val="none"/>
        </w:rPr>
      </w:pPr>
      <w:r>
        <w:rPr>
          <w:rFonts w:hint="eastAsia" w:ascii="宋体" w:hAnsi="宋体"/>
          <w:color w:val="auto"/>
          <w:sz w:val="24"/>
          <w:szCs w:val="24"/>
          <w:highlight w:val="none"/>
        </w:rPr>
        <w:t>2.成交通知书</w:t>
      </w:r>
    </w:p>
    <w:p w14:paraId="68DDE1BF">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（以下无正文）</w:t>
      </w:r>
    </w:p>
    <w:p w14:paraId="1BD97616">
      <w:pPr>
        <w:pStyle w:val="25"/>
        <w:rPr>
          <w:color w:val="auto"/>
          <w:highlight w:val="none"/>
        </w:rPr>
      </w:pPr>
    </w:p>
    <w:p w14:paraId="74DA8275">
      <w:pPr>
        <w:pStyle w:val="25"/>
        <w:rPr>
          <w:rFonts w:ascii="宋体" w:hAnsi="宋体"/>
          <w:color w:val="auto"/>
          <w:sz w:val="24"/>
          <w:szCs w:val="24"/>
          <w:highlight w:val="none"/>
        </w:rPr>
      </w:pPr>
    </w:p>
    <w:p w14:paraId="4E6BE347">
      <w:pPr>
        <w:pStyle w:val="25"/>
        <w:rPr>
          <w:rFonts w:ascii="宋体" w:hAnsi="宋体"/>
          <w:color w:val="auto"/>
          <w:sz w:val="24"/>
          <w:szCs w:val="24"/>
          <w:highlight w:val="none"/>
        </w:rPr>
      </w:pPr>
    </w:p>
    <w:p w14:paraId="71AABA40">
      <w:pPr>
        <w:pStyle w:val="25"/>
        <w:rPr>
          <w:rFonts w:ascii="宋体" w:hAnsi="宋体"/>
          <w:color w:val="auto"/>
          <w:sz w:val="24"/>
          <w:szCs w:val="24"/>
          <w:highlight w:val="none"/>
        </w:rPr>
      </w:pPr>
    </w:p>
    <w:p w14:paraId="717AA143">
      <w:pPr>
        <w:adjustRightInd w:val="0"/>
        <w:snapToGrid w:val="0"/>
        <w:spacing w:line="360" w:lineRule="auto"/>
        <w:rPr>
          <w:rFonts w:ascii="宋体" w:hAnsi="宋体"/>
          <w:color w:val="auto"/>
          <w:sz w:val="24"/>
          <w:szCs w:val="24"/>
          <w:highlight w:val="none"/>
        </w:rPr>
      </w:pPr>
    </w:p>
    <w:tbl>
      <w:tblPr>
        <w:tblStyle w:val="19"/>
        <w:tblW w:w="0" w:type="auto"/>
        <w:jc w:val="center"/>
        <w:tblLayout w:type="autofit"/>
        <w:tblCellMar>
          <w:top w:w="0" w:type="dxa"/>
          <w:left w:w="108" w:type="dxa"/>
          <w:bottom w:w="0" w:type="dxa"/>
          <w:right w:w="108" w:type="dxa"/>
        </w:tblCellMar>
      </w:tblPr>
      <w:tblGrid>
        <w:gridCol w:w="4261"/>
        <w:gridCol w:w="4261"/>
      </w:tblGrid>
      <w:tr w14:paraId="4DC8A5F0">
        <w:tblPrEx>
          <w:tblCellMar>
            <w:top w:w="0" w:type="dxa"/>
            <w:left w:w="108" w:type="dxa"/>
            <w:bottom w:w="0" w:type="dxa"/>
            <w:right w:w="108" w:type="dxa"/>
          </w:tblCellMar>
        </w:tblPrEx>
        <w:trPr>
          <w:jc w:val="center"/>
        </w:trPr>
        <w:tc>
          <w:tcPr>
            <w:tcW w:w="4261" w:type="dxa"/>
            <w:tcBorders>
              <w:tl2br w:val="nil"/>
              <w:tr2bl w:val="nil"/>
            </w:tcBorders>
          </w:tcPr>
          <w:p w14:paraId="027E74AA">
            <w:pPr>
              <w:adjustRightInd w:val="0"/>
              <w:spacing w:line="360" w:lineRule="auto"/>
              <w:ind w:left="1440" w:hanging="1440" w:hangingChars="6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甲方（盖章）：广州市荔湾区城市更新建设项目管理中心</w:t>
            </w:r>
            <w:r>
              <w:rPr>
                <w:rFonts w:ascii="宋体" w:hAnsi="宋体" w:cs="宋体"/>
                <w:color w:val="auto"/>
                <w:sz w:val="24"/>
                <w:szCs w:val="24"/>
                <w:highlight w:val="none"/>
              </w:rPr>
              <w:t xml:space="preserve"> </w:t>
            </w:r>
          </w:p>
          <w:p w14:paraId="168FBEAA">
            <w:pPr>
              <w:adjustRightInd w:val="0"/>
              <w:spacing w:line="360" w:lineRule="auto"/>
              <w:ind w:firstLine="2400" w:firstLineChars="1000"/>
              <w:textAlignment w:val="baseline"/>
              <w:rPr>
                <w:rFonts w:ascii="宋体" w:hAnsi="宋体"/>
                <w:color w:val="auto"/>
                <w:sz w:val="24"/>
                <w:szCs w:val="24"/>
                <w:highlight w:val="none"/>
              </w:rPr>
            </w:pPr>
          </w:p>
          <w:p w14:paraId="1CE19B1E">
            <w:pPr>
              <w:adjustRightInd w:val="0"/>
              <w:spacing w:line="360" w:lineRule="auto"/>
              <w:ind w:firstLine="2400" w:firstLineChars="1000"/>
              <w:textAlignment w:val="baseline"/>
              <w:rPr>
                <w:rFonts w:ascii="宋体" w:hAnsi="宋体" w:cs="宋体"/>
                <w:color w:val="auto"/>
                <w:sz w:val="24"/>
                <w:szCs w:val="24"/>
                <w:highlight w:val="none"/>
              </w:rPr>
            </w:pPr>
            <w:r>
              <w:rPr>
                <w:rFonts w:ascii="宋体" w:hAnsi="宋体" w:cs="宋体"/>
                <w:color w:val="auto"/>
                <w:sz w:val="24"/>
                <w:szCs w:val="24"/>
                <w:highlight w:val="none"/>
              </w:rPr>
              <w:t xml:space="preserve">  </w:t>
            </w:r>
          </w:p>
        </w:tc>
        <w:tc>
          <w:tcPr>
            <w:tcW w:w="4261" w:type="dxa"/>
            <w:tcBorders>
              <w:tl2br w:val="nil"/>
              <w:tr2bl w:val="nil"/>
            </w:tcBorders>
          </w:tcPr>
          <w:p w14:paraId="03A99CD4">
            <w:pPr>
              <w:adjustRightInd w:val="0"/>
              <w:spacing w:line="360" w:lineRule="auto"/>
              <w:ind w:left="1680" w:hanging="1680" w:hangingChars="7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乙方（盖章）</w:t>
            </w:r>
            <w:r>
              <w:rPr>
                <w:rFonts w:ascii="宋体" w:hAnsi="宋体" w:cs="宋体"/>
                <w:color w:val="auto"/>
                <w:sz w:val="24"/>
                <w:szCs w:val="24"/>
                <w:highlight w:val="none"/>
              </w:rPr>
              <w:t xml:space="preserve">: </w:t>
            </w:r>
          </w:p>
          <w:p w14:paraId="7EEA1FFF">
            <w:pPr>
              <w:adjustRightInd w:val="0"/>
              <w:spacing w:line="360" w:lineRule="auto"/>
              <w:textAlignment w:val="baseline"/>
              <w:rPr>
                <w:rFonts w:ascii="宋体" w:hAnsi="宋体" w:cs="宋体"/>
                <w:color w:val="auto"/>
                <w:sz w:val="24"/>
                <w:szCs w:val="24"/>
                <w:highlight w:val="none"/>
              </w:rPr>
            </w:pPr>
          </w:p>
          <w:p w14:paraId="61CFA986">
            <w:pPr>
              <w:adjustRightInd w:val="0"/>
              <w:spacing w:line="360" w:lineRule="auto"/>
              <w:ind w:firstLine="2400" w:firstLineChars="1000"/>
              <w:textAlignment w:val="baseline"/>
              <w:rPr>
                <w:rFonts w:ascii="宋体" w:hAnsi="宋体" w:cs="宋体"/>
                <w:color w:val="auto"/>
                <w:sz w:val="24"/>
                <w:szCs w:val="24"/>
                <w:highlight w:val="none"/>
              </w:rPr>
            </w:pPr>
          </w:p>
        </w:tc>
      </w:tr>
      <w:tr w14:paraId="4D307EEF">
        <w:tblPrEx>
          <w:tblCellMar>
            <w:top w:w="0" w:type="dxa"/>
            <w:left w:w="108" w:type="dxa"/>
            <w:bottom w:w="0" w:type="dxa"/>
            <w:right w:w="108" w:type="dxa"/>
          </w:tblCellMar>
        </w:tblPrEx>
        <w:trPr>
          <w:jc w:val="center"/>
        </w:trPr>
        <w:tc>
          <w:tcPr>
            <w:tcW w:w="4261" w:type="dxa"/>
            <w:tcBorders>
              <w:tl2br w:val="nil"/>
              <w:tr2bl w:val="nil"/>
            </w:tcBorders>
          </w:tcPr>
          <w:p w14:paraId="576E37E2">
            <w:pPr>
              <w:adjustRightInd w:val="0"/>
              <w:spacing w:line="360" w:lineRule="auto"/>
              <w:textAlignment w:val="baseline"/>
              <w:rPr>
                <w:rFonts w:ascii="宋体" w:hAnsi="宋体"/>
                <w:color w:val="auto"/>
                <w:sz w:val="24"/>
                <w:szCs w:val="24"/>
                <w:highlight w:val="none"/>
              </w:rPr>
            </w:pPr>
            <w:r>
              <w:rPr>
                <w:rFonts w:hint="eastAsia" w:ascii="宋体" w:hAnsi="宋体" w:cs="宋体"/>
                <w:color w:val="auto"/>
                <w:sz w:val="24"/>
                <w:szCs w:val="24"/>
                <w:highlight w:val="none"/>
              </w:rPr>
              <w:t>法定代表人（签名）：</w:t>
            </w:r>
            <w:r>
              <w:rPr>
                <w:rFonts w:ascii="宋体" w:hAnsi="宋体" w:cs="宋体"/>
                <w:color w:val="auto"/>
                <w:sz w:val="24"/>
                <w:szCs w:val="24"/>
                <w:highlight w:val="none"/>
              </w:rPr>
              <w:t xml:space="preserve">           </w:t>
            </w:r>
          </w:p>
          <w:p w14:paraId="411ED27C">
            <w:pPr>
              <w:adjustRightInd w:val="0"/>
              <w:spacing w:line="360" w:lineRule="auto"/>
              <w:textAlignment w:val="baseline"/>
              <w:rPr>
                <w:rFonts w:ascii="宋体" w:hAnsi="宋体"/>
                <w:color w:val="auto"/>
                <w:sz w:val="24"/>
                <w:szCs w:val="24"/>
                <w:highlight w:val="none"/>
              </w:rPr>
            </w:pPr>
          </w:p>
        </w:tc>
        <w:tc>
          <w:tcPr>
            <w:tcW w:w="4261" w:type="dxa"/>
            <w:tcBorders>
              <w:tl2br w:val="nil"/>
              <w:tr2bl w:val="nil"/>
            </w:tcBorders>
          </w:tcPr>
          <w:p w14:paraId="28399577">
            <w:pPr>
              <w:adjustRightInd w:val="0"/>
              <w:spacing w:line="360" w:lineRule="auto"/>
              <w:textAlignment w:val="baseline"/>
              <w:rPr>
                <w:rFonts w:ascii="宋体" w:hAnsi="宋体"/>
                <w:color w:val="auto"/>
                <w:sz w:val="24"/>
                <w:szCs w:val="24"/>
                <w:highlight w:val="none"/>
              </w:rPr>
            </w:pPr>
            <w:r>
              <w:rPr>
                <w:rFonts w:hint="eastAsia" w:ascii="宋体" w:hAnsi="宋体" w:cs="宋体"/>
                <w:color w:val="auto"/>
                <w:sz w:val="24"/>
                <w:szCs w:val="24"/>
                <w:highlight w:val="none"/>
              </w:rPr>
              <w:t>法定代表人（签名）：</w:t>
            </w:r>
            <w:r>
              <w:rPr>
                <w:rFonts w:ascii="宋体" w:hAnsi="宋体" w:cs="宋体"/>
                <w:color w:val="auto"/>
                <w:sz w:val="24"/>
                <w:szCs w:val="24"/>
                <w:highlight w:val="none"/>
              </w:rPr>
              <w:t xml:space="preserve">           </w:t>
            </w:r>
          </w:p>
        </w:tc>
      </w:tr>
      <w:tr w14:paraId="67769947">
        <w:tblPrEx>
          <w:tblCellMar>
            <w:top w:w="0" w:type="dxa"/>
            <w:left w:w="108" w:type="dxa"/>
            <w:bottom w:w="0" w:type="dxa"/>
            <w:right w:w="108" w:type="dxa"/>
          </w:tblCellMar>
        </w:tblPrEx>
        <w:trPr>
          <w:jc w:val="center"/>
        </w:trPr>
        <w:tc>
          <w:tcPr>
            <w:tcW w:w="4261" w:type="dxa"/>
            <w:tcBorders>
              <w:tl2br w:val="nil"/>
              <w:tr2bl w:val="nil"/>
            </w:tcBorders>
          </w:tcPr>
          <w:p w14:paraId="60B14C1A">
            <w:pPr>
              <w:adjustRightInd w:val="0"/>
              <w:spacing w:line="360" w:lineRule="auto"/>
              <w:textAlignment w:val="baseline"/>
              <w:rPr>
                <w:rFonts w:ascii="宋体" w:hAnsi="宋体"/>
                <w:color w:val="auto"/>
                <w:sz w:val="24"/>
                <w:szCs w:val="24"/>
                <w:highlight w:val="none"/>
              </w:rPr>
            </w:pPr>
            <w:r>
              <w:rPr>
                <w:rFonts w:hint="eastAsia" w:ascii="宋体" w:hAnsi="宋体" w:cs="宋体"/>
                <w:color w:val="auto"/>
                <w:sz w:val="24"/>
                <w:szCs w:val="24"/>
                <w:highlight w:val="none"/>
              </w:rPr>
              <w:t>委托代理人（签名）：</w:t>
            </w:r>
            <w:r>
              <w:rPr>
                <w:rFonts w:ascii="宋体" w:hAnsi="宋体" w:cs="宋体"/>
                <w:color w:val="auto"/>
                <w:sz w:val="24"/>
                <w:szCs w:val="24"/>
                <w:highlight w:val="none"/>
              </w:rPr>
              <w:t xml:space="preserve">       </w:t>
            </w:r>
          </w:p>
          <w:p w14:paraId="28243225">
            <w:pPr>
              <w:adjustRightInd w:val="0"/>
              <w:spacing w:line="360" w:lineRule="auto"/>
              <w:textAlignment w:val="baseline"/>
              <w:rPr>
                <w:rFonts w:ascii="宋体" w:hAnsi="宋体"/>
                <w:color w:val="auto"/>
                <w:sz w:val="24"/>
                <w:szCs w:val="24"/>
                <w:highlight w:val="none"/>
              </w:rPr>
            </w:pPr>
          </w:p>
        </w:tc>
        <w:tc>
          <w:tcPr>
            <w:tcW w:w="4261" w:type="dxa"/>
            <w:tcBorders>
              <w:tl2br w:val="nil"/>
              <w:tr2bl w:val="nil"/>
            </w:tcBorders>
          </w:tcPr>
          <w:p w14:paraId="4D760375">
            <w:pPr>
              <w:adjustRightInd w:val="0"/>
              <w:spacing w:line="360" w:lineRule="auto"/>
              <w:textAlignment w:val="baseline"/>
              <w:rPr>
                <w:rFonts w:ascii="宋体" w:hAnsi="宋体"/>
                <w:color w:val="auto"/>
                <w:sz w:val="24"/>
                <w:szCs w:val="24"/>
                <w:highlight w:val="none"/>
              </w:rPr>
            </w:pPr>
            <w:r>
              <w:rPr>
                <w:rFonts w:hint="eastAsia" w:ascii="宋体" w:hAnsi="宋体" w:cs="宋体"/>
                <w:color w:val="auto"/>
                <w:sz w:val="24"/>
                <w:szCs w:val="24"/>
                <w:highlight w:val="none"/>
              </w:rPr>
              <w:t>委托代理人（签名）：</w:t>
            </w:r>
            <w:r>
              <w:rPr>
                <w:rFonts w:ascii="宋体" w:hAnsi="宋体" w:cs="宋体"/>
                <w:color w:val="auto"/>
                <w:sz w:val="24"/>
                <w:szCs w:val="24"/>
                <w:highlight w:val="none"/>
              </w:rPr>
              <w:t xml:space="preserve">       </w:t>
            </w:r>
          </w:p>
        </w:tc>
      </w:tr>
      <w:tr w14:paraId="06D105DB">
        <w:tblPrEx>
          <w:tblCellMar>
            <w:top w:w="0" w:type="dxa"/>
            <w:left w:w="108" w:type="dxa"/>
            <w:bottom w:w="0" w:type="dxa"/>
            <w:right w:w="108" w:type="dxa"/>
          </w:tblCellMar>
        </w:tblPrEx>
        <w:trPr>
          <w:jc w:val="center"/>
        </w:trPr>
        <w:tc>
          <w:tcPr>
            <w:tcW w:w="4261" w:type="dxa"/>
            <w:tcBorders>
              <w:tl2br w:val="nil"/>
              <w:tr2bl w:val="nil"/>
            </w:tcBorders>
          </w:tcPr>
          <w:p w14:paraId="40F2D7C8">
            <w:pPr>
              <w:adjustRightInd w:val="0"/>
              <w:spacing w:line="360" w:lineRule="auto"/>
              <w:textAlignment w:val="baseline"/>
              <w:rPr>
                <w:rFonts w:ascii="宋体" w:hAnsi="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址： </w:t>
            </w:r>
          </w:p>
        </w:tc>
        <w:tc>
          <w:tcPr>
            <w:tcW w:w="4261" w:type="dxa"/>
            <w:tcBorders>
              <w:tl2br w:val="nil"/>
              <w:tr2bl w:val="nil"/>
            </w:tcBorders>
          </w:tcPr>
          <w:p w14:paraId="40FFEADF">
            <w:pPr>
              <w:adjustRightInd w:val="0"/>
              <w:spacing w:line="360" w:lineRule="auto"/>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p>
        </w:tc>
      </w:tr>
      <w:tr w14:paraId="102E9B47">
        <w:tblPrEx>
          <w:tblCellMar>
            <w:top w:w="0" w:type="dxa"/>
            <w:left w:w="108" w:type="dxa"/>
            <w:bottom w:w="0" w:type="dxa"/>
            <w:right w:w="108" w:type="dxa"/>
          </w:tblCellMar>
        </w:tblPrEx>
        <w:trPr>
          <w:jc w:val="center"/>
        </w:trPr>
        <w:tc>
          <w:tcPr>
            <w:tcW w:w="4261" w:type="dxa"/>
            <w:tcBorders>
              <w:tl2br w:val="nil"/>
              <w:tr2bl w:val="nil"/>
            </w:tcBorders>
          </w:tcPr>
          <w:p w14:paraId="3D29E2FD">
            <w:pPr>
              <w:adjustRightInd w:val="0"/>
              <w:spacing w:line="360" w:lineRule="auto"/>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话：</w:t>
            </w:r>
            <w:r>
              <w:rPr>
                <w:rFonts w:ascii="宋体" w:hAnsi="宋体" w:cs="宋体"/>
                <w:color w:val="auto"/>
                <w:sz w:val="24"/>
                <w:szCs w:val="24"/>
                <w:highlight w:val="none"/>
              </w:rPr>
              <w:t xml:space="preserve"> </w:t>
            </w:r>
          </w:p>
        </w:tc>
        <w:tc>
          <w:tcPr>
            <w:tcW w:w="4261" w:type="dxa"/>
            <w:tcBorders>
              <w:tl2br w:val="nil"/>
              <w:tr2bl w:val="nil"/>
            </w:tcBorders>
          </w:tcPr>
          <w:p w14:paraId="7AE21257">
            <w:pPr>
              <w:adjustRightInd w:val="0"/>
              <w:spacing w:line="360" w:lineRule="auto"/>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话：</w:t>
            </w:r>
          </w:p>
        </w:tc>
      </w:tr>
      <w:tr w14:paraId="297DC3DA">
        <w:tblPrEx>
          <w:tblCellMar>
            <w:top w:w="0" w:type="dxa"/>
            <w:left w:w="108" w:type="dxa"/>
            <w:bottom w:w="0" w:type="dxa"/>
            <w:right w:w="108" w:type="dxa"/>
          </w:tblCellMar>
        </w:tblPrEx>
        <w:trPr>
          <w:jc w:val="center"/>
        </w:trPr>
        <w:tc>
          <w:tcPr>
            <w:tcW w:w="4261" w:type="dxa"/>
            <w:tcBorders>
              <w:tl2br w:val="nil"/>
              <w:tr2bl w:val="nil"/>
            </w:tcBorders>
          </w:tcPr>
          <w:p w14:paraId="0A7E0A0E">
            <w:pPr>
              <w:adjustRightInd w:val="0"/>
              <w:spacing w:line="360" w:lineRule="auto"/>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签订日期：2024年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tc>
        <w:tc>
          <w:tcPr>
            <w:tcW w:w="4261" w:type="dxa"/>
            <w:tcBorders>
              <w:tl2br w:val="nil"/>
              <w:tr2bl w:val="nil"/>
            </w:tcBorders>
          </w:tcPr>
          <w:p w14:paraId="277ACC5E">
            <w:pPr>
              <w:adjustRightInd w:val="0"/>
              <w:spacing w:line="360" w:lineRule="auto"/>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签订日期：2024年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tc>
      </w:tr>
    </w:tbl>
    <w:p w14:paraId="6DE636C1">
      <w:pPr>
        <w:rPr>
          <w:color w:val="auto"/>
          <w:highlight w:val="none"/>
        </w:rPr>
      </w:pPr>
    </w:p>
    <w:p w14:paraId="73C86CC7">
      <w:pPr>
        <w:pStyle w:val="18"/>
        <w:spacing w:before="0" w:beforeAutospacing="0" w:after="0" w:afterAutospacing="0" w:line="360" w:lineRule="auto"/>
        <w:jc w:val="both"/>
        <w:rPr>
          <w:rFonts w:asciiTheme="minorEastAsia" w:hAnsiTheme="minorEastAsia" w:eastAsiaTheme="minorEastAsia" w:cstheme="minorEastAsia"/>
          <w:color w:val="auto"/>
          <w:sz w:val="18"/>
          <w:szCs w:val="18"/>
          <w:highlight w:val="none"/>
          <w:shd w:val="clear" w:color="auto" w:fill="FFFFFF"/>
        </w:rPr>
      </w:pPr>
    </w:p>
    <w:p w14:paraId="0631D128">
      <w:pPr>
        <w:pStyle w:val="18"/>
        <w:spacing w:before="0" w:beforeAutospacing="0" w:after="0" w:afterAutospacing="0" w:line="360" w:lineRule="auto"/>
        <w:jc w:val="both"/>
        <w:rPr>
          <w:rFonts w:asciiTheme="minorEastAsia" w:hAnsiTheme="minorEastAsia" w:eastAsiaTheme="minorEastAsia" w:cstheme="minorEastAsia"/>
          <w:color w:val="auto"/>
          <w:sz w:val="18"/>
          <w:szCs w:val="18"/>
          <w:highlight w:val="none"/>
          <w:shd w:val="clear" w:color="auto" w:fill="FFFFFF"/>
        </w:rPr>
      </w:pPr>
    </w:p>
    <w:p w14:paraId="3F902BA4">
      <w:pPr>
        <w:pStyle w:val="18"/>
        <w:spacing w:before="0" w:beforeAutospacing="0" w:after="0" w:afterAutospacing="0" w:line="360" w:lineRule="auto"/>
        <w:jc w:val="both"/>
        <w:rPr>
          <w:rFonts w:asciiTheme="minorEastAsia" w:hAnsiTheme="minorEastAsia" w:eastAsiaTheme="minorEastAsia" w:cstheme="minorEastAsia"/>
          <w:color w:val="auto"/>
          <w:sz w:val="18"/>
          <w:szCs w:val="18"/>
          <w:highlight w:val="none"/>
          <w:shd w:val="clear" w:color="auto" w:fill="FFFFFF"/>
        </w:rPr>
      </w:pPr>
    </w:p>
    <w:p w14:paraId="31A9213F">
      <w:pPr>
        <w:pStyle w:val="18"/>
        <w:spacing w:before="0" w:beforeAutospacing="0" w:after="0" w:afterAutospacing="0" w:line="360" w:lineRule="auto"/>
        <w:jc w:val="both"/>
        <w:rPr>
          <w:rFonts w:asciiTheme="minorEastAsia" w:hAnsiTheme="minorEastAsia" w:eastAsiaTheme="minorEastAsia" w:cstheme="minorEastAsia"/>
          <w:color w:val="auto"/>
          <w:sz w:val="18"/>
          <w:szCs w:val="18"/>
          <w:highlight w:val="none"/>
          <w:shd w:val="clear" w:color="auto" w:fill="FFFFFF"/>
        </w:rPr>
      </w:pPr>
    </w:p>
    <w:p w14:paraId="14D43F4B">
      <w:pPr>
        <w:pStyle w:val="18"/>
        <w:spacing w:before="0" w:beforeAutospacing="0" w:after="0" w:afterAutospacing="0" w:line="360" w:lineRule="auto"/>
        <w:jc w:val="both"/>
        <w:rPr>
          <w:rFonts w:asciiTheme="minorEastAsia" w:hAnsiTheme="minorEastAsia" w:eastAsiaTheme="minorEastAsia" w:cstheme="minorEastAsia"/>
          <w:color w:val="auto"/>
          <w:sz w:val="18"/>
          <w:szCs w:val="18"/>
          <w:highlight w:val="none"/>
          <w:shd w:val="clear" w:color="auto" w:fill="FFFFFF"/>
        </w:rPr>
      </w:pPr>
    </w:p>
    <w:p w14:paraId="7D960BD1">
      <w:pPr>
        <w:pStyle w:val="18"/>
        <w:spacing w:before="0" w:beforeAutospacing="0" w:after="0" w:afterAutospacing="0" w:line="360" w:lineRule="auto"/>
        <w:jc w:val="both"/>
        <w:rPr>
          <w:rFonts w:asciiTheme="minorEastAsia" w:hAnsiTheme="minorEastAsia" w:eastAsiaTheme="minorEastAsia" w:cstheme="minorEastAsia"/>
          <w:color w:val="auto"/>
          <w:sz w:val="18"/>
          <w:szCs w:val="18"/>
          <w:highlight w:val="none"/>
          <w:shd w:val="clear" w:color="auto" w:fill="FFFFFF"/>
        </w:rPr>
      </w:pPr>
    </w:p>
    <w:p w14:paraId="480E3C9A">
      <w:pPr>
        <w:pStyle w:val="18"/>
        <w:spacing w:before="0" w:beforeAutospacing="0" w:after="0" w:afterAutospacing="0" w:line="360" w:lineRule="auto"/>
        <w:jc w:val="both"/>
        <w:rPr>
          <w:rFonts w:asciiTheme="minorEastAsia" w:hAnsiTheme="minorEastAsia" w:eastAsiaTheme="minorEastAsia" w:cstheme="minorEastAsia"/>
          <w:color w:val="auto"/>
          <w:sz w:val="18"/>
          <w:szCs w:val="18"/>
          <w:highlight w:val="none"/>
          <w:shd w:val="clear" w:color="auto" w:fill="FFFFFF"/>
        </w:rPr>
      </w:pPr>
    </w:p>
    <w:p w14:paraId="15DF9278">
      <w:pPr>
        <w:pStyle w:val="18"/>
        <w:spacing w:before="0" w:beforeAutospacing="0" w:after="0" w:afterAutospacing="0" w:line="360" w:lineRule="auto"/>
        <w:jc w:val="both"/>
        <w:rPr>
          <w:rFonts w:asciiTheme="minorEastAsia" w:hAnsiTheme="minorEastAsia" w:eastAsiaTheme="minorEastAsia" w:cstheme="minorEastAsia"/>
          <w:color w:val="auto"/>
          <w:sz w:val="18"/>
          <w:szCs w:val="18"/>
          <w:highlight w:val="none"/>
          <w:shd w:val="clear" w:color="auto" w:fill="FFFFFF"/>
        </w:rPr>
      </w:pPr>
    </w:p>
    <w:p w14:paraId="3D997AE4">
      <w:pPr>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br w:type="page"/>
      </w:r>
    </w:p>
    <w:p w14:paraId="05AA37A7">
      <w:pPr>
        <w:pStyle w:val="4"/>
        <w:keepNext w:val="0"/>
        <w:keepLines w:val="0"/>
        <w:spacing w:before="100" w:beforeAutospacing="1" w:after="100" w:afterAutospacing="1" w:line="24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附件1</w:t>
      </w:r>
    </w:p>
    <w:p w14:paraId="3FDBC587">
      <w:pPr>
        <w:pStyle w:val="4"/>
        <w:keepNext w:val="0"/>
        <w:keepLines w:val="0"/>
        <w:spacing w:before="100" w:beforeAutospacing="1" w:after="100" w:afterAutospacing="1" w:line="24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廉 政 合 同</w:t>
      </w:r>
    </w:p>
    <w:p w14:paraId="556B906E">
      <w:pPr>
        <w:spacing w:line="360" w:lineRule="auto"/>
        <w:jc w:val="left"/>
        <w:rPr>
          <w:rFonts w:asciiTheme="minorEastAsia" w:hAnsiTheme="minorEastAsia" w:eastAsiaTheme="minorEastAsia" w:cstheme="minorEastAsia"/>
          <w:color w:val="auto"/>
          <w:kern w:val="0"/>
          <w:sz w:val="24"/>
          <w:szCs w:val="24"/>
          <w:highlight w:val="none"/>
          <w:u w:val="single"/>
          <w:lang w:val="zh-CN"/>
        </w:rPr>
      </w:pPr>
      <w:r>
        <w:rPr>
          <w:rFonts w:hint="eastAsia" w:asciiTheme="minorEastAsia" w:hAnsiTheme="minorEastAsia" w:eastAsiaTheme="minorEastAsia" w:cstheme="minorEastAsia"/>
          <w:color w:val="auto"/>
          <w:kern w:val="0"/>
          <w:sz w:val="24"/>
          <w:szCs w:val="24"/>
          <w:highlight w:val="none"/>
          <w:lang w:val="zh-CN"/>
        </w:rPr>
        <w:t>甲方：</w:t>
      </w:r>
      <w:r>
        <w:rPr>
          <w:rFonts w:hint="eastAsia" w:asciiTheme="minorEastAsia" w:hAnsiTheme="minorEastAsia" w:eastAsiaTheme="minorEastAsia" w:cstheme="minorEastAsia"/>
          <w:color w:val="auto"/>
          <w:kern w:val="0"/>
          <w:sz w:val="24"/>
          <w:szCs w:val="24"/>
          <w:highlight w:val="none"/>
          <w:u w:val="single"/>
          <w:lang w:val="zh-CN"/>
        </w:rPr>
        <w:t>广州市荔湾区</w:t>
      </w:r>
      <w:r>
        <w:rPr>
          <w:rFonts w:hint="eastAsia" w:asciiTheme="minorEastAsia" w:hAnsiTheme="minorEastAsia" w:eastAsiaTheme="minorEastAsia" w:cstheme="minorEastAsia"/>
          <w:color w:val="auto"/>
          <w:kern w:val="0"/>
          <w:sz w:val="24"/>
          <w:szCs w:val="24"/>
          <w:highlight w:val="none"/>
          <w:u w:val="single"/>
        </w:rPr>
        <w:t>城市更新建设项目管理中心</w:t>
      </w:r>
    </w:p>
    <w:p w14:paraId="29A1CBA7">
      <w:pPr>
        <w:spacing w:line="360" w:lineRule="auto"/>
        <w:jc w:val="left"/>
        <w:rPr>
          <w:rFonts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lang w:val="zh-CN"/>
        </w:rPr>
        <w:t>乙方：</w:t>
      </w:r>
      <w:r>
        <w:rPr>
          <w:rFonts w:hint="eastAsia" w:asciiTheme="minorEastAsia" w:hAnsiTheme="minorEastAsia" w:eastAsiaTheme="minorEastAsia" w:cstheme="minorEastAsia"/>
          <w:color w:val="auto"/>
          <w:kern w:val="0"/>
          <w:sz w:val="24"/>
          <w:szCs w:val="24"/>
          <w:highlight w:val="none"/>
          <w:u w:val="single"/>
        </w:rPr>
        <w:t xml:space="preserve">                                    </w:t>
      </w:r>
    </w:p>
    <w:p w14:paraId="4463CD66">
      <w:pPr>
        <w:spacing w:line="358"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Theme="minorEastAsia" w:hAnsiTheme="minorEastAsia" w:eastAsiaTheme="minorEastAsia" w:cstheme="minorEastAsia"/>
          <w:color w:val="auto"/>
          <w:sz w:val="24"/>
          <w:szCs w:val="24"/>
          <w:highlight w:val="none"/>
        </w:rPr>
        <w:t>。</w:t>
      </w:r>
    </w:p>
    <w:p w14:paraId="0E4ED46B">
      <w:pPr>
        <w:spacing w:line="358" w:lineRule="auto"/>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  双方权利和义务</w:t>
      </w:r>
    </w:p>
    <w:p w14:paraId="2AAC0B1F">
      <w:pPr>
        <w:spacing w:line="358"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严格遵守国家、省有关法律法规的规定。</w:t>
      </w:r>
    </w:p>
    <w:p w14:paraId="1D723D39">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严格执行合同工程一切合同文件，自觉按合同办事。</w:t>
      </w:r>
    </w:p>
    <w:p w14:paraId="6B729033">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  </w:t>
      </w:r>
      <w:r>
        <w:rPr>
          <w:rFonts w:hint="eastAsia" w:asciiTheme="minorEastAsia" w:hAnsiTheme="minorEastAsia" w:eastAsiaTheme="minorEastAsia" w:cstheme="minorEastAsia"/>
          <w:color w:val="auto"/>
          <w:kern w:val="0"/>
          <w:sz w:val="24"/>
          <w:szCs w:val="24"/>
          <w:highlight w:val="none"/>
          <w:lang w:val="zh-CN"/>
        </w:rPr>
        <w:t>合同双方当事人的业务活动应坚持公平、公开、公正和诚信的原则（法律认定的商业</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zh-CN"/>
        </w:rPr>
        <w:t>秘密和合同文件另有规定除外），不得损害国家和集体利益，不得违反工程建设管理规章制度</w:t>
      </w:r>
      <w:r>
        <w:rPr>
          <w:rFonts w:hint="eastAsia" w:asciiTheme="minorEastAsia" w:hAnsiTheme="minorEastAsia" w:eastAsiaTheme="minorEastAsia" w:cstheme="minorEastAsia"/>
          <w:color w:val="auto"/>
          <w:sz w:val="24"/>
          <w:szCs w:val="24"/>
          <w:highlight w:val="none"/>
        </w:rPr>
        <w:t>。</w:t>
      </w:r>
    </w:p>
    <w:p w14:paraId="5217CDB9">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  建立健全廉政制度，开展廉政教育，设立廉政告示牌，公布举报电话，监督并认真查处违法违纪行为。</w:t>
      </w:r>
    </w:p>
    <w:p w14:paraId="126BC5DC">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  发现对方在业务活动中有违反廉政建设规定的行为，应及时给予提醒和纠正。</w:t>
      </w:r>
    </w:p>
    <w:p w14:paraId="3021B09E">
      <w:pPr>
        <w:spacing w:line="358"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  发现对方严重违反合同的行为，有向其上级部门举报、建议给予处理并要求告知处理结果的权利。</w:t>
      </w:r>
    </w:p>
    <w:p w14:paraId="0CD73567">
      <w:pPr>
        <w:spacing w:line="358" w:lineRule="auto"/>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  甲方义务</w:t>
      </w:r>
    </w:p>
    <w:p w14:paraId="28BCD683">
      <w:pPr>
        <w:spacing w:line="358"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甲方及其工作人员不得索要或接受乙方的礼金、有价证券和贵重物品，不得在乙方报销任何应由甲方或工作人员个人支付的费用等。</w:t>
      </w:r>
    </w:p>
    <w:p w14:paraId="0F3F034F">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14:paraId="3310E000">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甲方及其工作人员不得要求或者接受乙方为其住房装修、婚丧嫁娶活动、配偶子女的工作安排以及出国出境、旅游等提供方便等。</w:t>
      </w:r>
    </w:p>
    <w:p w14:paraId="1816F868">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甲方</w:t>
      </w:r>
      <w:r>
        <w:rPr>
          <w:rFonts w:hint="eastAsia" w:asciiTheme="minorEastAsia" w:hAnsiTheme="minorEastAsia" w:eastAsiaTheme="minorEastAsia" w:cstheme="minorEastAsia"/>
          <w:color w:val="auto"/>
          <w:kern w:val="0"/>
          <w:sz w:val="24"/>
          <w:szCs w:val="24"/>
          <w:highlight w:val="none"/>
          <w:lang w:val="zh-CN"/>
        </w:rPr>
        <w:t>及其工作人员要秉公办事，不准营私舞弊，不准利用职权私自为合同工程安排施工队伍，也不得从事与合同工程有关的各种有偿中介活动</w:t>
      </w:r>
      <w:r>
        <w:rPr>
          <w:rFonts w:hint="eastAsia" w:asciiTheme="minorEastAsia" w:hAnsiTheme="minorEastAsia" w:eastAsiaTheme="minorEastAsia" w:cstheme="minorEastAsia"/>
          <w:color w:val="auto"/>
          <w:sz w:val="24"/>
          <w:szCs w:val="24"/>
          <w:highlight w:val="none"/>
        </w:rPr>
        <w:t>。</w:t>
      </w:r>
    </w:p>
    <w:p w14:paraId="2DF37B43">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甲方</w:t>
      </w:r>
      <w:r>
        <w:rPr>
          <w:rFonts w:hint="eastAsia" w:asciiTheme="minorEastAsia" w:hAnsiTheme="minorEastAsia" w:eastAsiaTheme="minorEastAsia" w:cstheme="minorEastAsia"/>
          <w:color w:val="auto"/>
          <w:kern w:val="0"/>
          <w:sz w:val="24"/>
          <w:szCs w:val="24"/>
          <w:highlight w:val="none"/>
          <w:lang w:val="zh-CN"/>
        </w:rPr>
        <w:t>及其工作人员（含其配偶、子女）不得从事与合同工程有关的材料和工程设备供应、工程分包、劳务等经济活动</w:t>
      </w:r>
      <w:r>
        <w:rPr>
          <w:rFonts w:hint="eastAsia" w:asciiTheme="minorEastAsia" w:hAnsiTheme="minorEastAsia" w:eastAsiaTheme="minorEastAsia" w:cstheme="minorEastAsia"/>
          <w:color w:val="auto"/>
          <w:sz w:val="24"/>
          <w:szCs w:val="24"/>
          <w:highlight w:val="none"/>
        </w:rPr>
        <w:t>。</w:t>
      </w:r>
    </w:p>
    <w:p w14:paraId="630B6460">
      <w:pPr>
        <w:spacing w:line="358"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  乙方义务</w:t>
      </w:r>
    </w:p>
    <w:p w14:paraId="52C2675E">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乙方不得以任何理由向甲方及其工作人员行贿或馈赠礼金、有价证券、贵重礼品。</w:t>
      </w:r>
    </w:p>
    <w:p w14:paraId="441B1781">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乙方不得以任何名义为甲方及其工作人员报销应由甲方或工作人员个人支付的任何费用。</w:t>
      </w:r>
    </w:p>
    <w:p w14:paraId="21A4817C">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乙方不得以任何理由安排甲方及其工作人员参加宴请及娱乐活动。</w:t>
      </w:r>
    </w:p>
    <w:p w14:paraId="0DAA25ED">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乙方不得为甲方和个人购置或提供通讯工具、交通工具和高档办公用品等。</w:t>
      </w:r>
    </w:p>
    <w:p w14:paraId="4F24EDE0">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  乙方</w:t>
      </w:r>
      <w:r>
        <w:rPr>
          <w:rFonts w:hint="eastAsia" w:asciiTheme="minorEastAsia" w:hAnsiTheme="minorEastAsia" w:eastAsiaTheme="minorEastAsia" w:cstheme="minorEastAsia"/>
          <w:color w:val="auto"/>
          <w:kern w:val="0"/>
          <w:sz w:val="24"/>
          <w:szCs w:val="24"/>
          <w:highlight w:val="none"/>
          <w:lang w:val="zh-CN"/>
        </w:rPr>
        <w:t>不得为</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kern w:val="0"/>
          <w:sz w:val="24"/>
          <w:szCs w:val="24"/>
          <w:highlight w:val="none"/>
          <w:lang w:val="zh-CN"/>
        </w:rPr>
        <w:t>及其工作人员的住房装修、婚丧嫁娶活动、配偶子女工作安排以及出国出境、旅游等提供方便。</w:t>
      </w:r>
    </w:p>
    <w:p w14:paraId="6BAC6B9E">
      <w:pPr>
        <w:tabs>
          <w:tab w:val="left" w:pos="900"/>
        </w:tabs>
        <w:spacing w:line="358"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  违约责任</w:t>
      </w:r>
    </w:p>
    <w:p w14:paraId="0E87E32F">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甲方及其工作人员违反本合同第1条和第2条规定，应依据有关规定给予廉政建设规定的处分；涉嫌犯罪的，移交司法机关追究刑事责任；给乙方造成经济损失的，应予赔偿。</w:t>
      </w:r>
    </w:p>
    <w:p w14:paraId="3195F47E">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乙方</w:t>
      </w:r>
      <w:r>
        <w:rPr>
          <w:rFonts w:hint="eastAsia" w:asciiTheme="minorEastAsia" w:hAnsiTheme="minorEastAsia" w:eastAsiaTheme="minorEastAsia" w:cstheme="minorEastAsia"/>
          <w:color w:val="auto"/>
          <w:kern w:val="0"/>
          <w:sz w:val="24"/>
          <w:szCs w:val="24"/>
          <w:highlight w:val="none"/>
          <w:lang w:val="zh-CN"/>
        </w:rPr>
        <w:t>及其工作人员违反本合同第</w:t>
      </w:r>
      <w:r>
        <w:rPr>
          <w:rFonts w:hint="eastAsia" w:asciiTheme="minorEastAsia" w:hAnsiTheme="minorEastAsia" w:eastAsiaTheme="minorEastAsia" w:cstheme="minorEastAsia"/>
          <w:color w:val="auto"/>
          <w:kern w:val="0"/>
          <w:sz w:val="24"/>
          <w:szCs w:val="24"/>
          <w:highlight w:val="none"/>
        </w:rPr>
        <w:t xml:space="preserve"> 1 </w:t>
      </w:r>
      <w:r>
        <w:rPr>
          <w:rFonts w:hint="eastAsia" w:asciiTheme="minorEastAsia" w:hAnsiTheme="minorEastAsia" w:eastAsiaTheme="minorEastAsia" w:cstheme="minorEastAsia"/>
          <w:color w:val="auto"/>
          <w:kern w:val="0"/>
          <w:sz w:val="24"/>
          <w:szCs w:val="24"/>
          <w:highlight w:val="none"/>
          <w:lang w:val="zh-CN"/>
        </w:rPr>
        <w:t>条和第</w:t>
      </w:r>
      <w:r>
        <w:rPr>
          <w:rFonts w:hint="eastAsia" w:asciiTheme="minorEastAsia" w:hAnsiTheme="minorEastAsia" w:eastAsiaTheme="minorEastAsia" w:cstheme="minorEastAsia"/>
          <w:color w:val="auto"/>
          <w:kern w:val="0"/>
          <w:sz w:val="24"/>
          <w:szCs w:val="24"/>
          <w:highlight w:val="none"/>
        </w:rPr>
        <w:t xml:space="preserve"> 3 </w:t>
      </w:r>
      <w:r>
        <w:rPr>
          <w:rFonts w:hint="eastAsia" w:asciiTheme="minorEastAsia" w:hAnsiTheme="minorEastAsia" w:eastAsiaTheme="minorEastAsia" w:cstheme="minorEastAsia"/>
          <w:color w:val="auto"/>
          <w:kern w:val="0"/>
          <w:sz w:val="24"/>
          <w:szCs w:val="24"/>
          <w:highlight w:val="none"/>
          <w:lang w:val="zh-CN"/>
        </w:rPr>
        <w:t>条规定，应按照廉政建设的有关规定给予处分；情节严重的，给予</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kern w:val="0"/>
          <w:sz w:val="24"/>
          <w:szCs w:val="24"/>
          <w:highlight w:val="none"/>
        </w:rPr>
        <w:t xml:space="preserve"> 1</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 xml:space="preserve">3 </w:t>
      </w:r>
      <w:r>
        <w:rPr>
          <w:rFonts w:hint="eastAsia" w:asciiTheme="minorEastAsia" w:hAnsiTheme="minorEastAsia" w:eastAsiaTheme="minorEastAsia" w:cstheme="minorEastAsia"/>
          <w:color w:val="auto"/>
          <w:kern w:val="0"/>
          <w:sz w:val="24"/>
          <w:szCs w:val="24"/>
          <w:highlight w:val="none"/>
          <w:lang w:val="zh-CN"/>
        </w:rPr>
        <w:t>年内不得进入工程建设市场的处罚；涉嫌犯罪的，移交司法机关追究刑事责任；给</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kern w:val="0"/>
          <w:sz w:val="24"/>
          <w:szCs w:val="24"/>
          <w:highlight w:val="none"/>
          <w:lang w:val="zh-CN"/>
        </w:rPr>
        <w:t>造成损失的，应予赔偿。</w:t>
      </w:r>
    </w:p>
    <w:p w14:paraId="02C400E3">
      <w:pPr>
        <w:widowControl/>
        <w:numPr>
          <w:ilvl w:val="0"/>
          <w:numId w:val="5"/>
        </w:numPr>
        <w:spacing w:line="358" w:lineRule="auto"/>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双方约定</w:t>
      </w:r>
    </w:p>
    <w:p w14:paraId="7C93D09F">
      <w:pPr>
        <w:spacing w:line="358" w:lineRule="auto"/>
        <w:ind w:firstLine="480" w:firstLineChars="200"/>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本合同由合同双方当事人或其上级部门负责监督执行，并由合同双方当事人或其上级部门相互约请对本合同执行情况进行检查。</w:t>
      </w:r>
    </w:p>
    <w:p w14:paraId="3E4D0ADE">
      <w:pPr>
        <w:spacing w:line="358"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  合同法律效力</w:t>
      </w:r>
    </w:p>
    <w:p w14:paraId="00DD911D">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本合同作为</w:t>
      </w:r>
      <w:r>
        <w:rPr>
          <w:rFonts w:hint="eastAsia" w:asciiTheme="minorEastAsia" w:hAnsiTheme="minorEastAsia" w:eastAsiaTheme="minorEastAsia" w:cstheme="minorEastAsia"/>
          <w:color w:val="auto"/>
          <w:kern w:val="0"/>
          <w:sz w:val="24"/>
          <w:szCs w:val="24"/>
          <w:highlight w:val="none"/>
          <w:u w:val="single"/>
          <w:shd w:val="clear" w:color="auto" w:fill="FFFFFF"/>
        </w:rPr>
        <w:t>陈家祠片区老旧小区微改造项目</w:t>
      </w:r>
      <w:r>
        <w:rPr>
          <w:rFonts w:hint="eastAsia" w:asciiTheme="minorEastAsia" w:hAnsiTheme="minorEastAsia" w:eastAsiaTheme="minorEastAsia" w:cstheme="minorEastAsia"/>
          <w:color w:val="auto"/>
          <w:sz w:val="24"/>
          <w:szCs w:val="24"/>
          <w:highlight w:val="none"/>
          <w:u w:val="single"/>
        </w:rPr>
        <w:t>实施方案编制服务</w:t>
      </w:r>
      <w:r>
        <w:rPr>
          <w:rFonts w:hint="eastAsia" w:asciiTheme="minorEastAsia" w:hAnsiTheme="minorEastAsia" w:eastAsiaTheme="minorEastAsia" w:cstheme="minorEastAsia"/>
          <w:color w:val="auto"/>
          <w:sz w:val="24"/>
          <w:szCs w:val="24"/>
          <w:highlight w:val="none"/>
        </w:rPr>
        <w:t>合同的附件，与</w:t>
      </w:r>
      <w:r>
        <w:rPr>
          <w:rFonts w:hint="eastAsia" w:asciiTheme="minorEastAsia" w:hAnsiTheme="minorEastAsia" w:eastAsiaTheme="minorEastAsia" w:cstheme="minorEastAsia"/>
          <w:color w:val="auto"/>
          <w:kern w:val="0"/>
          <w:sz w:val="24"/>
          <w:szCs w:val="24"/>
          <w:highlight w:val="none"/>
          <w:u w:val="single"/>
          <w:shd w:val="clear" w:color="auto" w:fill="FFFFFF"/>
        </w:rPr>
        <w:t>陈家祠片区老旧小区微改造项目</w:t>
      </w:r>
      <w:r>
        <w:rPr>
          <w:rFonts w:hint="eastAsia" w:asciiTheme="minorEastAsia" w:hAnsiTheme="minorEastAsia" w:eastAsiaTheme="minorEastAsia" w:cstheme="minorEastAsia"/>
          <w:color w:val="auto"/>
          <w:sz w:val="24"/>
          <w:szCs w:val="24"/>
          <w:highlight w:val="none"/>
          <w:u w:val="single"/>
        </w:rPr>
        <w:t>实施方案编制服务</w:t>
      </w:r>
      <w:r>
        <w:rPr>
          <w:rFonts w:hint="eastAsia" w:asciiTheme="minorEastAsia" w:hAnsiTheme="minorEastAsia" w:eastAsiaTheme="minorEastAsia" w:cstheme="minorEastAsia"/>
          <w:color w:val="auto"/>
          <w:sz w:val="24"/>
          <w:szCs w:val="24"/>
          <w:highlight w:val="none"/>
        </w:rPr>
        <w:t>合同具有同等的法律效力。</w:t>
      </w:r>
    </w:p>
    <w:p w14:paraId="780B32E1">
      <w:pPr>
        <w:spacing w:line="358" w:lineRule="auto"/>
        <w:ind w:firstLine="472" w:firstLineChars="196"/>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  合同份数</w:t>
      </w:r>
    </w:p>
    <w:p w14:paraId="68A928A8">
      <w:pPr>
        <w:spacing w:line="358"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本合同一式</w:t>
      </w:r>
      <w:r>
        <w:rPr>
          <w:rFonts w:hint="eastAsia" w:asciiTheme="minorEastAsia" w:hAnsiTheme="minorEastAsia" w:eastAsiaTheme="minorEastAsia" w:cstheme="minorEastAsia"/>
          <w:color w:val="auto"/>
          <w:sz w:val="24"/>
          <w:szCs w:val="24"/>
          <w:highlight w:val="none"/>
          <w:u w:val="single"/>
        </w:rPr>
        <w:t xml:space="preserve"> 八 </w:t>
      </w:r>
      <w:r>
        <w:rPr>
          <w:rFonts w:hint="eastAsia" w:asciiTheme="minorEastAsia" w:hAnsiTheme="minorEastAsia" w:eastAsiaTheme="minorEastAsia" w:cstheme="minorEastAsia"/>
          <w:color w:val="auto"/>
          <w:sz w:val="24"/>
          <w:szCs w:val="24"/>
          <w:highlight w:val="none"/>
        </w:rPr>
        <w:t>份，具有同等法律效力，甲方</w:t>
      </w:r>
      <w:r>
        <w:rPr>
          <w:rFonts w:hint="eastAsia" w:asciiTheme="minorEastAsia" w:hAnsiTheme="minorEastAsia" w:eastAsiaTheme="minorEastAsia" w:cstheme="minorEastAsia"/>
          <w:color w:val="auto"/>
          <w:sz w:val="24"/>
          <w:szCs w:val="24"/>
          <w:highlight w:val="none"/>
          <w:u w:val="single"/>
        </w:rPr>
        <w:t xml:space="preserve"> 四 </w:t>
      </w:r>
      <w:r>
        <w:rPr>
          <w:rFonts w:hint="eastAsia" w:asciiTheme="minorEastAsia" w:hAnsiTheme="minorEastAsia" w:eastAsiaTheme="minorEastAsia" w:cstheme="minorEastAsia"/>
          <w:color w:val="auto"/>
          <w:sz w:val="24"/>
          <w:szCs w:val="24"/>
          <w:highlight w:val="none"/>
        </w:rPr>
        <w:t>份、乙方</w:t>
      </w:r>
      <w:r>
        <w:rPr>
          <w:rFonts w:hint="eastAsia" w:asciiTheme="minorEastAsia" w:hAnsiTheme="minorEastAsia" w:eastAsiaTheme="minorEastAsia" w:cstheme="minorEastAsia"/>
          <w:color w:val="auto"/>
          <w:sz w:val="24"/>
          <w:szCs w:val="24"/>
          <w:highlight w:val="none"/>
          <w:u w:val="single"/>
        </w:rPr>
        <w:t xml:space="preserve"> 四 </w:t>
      </w:r>
      <w:r>
        <w:rPr>
          <w:rFonts w:hint="eastAsia" w:asciiTheme="minorEastAsia" w:hAnsiTheme="minorEastAsia" w:eastAsiaTheme="minorEastAsia" w:cstheme="minorEastAsia"/>
          <w:color w:val="auto"/>
          <w:sz w:val="24"/>
          <w:szCs w:val="24"/>
          <w:highlight w:val="none"/>
        </w:rPr>
        <w:t>份。</w:t>
      </w:r>
    </w:p>
    <w:p w14:paraId="0134122E">
      <w:pPr>
        <w:pStyle w:val="4"/>
        <w:keepNext w:val="0"/>
        <w:keepLines w:val="0"/>
        <w:spacing w:before="100" w:beforeAutospacing="1" w:after="100" w:afterAutospacing="1"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附件2</w:t>
      </w:r>
    </w:p>
    <w:p w14:paraId="62FC1F0B">
      <w:pPr>
        <w:jc w:val="center"/>
        <w:rPr>
          <w:color w:val="auto"/>
          <w:highlight w:val="none"/>
        </w:rPr>
      </w:pPr>
      <w:r>
        <w:rPr>
          <w:rFonts w:hint="eastAsia" w:asciiTheme="minorEastAsia" w:hAnsiTheme="minorEastAsia" w:eastAsiaTheme="minorEastAsia" w:cstheme="minorEastAsia"/>
          <w:b/>
          <w:bCs/>
          <w:color w:val="auto"/>
          <w:sz w:val="28"/>
          <w:szCs w:val="28"/>
          <w:highlight w:val="none"/>
        </w:rPr>
        <w:t>成交通知书</w:t>
      </w:r>
    </w:p>
    <w:p w14:paraId="77823BF8">
      <w:pPr>
        <w:pStyle w:val="18"/>
        <w:spacing w:before="0" w:beforeAutospacing="0" w:after="0" w:afterAutospacing="0" w:line="360" w:lineRule="auto"/>
        <w:jc w:val="both"/>
        <w:rPr>
          <w:rFonts w:asciiTheme="minorEastAsia" w:hAnsiTheme="minorEastAsia" w:eastAsiaTheme="minorEastAsia" w:cstheme="minorEastAsia"/>
          <w:color w:val="auto"/>
          <w:sz w:val="18"/>
          <w:szCs w:val="18"/>
          <w:highlight w:val="none"/>
          <w:shd w:val="clear" w:color="auto" w:fill="FFFFFF"/>
        </w:rPr>
      </w:pPr>
    </w:p>
    <w:p w14:paraId="150D16CE">
      <w:pPr>
        <w:pStyle w:val="18"/>
        <w:spacing w:before="0" w:beforeAutospacing="0" w:after="0" w:afterAutospacing="0"/>
        <w:jc w:val="both"/>
        <w:rPr>
          <w:b/>
          <w:bCs/>
          <w:color w:val="auto"/>
          <w:sz w:val="28"/>
          <w:szCs w:val="28"/>
          <w:highlight w:val="none"/>
          <w:shd w:val="clear" w:color="auto" w:fill="FFFFFF"/>
        </w:rPr>
      </w:pPr>
    </w:p>
    <w:p w14:paraId="73307708">
      <w:pPr>
        <w:spacing w:line="360" w:lineRule="auto"/>
        <w:ind w:firstLine="440" w:firstLineChars="200"/>
        <w:rPr>
          <w:color w:val="auto"/>
          <w:sz w:val="22"/>
          <w:highlight w:val="none"/>
          <w:shd w:val="clear" w:color="auto" w:fill="FFFFFF"/>
        </w:rPr>
      </w:pPr>
    </w:p>
    <w:sectPr>
      <w:footerReference r:id="rId9"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19B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19741">
                          <w:pPr>
                            <w:pStyle w:val="1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E19741">
                    <w:pPr>
                      <w:pStyle w:val="1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DEBA6">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12</w:t>
    </w:r>
    <w:r>
      <w:rPr>
        <w:rStyle w:val="22"/>
      </w:rPr>
      <w:fldChar w:fldCharType="end"/>
    </w:r>
  </w:p>
  <w:p w14:paraId="69A1D941">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D17C">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14:paraId="5F8455F2">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4BB4">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4592D">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7A4592D">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4C5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9C27">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54D3B">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FDE24"/>
    <w:multiLevelType w:val="singleLevel"/>
    <w:tmpl w:val="870FDE24"/>
    <w:lvl w:ilvl="0" w:tentative="0">
      <w:start w:val="4"/>
      <w:numFmt w:val="chineseCounting"/>
      <w:suff w:val="space"/>
      <w:lvlText w:val="第%1章"/>
      <w:lvlJc w:val="left"/>
      <w:rPr>
        <w:rFonts w:hint="eastAsia"/>
      </w:rPr>
    </w:lvl>
  </w:abstractNum>
  <w:abstractNum w:abstractNumId="1">
    <w:nsid w:val="8AB65D6A"/>
    <w:multiLevelType w:val="singleLevel"/>
    <w:tmpl w:val="8AB65D6A"/>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B"/>
    <w:multiLevelType w:val="multilevel"/>
    <w:tmpl w:val="0000000B"/>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6DA8A8F"/>
    <w:multiLevelType w:val="singleLevel"/>
    <w:tmpl w:val="56DA8A8F"/>
    <w:lvl w:ilvl="0" w:tentative="0">
      <w:start w:val="1"/>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MzY5OGVjMzU4M2ZjMmU4OGFmNGUyMTljYmYwNWQifQ=="/>
  </w:docVars>
  <w:rsids>
    <w:rsidRoot w:val="627B514A"/>
    <w:rsid w:val="00004ABE"/>
    <w:rsid w:val="00034B19"/>
    <w:rsid w:val="00055C9D"/>
    <w:rsid w:val="000B5378"/>
    <w:rsid w:val="000E6CD4"/>
    <w:rsid w:val="000F7E85"/>
    <w:rsid w:val="0010477B"/>
    <w:rsid w:val="00113BA4"/>
    <w:rsid w:val="0013575D"/>
    <w:rsid w:val="00164EC1"/>
    <w:rsid w:val="00165A28"/>
    <w:rsid w:val="00197984"/>
    <w:rsid w:val="001A119F"/>
    <w:rsid w:val="001E5F07"/>
    <w:rsid w:val="001F2457"/>
    <w:rsid w:val="00204A48"/>
    <w:rsid w:val="00227234"/>
    <w:rsid w:val="00240BD9"/>
    <w:rsid w:val="00260580"/>
    <w:rsid w:val="00291A08"/>
    <w:rsid w:val="002A3D47"/>
    <w:rsid w:val="002A65E2"/>
    <w:rsid w:val="002D1EDF"/>
    <w:rsid w:val="002F5034"/>
    <w:rsid w:val="002F5A7B"/>
    <w:rsid w:val="0034004C"/>
    <w:rsid w:val="00340FD7"/>
    <w:rsid w:val="00343605"/>
    <w:rsid w:val="003524A2"/>
    <w:rsid w:val="0037279E"/>
    <w:rsid w:val="0037468D"/>
    <w:rsid w:val="00382463"/>
    <w:rsid w:val="003F3707"/>
    <w:rsid w:val="004024A4"/>
    <w:rsid w:val="00410A4B"/>
    <w:rsid w:val="00410BAB"/>
    <w:rsid w:val="004137B5"/>
    <w:rsid w:val="00443D5E"/>
    <w:rsid w:val="004455FA"/>
    <w:rsid w:val="00451A20"/>
    <w:rsid w:val="0046067F"/>
    <w:rsid w:val="0047563D"/>
    <w:rsid w:val="00480DB4"/>
    <w:rsid w:val="00490CCC"/>
    <w:rsid w:val="004E7552"/>
    <w:rsid w:val="00522DA7"/>
    <w:rsid w:val="005323AD"/>
    <w:rsid w:val="0059005D"/>
    <w:rsid w:val="005A29D6"/>
    <w:rsid w:val="005E0718"/>
    <w:rsid w:val="005F618B"/>
    <w:rsid w:val="00613397"/>
    <w:rsid w:val="00641D55"/>
    <w:rsid w:val="006429D9"/>
    <w:rsid w:val="00656B6C"/>
    <w:rsid w:val="00663B4B"/>
    <w:rsid w:val="006B6D1F"/>
    <w:rsid w:val="006D32E5"/>
    <w:rsid w:val="006E4C35"/>
    <w:rsid w:val="006F26FD"/>
    <w:rsid w:val="00700D5C"/>
    <w:rsid w:val="00712BE5"/>
    <w:rsid w:val="00712D14"/>
    <w:rsid w:val="007213A4"/>
    <w:rsid w:val="0073070D"/>
    <w:rsid w:val="00750FF5"/>
    <w:rsid w:val="00776753"/>
    <w:rsid w:val="007866BE"/>
    <w:rsid w:val="007A1E3B"/>
    <w:rsid w:val="007A2E96"/>
    <w:rsid w:val="007B4E5C"/>
    <w:rsid w:val="007C28DF"/>
    <w:rsid w:val="007C44C9"/>
    <w:rsid w:val="007F70AD"/>
    <w:rsid w:val="00800FF0"/>
    <w:rsid w:val="00841EA4"/>
    <w:rsid w:val="008426DA"/>
    <w:rsid w:val="00856F81"/>
    <w:rsid w:val="0085774A"/>
    <w:rsid w:val="00886806"/>
    <w:rsid w:val="008B20E3"/>
    <w:rsid w:val="008B7E09"/>
    <w:rsid w:val="008C327D"/>
    <w:rsid w:val="008C754F"/>
    <w:rsid w:val="00910A3C"/>
    <w:rsid w:val="00911DBE"/>
    <w:rsid w:val="009343BD"/>
    <w:rsid w:val="00951A07"/>
    <w:rsid w:val="00960162"/>
    <w:rsid w:val="00961552"/>
    <w:rsid w:val="00966869"/>
    <w:rsid w:val="00980BAB"/>
    <w:rsid w:val="009A4B9F"/>
    <w:rsid w:val="009A4FED"/>
    <w:rsid w:val="009C72F6"/>
    <w:rsid w:val="009E1ECC"/>
    <w:rsid w:val="00A1535E"/>
    <w:rsid w:val="00A41C5C"/>
    <w:rsid w:val="00A55E44"/>
    <w:rsid w:val="00AA147D"/>
    <w:rsid w:val="00B311AC"/>
    <w:rsid w:val="00B73F96"/>
    <w:rsid w:val="00BD4711"/>
    <w:rsid w:val="00BE36AF"/>
    <w:rsid w:val="00C05AE6"/>
    <w:rsid w:val="00C61589"/>
    <w:rsid w:val="00C668BA"/>
    <w:rsid w:val="00C923AD"/>
    <w:rsid w:val="00CA5DC9"/>
    <w:rsid w:val="00CD2933"/>
    <w:rsid w:val="00CE5C8F"/>
    <w:rsid w:val="00CF6A5B"/>
    <w:rsid w:val="00D1661B"/>
    <w:rsid w:val="00D16FC8"/>
    <w:rsid w:val="00DB3061"/>
    <w:rsid w:val="00DB4975"/>
    <w:rsid w:val="00DC36E5"/>
    <w:rsid w:val="00DF0E0F"/>
    <w:rsid w:val="00E1694D"/>
    <w:rsid w:val="00E31C81"/>
    <w:rsid w:val="00E462CC"/>
    <w:rsid w:val="00E81830"/>
    <w:rsid w:val="00EA36FC"/>
    <w:rsid w:val="00EA777E"/>
    <w:rsid w:val="00F1383F"/>
    <w:rsid w:val="00F201D3"/>
    <w:rsid w:val="00F268E1"/>
    <w:rsid w:val="00F42A83"/>
    <w:rsid w:val="00F66FA1"/>
    <w:rsid w:val="00F67FA2"/>
    <w:rsid w:val="00F87BC9"/>
    <w:rsid w:val="00FA02C9"/>
    <w:rsid w:val="00FB417B"/>
    <w:rsid w:val="00FB773A"/>
    <w:rsid w:val="00FD69C1"/>
    <w:rsid w:val="01047BED"/>
    <w:rsid w:val="01C025F7"/>
    <w:rsid w:val="02023B0B"/>
    <w:rsid w:val="020C11B6"/>
    <w:rsid w:val="0247556A"/>
    <w:rsid w:val="02DA6E33"/>
    <w:rsid w:val="02E23D40"/>
    <w:rsid w:val="03135EA4"/>
    <w:rsid w:val="031E5534"/>
    <w:rsid w:val="0352438D"/>
    <w:rsid w:val="035F7A6E"/>
    <w:rsid w:val="038F01CA"/>
    <w:rsid w:val="039A2127"/>
    <w:rsid w:val="03A7009F"/>
    <w:rsid w:val="03CA301D"/>
    <w:rsid w:val="03CF1F49"/>
    <w:rsid w:val="03E62B88"/>
    <w:rsid w:val="04242F8F"/>
    <w:rsid w:val="04491C54"/>
    <w:rsid w:val="04787D05"/>
    <w:rsid w:val="04E3493B"/>
    <w:rsid w:val="05322502"/>
    <w:rsid w:val="05366A97"/>
    <w:rsid w:val="05461B09"/>
    <w:rsid w:val="05506696"/>
    <w:rsid w:val="05D70174"/>
    <w:rsid w:val="05EE121E"/>
    <w:rsid w:val="062D64A9"/>
    <w:rsid w:val="067E16C6"/>
    <w:rsid w:val="07173D21"/>
    <w:rsid w:val="07625365"/>
    <w:rsid w:val="07BA37D4"/>
    <w:rsid w:val="081B7BCD"/>
    <w:rsid w:val="085D0BF5"/>
    <w:rsid w:val="08BF646D"/>
    <w:rsid w:val="091B2737"/>
    <w:rsid w:val="091F3B4A"/>
    <w:rsid w:val="093C732F"/>
    <w:rsid w:val="09461083"/>
    <w:rsid w:val="0A0E618E"/>
    <w:rsid w:val="0A1E3055"/>
    <w:rsid w:val="0A2C156F"/>
    <w:rsid w:val="0A2F1BEE"/>
    <w:rsid w:val="0A606043"/>
    <w:rsid w:val="0A7964DD"/>
    <w:rsid w:val="0AC12770"/>
    <w:rsid w:val="0AEA7555"/>
    <w:rsid w:val="0B24481C"/>
    <w:rsid w:val="0B4727FE"/>
    <w:rsid w:val="0B756CA4"/>
    <w:rsid w:val="0BBF6BBF"/>
    <w:rsid w:val="0BC92C55"/>
    <w:rsid w:val="0BFC5617"/>
    <w:rsid w:val="0C057EC4"/>
    <w:rsid w:val="0C320994"/>
    <w:rsid w:val="0C621F6A"/>
    <w:rsid w:val="0CBD4239"/>
    <w:rsid w:val="0CBE297A"/>
    <w:rsid w:val="0CF40BFF"/>
    <w:rsid w:val="0D130EB3"/>
    <w:rsid w:val="0D226ABA"/>
    <w:rsid w:val="0D6A533A"/>
    <w:rsid w:val="0D8B382B"/>
    <w:rsid w:val="0D9C7564"/>
    <w:rsid w:val="0DBC56D6"/>
    <w:rsid w:val="0DD440B2"/>
    <w:rsid w:val="0E4748A7"/>
    <w:rsid w:val="0E881C81"/>
    <w:rsid w:val="0E9D18A0"/>
    <w:rsid w:val="0ED31CB3"/>
    <w:rsid w:val="0F0C7FFE"/>
    <w:rsid w:val="0F45293E"/>
    <w:rsid w:val="0F620D66"/>
    <w:rsid w:val="0F9408B6"/>
    <w:rsid w:val="0FC53975"/>
    <w:rsid w:val="0FCA71BD"/>
    <w:rsid w:val="103376FE"/>
    <w:rsid w:val="10BE33AD"/>
    <w:rsid w:val="10F4187C"/>
    <w:rsid w:val="113D1C97"/>
    <w:rsid w:val="11AB1E5B"/>
    <w:rsid w:val="11AE4D28"/>
    <w:rsid w:val="122D0321"/>
    <w:rsid w:val="123947DD"/>
    <w:rsid w:val="123D7A7E"/>
    <w:rsid w:val="1244392F"/>
    <w:rsid w:val="125C77E3"/>
    <w:rsid w:val="126E0664"/>
    <w:rsid w:val="12B845E2"/>
    <w:rsid w:val="12CF05BD"/>
    <w:rsid w:val="13344893"/>
    <w:rsid w:val="13357D7D"/>
    <w:rsid w:val="137F7791"/>
    <w:rsid w:val="13A3394C"/>
    <w:rsid w:val="13A73558"/>
    <w:rsid w:val="13B45941"/>
    <w:rsid w:val="13E236FA"/>
    <w:rsid w:val="13FF0E55"/>
    <w:rsid w:val="140A2F04"/>
    <w:rsid w:val="1447667E"/>
    <w:rsid w:val="14945773"/>
    <w:rsid w:val="14A77E9C"/>
    <w:rsid w:val="14AB0FD1"/>
    <w:rsid w:val="150C0076"/>
    <w:rsid w:val="153F10A8"/>
    <w:rsid w:val="1546292F"/>
    <w:rsid w:val="155838AE"/>
    <w:rsid w:val="155F41A9"/>
    <w:rsid w:val="156002EB"/>
    <w:rsid w:val="156371C3"/>
    <w:rsid w:val="15C42D02"/>
    <w:rsid w:val="160F1A16"/>
    <w:rsid w:val="16252EC4"/>
    <w:rsid w:val="163F6D54"/>
    <w:rsid w:val="165861F2"/>
    <w:rsid w:val="168104FC"/>
    <w:rsid w:val="1682534E"/>
    <w:rsid w:val="16DD6494"/>
    <w:rsid w:val="173252CC"/>
    <w:rsid w:val="174F1922"/>
    <w:rsid w:val="17631C89"/>
    <w:rsid w:val="17982698"/>
    <w:rsid w:val="17AF7690"/>
    <w:rsid w:val="17C843F7"/>
    <w:rsid w:val="182B481D"/>
    <w:rsid w:val="18DA5C03"/>
    <w:rsid w:val="190E2464"/>
    <w:rsid w:val="190F435F"/>
    <w:rsid w:val="191D48BC"/>
    <w:rsid w:val="192D5FB0"/>
    <w:rsid w:val="193121C6"/>
    <w:rsid w:val="19500972"/>
    <w:rsid w:val="195B2E3E"/>
    <w:rsid w:val="1967449A"/>
    <w:rsid w:val="19DD5137"/>
    <w:rsid w:val="19E7635A"/>
    <w:rsid w:val="19FD55A4"/>
    <w:rsid w:val="1A1E46C9"/>
    <w:rsid w:val="1A4C7CAD"/>
    <w:rsid w:val="1A7226B6"/>
    <w:rsid w:val="1B7949D0"/>
    <w:rsid w:val="1B9A2198"/>
    <w:rsid w:val="1BC66C29"/>
    <w:rsid w:val="1C05537E"/>
    <w:rsid w:val="1C275D99"/>
    <w:rsid w:val="1D62771E"/>
    <w:rsid w:val="1D852864"/>
    <w:rsid w:val="1DB02442"/>
    <w:rsid w:val="1E244567"/>
    <w:rsid w:val="1EDE4A76"/>
    <w:rsid w:val="1EFA7794"/>
    <w:rsid w:val="1F1B35B9"/>
    <w:rsid w:val="1F5174DC"/>
    <w:rsid w:val="1FE13389"/>
    <w:rsid w:val="20131A66"/>
    <w:rsid w:val="2022193A"/>
    <w:rsid w:val="20587ABB"/>
    <w:rsid w:val="208447F0"/>
    <w:rsid w:val="20B645EA"/>
    <w:rsid w:val="20F74A80"/>
    <w:rsid w:val="213A5A45"/>
    <w:rsid w:val="21784B14"/>
    <w:rsid w:val="2189435F"/>
    <w:rsid w:val="218F7B5D"/>
    <w:rsid w:val="21E90B1B"/>
    <w:rsid w:val="22087C6F"/>
    <w:rsid w:val="22427726"/>
    <w:rsid w:val="225844BF"/>
    <w:rsid w:val="22903CCB"/>
    <w:rsid w:val="230E6DA1"/>
    <w:rsid w:val="232748D0"/>
    <w:rsid w:val="23673C8C"/>
    <w:rsid w:val="23834D08"/>
    <w:rsid w:val="239A1414"/>
    <w:rsid w:val="23B31067"/>
    <w:rsid w:val="23C2658F"/>
    <w:rsid w:val="23CA45DB"/>
    <w:rsid w:val="23E42CBC"/>
    <w:rsid w:val="23F22439"/>
    <w:rsid w:val="2486485D"/>
    <w:rsid w:val="24CC00AE"/>
    <w:rsid w:val="24EC6507"/>
    <w:rsid w:val="25B01AD5"/>
    <w:rsid w:val="25DA61E5"/>
    <w:rsid w:val="261F0910"/>
    <w:rsid w:val="262079C8"/>
    <w:rsid w:val="262B6CB9"/>
    <w:rsid w:val="26D81421"/>
    <w:rsid w:val="2729727B"/>
    <w:rsid w:val="272E5954"/>
    <w:rsid w:val="27677AAA"/>
    <w:rsid w:val="278232A1"/>
    <w:rsid w:val="28274495"/>
    <w:rsid w:val="283E5112"/>
    <w:rsid w:val="285859CA"/>
    <w:rsid w:val="28AA0815"/>
    <w:rsid w:val="29050F36"/>
    <w:rsid w:val="2912009F"/>
    <w:rsid w:val="29327D87"/>
    <w:rsid w:val="29687150"/>
    <w:rsid w:val="29AF4C03"/>
    <w:rsid w:val="29BE79EF"/>
    <w:rsid w:val="29C95945"/>
    <w:rsid w:val="2A1777C2"/>
    <w:rsid w:val="2A1A0296"/>
    <w:rsid w:val="2A44440E"/>
    <w:rsid w:val="2B2F08F9"/>
    <w:rsid w:val="2B451CDF"/>
    <w:rsid w:val="2B5F064A"/>
    <w:rsid w:val="2B7B762E"/>
    <w:rsid w:val="2C8E5424"/>
    <w:rsid w:val="2CA3795A"/>
    <w:rsid w:val="2CC52B9F"/>
    <w:rsid w:val="2CD957CA"/>
    <w:rsid w:val="2CE93D95"/>
    <w:rsid w:val="2D2C208F"/>
    <w:rsid w:val="2D34476D"/>
    <w:rsid w:val="2D72469D"/>
    <w:rsid w:val="2D772D9D"/>
    <w:rsid w:val="2E9074C4"/>
    <w:rsid w:val="2EA971CB"/>
    <w:rsid w:val="2ECC5F08"/>
    <w:rsid w:val="2F0F49FC"/>
    <w:rsid w:val="2F5052E5"/>
    <w:rsid w:val="2F536608"/>
    <w:rsid w:val="2FA14FE3"/>
    <w:rsid w:val="304D2B45"/>
    <w:rsid w:val="309E472B"/>
    <w:rsid w:val="30D6691F"/>
    <w:rsid w:val="30E2570B"/>
    <w:rsid w:val="30EA7247"/>
    <w:rsid w:val="30F23A80"/>
    <w:rsid w:val="3126370E"/>
    <w:rsid w:val="312C4EE2"/>
    <w:rsid w:val="31324BB5"/>
    <w:rsid w:val="314F77B3"/>
    <w:rsid w:val="31BC72E8"/>
    <w:rsid w:val="31DC0F7C"/>
    <w:rsid w:val="32EB2201"/>
    <w:rsid w:val="32F4573C"/>
    <w:rsid w:val="330B421F"/>
    <w:rsid w:val="331F3815"/>
    <w:rsid w:val="33202816"/>
    <w:rsid w:val="33551156"/>
    <w:rsid w:val="33766BFC"/>
    <w:rsid w:val="338203CF"/>
    <w:rsid w:val="33A8380B"/>
    <w:rsid w:val="33BB2F6B"/>
    <w:rsid w:val="342100B5"/>
    <w:rsid w:val="34452E08"/>
    <w:rsid w:val="3458157B"/>
    <w:rsid w:val="3481537F"/>
    <w:rsid w:val="34873A5C"/>
    <w:rsid w:val="34B70C73"/>
    <w:rsid w:val="34C172DC"/>
    <w:rsid w:val="35347051"/>
    <w:rsid w:val="353C5C05"/>
    <w:rsid w:val="3562561A"/>
    <w:rsid w:val="35CF63A4"/>
    <w:rsid w:val="35E21183"/>
    <w:rsid w:val="36036A29"/>
    <w:rsid w:val="362B296D"/>
    <w:rsid w:val="370F7BA9"/>
    <w:rsid w:val="376812F3"/>
    <w:rsid w:val="37C14E9C"/>
    <w:rsid w:val="37C51A3C"/>
    <w:rsid w:val="384102DD"/>
    <w:rsid w:val="38D9551D"/>
    <w:rsid w:val="38F75745"/>
    <w:rsid w:val="390C51EB"/>
    <w:rsid w:val="39663727"/>
    <w:rsid w:val="397A40C7"/>
    <w:rsid w:val="39AA3BB6"/>
    <w:rsid w:val="3A6E02E8"/>
    <w:rsid w:val="3A727614"/>
    <w:rsid w:val="3A8A3859"/>
    <w:rsid w:val="3ACE080B"/>
    <w:rsid w:val="3B6738F8"/>
    <w:rsid w:val="3BE621A1"/>
    <w:rsid w:val="3C0D4500"/>
    <w:rsid w:val="3C333E89"/>
    <w:rsid w:val="3C7223B8"/>
    <w:rsid w:val="3C7D0461"/>
    <w:rsid w:val="3CB12222"/>
    <w:rsid w:val="3D55550F"/>
    <w:rsid w:val="3D720D7D"/>
    <w:rsid w:val="3DFC11F9"/>
    <w:rsid w:val="3E060C7D"/>
    <w:rsid w:val="3E165187"/>
    <w:rsid w:val="3EA240D8"/>
    <w:rsid w:val="3EAD43CC"/>
    <w:rsid w:val="3EE739A5"/>
    <w:rsid w:val="3F00455A"/>
    <w:rsid w:val="3F780D60"/>
    <w:rsid w:val="3F827A5D"/>
    <w:rsid w:val="3FA430FF"/>
    <w:rsid w:val="3FFC74D0"/>
    <w:rsid w:val="401417FF"/>
    <w:rsid w:val="40564462"/>
    <w:rsid w:val="4073666E"/>
    <w:rsid w:val="40DC1FE0"/>
    <w:rsid w:val="410116AE"/>
    <w:rsid w:val="412A1E39"/>
    <w:rsid w:val="415659E7"/>
    <w:rsid w:val="417347DA"/>
    <w:rsid w:val="41BA50B7"/>
    <w:rsid w:val="421B1DB3"/>
    <w:rsid w:val="422D7465"/>
    <w:rsid w:val="428A40D3"/>
    <w:rsid w:val="42D27D5B"/>
    <w:rsid w:val="42D55FEE"/>
    <w:rsid w:val="433258AA"/>
    <w:rsid w:val="433C41C7"/>
    <w:rsid w:val="43431927"/>
    <w:rsid w:val="43971AF1"/>
    <w:rsid w:val="43B25D83"/>
    <w:rsid w:val="43F572C7"/>
    <w:rsid w:val="43F6288F"/>
    <w:rsid w:val="442238B8"/>
    <w:rsid w:val="44A90045"/>
    <w:rsid w:val="44C1472D"/>
    <w:rsid w:val="44C21FF8"/>
    <w:rsid w:val="450B1E4C"/>
    <w:rsid w:val="455D326C"/>
    <w:rsid w:val="457C3D98"/>
    <w:rsid w:val="459B1FA8"/>
    <w:rsid w:val="461D2791"/>
    <w:rsid w:val="46275121"/>
    <w:rsid w:val="46481CD7"/>
    <w:rsid w:val="468C2338"/>
    <w:rsid w:val="46AC4F69"/>
    <w:rsid w:val="46C33102"/>
    <w:rsid w:val="46C41A38"/>
    <w:rsid w:val="46D45CCC"/>
    <w:rsid w:val="47A44BFF"/>
    <w:rsid w:val="47AB3B7A"/>
    <w:rsid w:val="47C378E0"/>
    <w:rsid w:val="47CE0D93"/>
    <w:rsid w:val="47FE7A46"/>
    <w:rsid w:val="48273D30"/>
    <w:rsid w:val="48B94570"/>
    <w:rsid w:val="48E43207"/>
    <w:rsid w:val="48EB2A45"/>
    <w:rsid w:val="494A1826"/>
    <w:rsid w:val="49845D29"/>
    <w:rsid w:val="4A1A6848"/>
    <w:rsid w:val="4A7C09D7"/>
    <w:rsid w:val="4A896D51"/>
    <w:rsid w:val="4A924496"/>
    <w:rsid w:val="4A947963"/>
    <w:rsid w:val="4AD36695"/>
    <w:rsid w:val="4AD6393C"/>
    <w:rsid w:val="4AFF0BDC"/>
    <w:rsid w:val="4B2C1FBD"/>
    <w:rsid w:val="4B334A5C"/>
    <w:rsid w:val="4B457CDA"/>
    <w:rsid w:val="4B777FC8"/>
    <w:rsid w:val="4C4F1B21"/>
    <w:rsid w:val="4CCB6EF7"/>
    <w:rsid w:val="4D39075C"/>
    <w:rsid w:val="4D5D067B"/>
    <w:rsid w:val="4D712EC9"/>
    <w:rsid w:val="4D7628FC"/>
    <w:rsid w:val="4D986116"/>
    <w:rsid w:val="4DB028D4"/>
    <w:rsid w:val="4DDD76F0"/>
    <w:rsid w:val="4E2147CA"/>
    <w:rsid w:val="4E7242BD"/>
    <w:rsid w:val="4ECF2F76"/>
    <w:rsid w:val="4FA273C7"/>
    <w:rsid w:val="4FC13382"/>
    <w:rsid w:val="4FCC5DAE"/>
    <w:rsid w:val="4FFE6DDE"/>
    <w:rsid w:val="500572D8"/>
    <w:rsid w:val="509138E2"/>
    <w:rsid w:val="50F05775"/>
    <w:rsid w:val="51056018"/>
    <w:rsid w:val="5151114D"/>
    <w:rsid w:val="515437A5"/>
    <w:rsid w:val="516502D2"/>
    <w:rsid w:val="51A053AF"/>
    <w:rsid w:val="51A2140B"/>
    <w:rsid w:val="51D44E2B"/>
    <w:rsid w:val="51D61C6B"/>
    <w:rsid w:val="51D8783C"/>
    <w:rsid w:val="5202519C"/>
    <w:rsid w:val="520515E9"/>
    <w:rsid w:val="520D000A"/>
    <w:rsid w:val="520D70A9"/>
    <w:rsid w:val="52A7081B"/>
    <w:rsid w:val="52DA780A"/>
    <w:rsid w:val="53033132"/>
    <w:rsid w:val="531E77D7"/>
    <w:rsid w:val="533254A4"/>
    <w:rsid w:val="534C2774"/>
    <w:rsid w:val="53996ECE"/>
    <w:rsid w:val="53C733E1"/>
    <w:rsid w:val="546568CE"/>
    <w:rsid w:val="548E79C2"/>
    <w:rsid w:val="54C02592"/>
    <w:rsid w:val="54CA3EF4"/>
    <w:rsid w:val="551E1AA5"/>
    <w:rsid w:val="55461B91"/>
    <w:rsid w:val="559344D5"/>
    <w:rsid w:val="55C72383"/>
    <w:rsid w:val="55DD69C5"/>
    <w:rsid w:val="55F61196"/>
    <w:rsid w:val="5603705D"/>
    <w:rsid w:val="560843BD"/>
    <w:rsid w:val="563F2C98"/>
    <w:rsid w:val="568F6F48"/>
    <w:rsid w:val="56E91CEA"/>
    <w:rsid w:val="56F12D05"/>
    <w:rsid w:val="573C1B0F"/>
    <w:rsid w:val="57726DB3"/>
    <w:rsid w:val="57FA6D09"/>
    <w:rsid w:val="588A186D"/>
    <w:rsid w:val="58D6168C"/>
    <w:rsid w:val="58E510D6"/>
    <w:rsid w:val="59413C36"/>
    <w:rsid w:val="59657925"/>
    <w:rsid w:val="59854569"/>
    <w:rsid w:val="599A1D0D"/>
    <w:rsid w:val="5ABA1B56"/>
    <w:rsid w:val="5AE218AB"/>
    <w:rsid w:val="5B1A47FD"/>
    <w:rsid w:val="5B7C609C"/>
    <w:rsid w:val="5BE66EB5"/>
    <w:rsid w:val="5C0E2584"/>
    <w:rsid w:val="5C4E0EF8"/>
    <w:rsid w:val="5CDC62BE"/>
    <w:rsid w:val="5D0E7B2A"/>
    <w:rsid w:val="5DC24B30"/>
    <w:rsid w:val="5DCB1EE2"/>
    <w:rsid w:val="5DD00396"/>
    <w:rsid w:val="5DD561CD"/>
    <w:rsid w:val="5E1E5054"/>
    <w:rsid w:val="5ECA7EED"/>
    <w:rsid w:val="5EDA280E"/>
    <w:rsid w:val="5F2C0ADD"/>
    <w:rsid w:val="5F3D616E"/>
    <w:rsid w:val="5F5402D4"/>
    <w:rsid w:val="5F852DF9"/>
    <w:rsid w:val="605B09AA"/>
    <w:rsid w:val="6086251B"/>
    <w:rsid w:val="61B27CCA"/>
    <w:rsid w:val="62350545"/>
    <w:rsid w:val="627B514A"/>
    <w:rsid w:val="62AF7FD8"/>
    <w:rsid w:val="62FF6A75"/>
    <w:rsid w:val="63723DDC"/>
    <w:rsid w:val="63B15ED7"/>
    <w:rsid w:val="63B459AC"/>
    <w:rsid w:val="63F52F80"/>
    <w:rsid w:val="640718A3"/>
    <w:rsid w:val="642D324F"/>
    <w:rsid w:val="644B7035"/>
    <w:rsid w:val="645329DB"/>
    <w:rsid w:val="646A3838"/>
    <w:rsid w:val="646F6EB2"/>
    <w:rsid w:val="6490513E"/>
    <w:rsid w:val="649122A7"/>
    <w:rsid w:val="6543326E"/>
    <w:rsid w:val="65540C76"/>
    <w:rsid w:val="657D60EA"/>
    <w:rsid w:val="65B95449"/>
    <w:rsid w:val="664A67C1"/>
    <w:rsid w:val="665A3B23"/>
    <w:rsid w:val="6660161B"/>
    <w:rsid w:val="670218C4"/>
    <w:rsid w:val="676502A5"/>
    <w:rsid w:val="67A91DF3"/>
    <w:rsid w:val="67AA2ACE"/>
    <w:rsid w:val="67FA15DA"/>
    <w:rsid w:val="67FF605B"/>
    <w:rsid w:val="68177B8B"/>
    <w:rsid w:val="683E615F"/>
    <w:rsid w:val="68AC436A"/>
    <w:rsid w:val="68B25C58"/>
    <w:rsid w:val="69246726"/>
    <w:rsid w:val="69B55252"/>
    <w:rsid w:val="69FB1ABF"/>
    <w:rsid w:val="6A627569"/>
    <w:rsid w:val="6A8B07EC"/>
    <w:rsid w:val="6AC80AE2"/>
    <w:rsid w:val="6B026BA0"/>
    <w:rsid w:val="6B0E06AA"/>
    <w:rsid w:val="6B3F664B"/>
    <w:rsid w:val="6B641B0C"/>
    <w:rsid w:val="6B7101AB"/>
    <w:rsid w:val="6BA337CB"/>
    <w:rsid w:val="6BA75B7B"/>
    <w:rsid w:val="6BA9011B"/>
    <w:rsid w:val="6BBA0A95"/>
    <w:rsid w:val="6BDE67FC"/>
    <w:rsid w:val="6BDF3622"/>
    <w:rsid w:val="6BE22662"/>
    <w:rsid w:val="6CE536D5"/>
    <w:rsid w:val="6D4636FD"/>
    <w:rsid w:val="6DA720B8"/>
    <w:rsid w:val="6DD20BF9"/>
    <w:rsid w:val="6DD224E0"/>
    <w:rsid w:val="6DED345B"/>
    <w:rsid w:val="6E8E3B2D"/>
    <w:rsid w:val="6E8E51DB"/>
    <w:rsid w:val="6E983F07"/>
    <w:rsid w:val="6EF77725"/>
    <w:rsid w:val="6EFB2028"/>
    <w:rsid w:val="6F071ACD"/>
    <w:rsid w:val="6FA112D5"/>
    <w:rsid w:val="6FB22598"/>
    <w:rsid w:val="6FCD41FA"/>
    <w:rsid w:val="702D54F9"/>
    <w:rsid w:val="7071388D"/>
    <w:rsid w:val="708149C4"/>
    <w:rsid w:val="70C22AC4"/>
    <w:rsid w:val="70C51B9E"/>
    <w:rsid w:val="70D51C64"/>
    <w:rsid w:val="71100E7D"/>
    <w:rsid w:val="71D501FC"/>
    <w:rsid w:val="720B7F2F"/>
    <w:rsid w:val="7211246B"/>
    <w:rsid w:val="721675B6"/>
    <w:rsid w:val="72546DDD"/>
    <w:rsid w:val="72AB357D"/>
    <w:rsid w:val="72B77903"/>
    <w:rsid w:val="732960BC"/>
    <w:rsid w:val="735F2A85"/>
    <w:rsid w:val="737A2672"/>
    <w:rsid w:val="73A33DAA"/>
    <w:rsid w:val="73B0655F"/>
    <w:rsid w:val="74634EF1"/>
    <w:rsid w:val="75216073"/>
    <w:rsid w:val="755A07DE"/>
    <w:rsid w:val="75B92E28"/>
    <w:rsid w:val="75C51CC1"/>
    <w:rsid w:val="7619590C"/>
    <w:rsid w:val="764F6E44"/>
    <w:rsid w:val="76BF1240"/>
    <w:rsid w:val="76FE0729"/>
    <w:rsid w:val="774C58CD"/>
    <w:rsid w:val="777F4F6A"/>
    <w:rsid w:val="777F5227"/>
    <w:rsid w:val="77AA725D"/>
    <w:rsid w:val="781A4CAC"/>
    <w:rsid w:val="784464D0"/>
    <w:rsid w:val="78525FC2"/>
    <w:rsid w:val="78553114"/>
    <w:rsid w:val="78793714"/>
    <w:rsid w:val="78910D7C"/>
    <w:rsid w:val="7908032D"/>
    <w:rsid w:val="79294073"/>
    <w:rsid w:val="79BB7EFF"/>
    <w:rsid w:val="7A0435D5"/>
    <w:rsid w:val="7A5F3EEE"/>
    <w:rsid w:val="7A64118D"/>
    <w:rsid w:val="7A70363A"/>
    <w:rsid w:val="7B662239"/>
    <w:rsid w:val="7B7A75CB"/>
    <w:rsid w:val="7B9163F9"/>
    <w:rsid w:val="7D567990"/>
    <w:rsid w:val="7D62762F"/>
    <w:rsid w:val="7D8C1309"/>
    <w:rsid w:val="7DA44322"/>
    <w:rsid w:val="7DC357A6"/>
    <w:rsid w:val="7DCE0ABD"/>
    <w:rsid w:val="7DE2647A"/>
    <w:rsid w:val="7DF85732"/>
    <w:rsid w:val="7E280A3E"/>
    <w:rsid w:val="7E32242A"/>
    <w:rsid w:val="7E32526C"/>
    <w:rsid w:val="7E7F24A5"/>
    <w:rsid w:val="7EB33A0E"/>
    <w:rsid w:val="7F3E1B4E"/>
    <w:rsid w:val="7F6E53C4"/>
    <w:rsid w:val="7FB97B8B"/>
    <w:rsid w:val="7FC74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6"/>
    <w:basedOn w:val="1"/>
    <w:next w:val="1"/>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99"/>
    <w:pPr>
      <w:spacing w:after="120"/>
      <w:ind w:left="420" w:leftChars="200"/>
    </w:pPr>
    <w:rPr>
      <w:kern w:val="0"/>
      <w:sz w:val="20"/>
      <w:szCs w:val="20"/>
    </w:rPr>
  </w:style>
  <w:style w:type="paragraph" w:styleId="7">
    <w:name w:val="Normal Indent"/>
    <w:basedOn w:val="1"/>
    <w:autoRedefine/>
    <w:qFormat/>
    <w:uiPriority w:val="0"/>
    <w:pPr>
      <w:ind w:firstLine="420" w:firstLineChars="200"/>
    </w:pPr>
  </w:style>
  <w:style w:type="paragraph" w:styleId="8">
    <w:name w:val="annotation text"/>
    <w:basedOn w:val="1"/>
    <w:autoRedefine/>
    <w:qFormat/>
    <w:uiPriority w:val="0"/>
    <w:pPr>
      <w:jc w:val="left"/>
    </w:pPr>
  </w:style>
  <w:style w:type="paragraph" w:styleId="9">
    <w:name w:val="Body Text"/>
    <w:basedOn w:val="1"/>
    <w:next w:val="10"/>
    <w:autoRedefine/>
    <w:qFormat/>
    <w:uiPriority w:val="0"/>
    <w:rPr>
      <w:sz w:val="28"/>
      <w:szCs w:val="28"/>
    </w:rPr>
  </w:style>
  <w:style w:type="paragraph" w:styleId="10">
    <w:name w:val="Title"/>
    <w:basedOn w:val="1"/>
    <w:next w:val="1"/>
    <w:autoRedefine/>
    <w:qFormat/>
    <w:uiPriority w:val="0"/>
    <w:pPr>
      <w:spacing w:before="240" w:after="60"/>
      <w:jc w:val="center"/>
      <w:outlineLvl w:val="0"/>
    </w:pPr>
    <w:rPr>
      <w:rFonts w:hint="eastAsia" w:ascii="Calibri Light" w:hAnsi="Calibri Light"/>
      <w:b/>
      <w:sz w:val="32"/>
      <w:szCs w:val="32"/>
    </w:rPr>
  </w:style>
  <w:style w:type="paragraph" w:styleId="11">
    <w:name w:val="Plain Text"/>
    <w:basedOn w:val="1"/>
    <w:autoRedefine/>
    <w:qFormat/>
    <w:uiPriority w:val="0"/>
    <w:rPr>
      <w:rFonts w:ascii="宋体" w:hAnsi="Courier New" w:eastAsia="Times New Roman"/>
      <w:szCs w:val="20"/>
    </w:rPr>
  </w:style>
  <w:style w:type="paragraph" w:styleId="12">
    <w:name w:val="Balloon Text"/>
    <w:basedOn w:val="1"/>
    <w:link w:val="35"/>
    <w:autoRedefine/>
    <w:qFormat/>
    <w:uiPriority w:val="0"/>
    <w:rPr>
      <w:sz w:val="18"/>
      <w:szCs w:val="18"/>
    </w:rPr>
  </w:style>
  <w:style w:type="paragraph" w:styleId="13">
    <w:name w:val="footer"/>
    <w:basedOn w:val="1"/>
    <w:link w:val="33"/>
    <w:autoRedefine/>
    <w:qFormat/>
    <w:uiPriority w:val="0"/>
    <w:pPr>
      <w:tabs>
        <w:tab w:val="center" w:pos="4153"/>
        <w:tab w:val="right" w:pos="8306"/>
      </w:tabs>
      <w:snapToGrid w:val="0"/>
      <w:jc w:val="left"/>
    </w:pPr>
    <w:rPr>
      <w:sz w:val="18"/>
      <w:szCs w:val="18"/>
    </w:rPr>
  </w:style>
  <w:style w:type="paragraph" w:styleId="14">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autoRedefine/>
    <w:unhideWhenUsed/>
    <w:qFormat/>
    <w:uiPriority w:val="99"/>
    <w:rPr>
      <w:szCs w:val="24"/>
    </w:rPr>
  </w:style>
  <w:style w:type="paragraph" w:styleId="16">
    <w:name w:val="index 1"/>
    <w:basedOn w:val="1"/>
    <w:next w:val="1"/>
    <w:autoRedefine/>
    <w:qFormat/>
    <w:uiPriority w:val="0"/>
  </w:style>
  <w:style w:type="paragraph" w:styleId="17">
    <w:name w:val="toc 2"/>
    <w:basedOn w:val="1"/>
    <w:next w:val="1"/>
    <w:autoRedefine/>
    <w:qFormat/>
    <w:uiPriority w:val="39"/>
    <w:pPr>
      <w:ind w:left="420" w:leftChars="200"/>
    </w:pPr>
  </w:style>
  <w:style w:type="paragraph" w:styleId="1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FollowedHyperlink"/>
    <w:basedOn w:val="20"/>
    <w:autoRedefine/>
    <w:qFormat/>
    <w:uiPriority w:val="0"/>
    <w:rPr>
      <w:color w:val="000000"/>
      <w:u w:val="none"/>
    </w:rPr>
  </w:style>
  <w:style w:type="character" w:styleId="24">
    <w:name w:val="Hyperlink"/>
    <w:basedOn w:val="20"/>
    <w:autoRedefine/>
    <w:qFormat/>
    <w:uiPriority w:val="0"/>
    <w:rPr>
      <w:color w:val="000000"/>
      <w:u w:val="none"/>
    </w:rPr>
  </w:style>
  <w:style w:type="paragraph" w:customStyle="1" w:styleId="2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正"/>
    <w:basedOn w:val="1"/>
    <w:autoRedefine/>
    <w:qFormat/>
    <w:uiPriority w:val="0"/>
    <w:pPr>
      <w:spacing w:line="560" w:lineRule="exact"/>
      <w:ind w:firstLine="561"/>
    </w:pPr>
    <w:rPr>
      <w:rFonts w:eastAsia="仿宋_GB2312"/>
      <w:sz w:val="28"/>
      <w:szCs w:val="24"/>
    </w:rPr>
  </w:style>
  <w:style w:type="character" w:customStyle="1" w:styleId="27">
    <w:name w:val="times"/>
    <w:basedOn w:val="20"/>
    <w:autoRedefine/>
    <w:qFormat/>
    <w:uiPriority w:val="0"/>
    <w:rPr>
      <w:color w:val="3399FF"/>
      <w:bdr w:val="single" w:color="D1EDF8" w:sz="6" w:space="0"/>
      <w:shd w:val="clear" w:color="auto" w:fill="EAF9FF"/>
    </w:rPr>
  </w:style>
  <w:style w:type="character" w:customStyle="1" w:styleId="28">
    <w:name w:val="times1"/>
    <w:basedOn w:val="20"/>
    <w:autoRedefine/>
    <w:qFormat/>
    <w:uiPriority w:val="0"/>
    <w:rPr>
      <w:color w:val="CDCDCD"/>
      <w:bdr w:val="single" w:color="CDCDCD" w:sz="6" w:space="0"/>
      <w:shd w:val="clear" w:color="auto" w:fill="EFEFEF"/>
    </w:rPr>
  </w:style>
  <w:style w:type="character" w:customStyle="1" w:styleId="29">
    <w:name w:val="hover41"/>
    <w:basedOn w:val="20"/>
    <w:autoRedefine/>
    <w:qFormat/>
    <w:uiPriority w:val="0"/>
  </w:style>
  <w:style w:type="character" w:customStyle="1" w:styleId="30">
    <w:name w:val="hover42"/>
    <w:basedOn w:val="20"/>
    <w:autoRedefine/>
    <w:qFormat/>
    <w:uiPriority w:val="0"/>
  </w:style>
  <w:style w:type="character" w:customStyle="1" w:styleId="31">
    <w:name w:val="hover31"/>
    <w:basedOn w:val="20"/>
    <w:autoRedefine/>
    <w:qFormat/>
    <w:uiPriority w:val="0"/>
  </w:style>
  <w:style w:type="character" w:customStyle="1" w:styleId="32">
    <w:name w:val="页眉 Char"/>
    <w:basedOn w:val="20"/>
    <w:link w:val="14"/>
    <w:autoRedefine/>
    <w:qFormat/>
    <w:uiPriority w:val="0"/>
    <w:rPr>
      <w:rFonts w:ascii="Calibri" w:hAnsi="Calibri"/>
      <w:kern w:val="2"/>
      <w:sz w:val="18"/>
      <w:szCs w:val="18"/>
    </w:rPr>
  </w:style>
  <w:style w:type="character" w:customStyle="1" w:styleId="33">
    <w:name w:val="页脚 Char"/>
    <w:basedOn w:val="20"/>
    <w:link w:val="13"/>
    <w:autoRedefine/>
    <w:qFormat/>
    <w:uiPriority w:val="0"/>
    <w:rPr>
      <w:rFonts w:ascii="Calibri" w:hAnsi="Calibri"/>
      <w:kern w:val="2"/>
      <w:sz w:val="18"/>
      <w:szCs w:val="18"/>
    </w:rPr>
  </w:style>
  <w:style w:type="paragraph" w:customStyle="1" w:styleId="34">
    <w:name w:val="文一"/>
    <w:basedOn w:val="1"/>
    <w:autoRedefine/>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35">
    <w:name w:val="批注框文本 Char"/>
    <w:basedOn w:val="20"/>
    <w:link w:val="12"/>
    <w:autoRedefine/>
    <w:qFormat/>
    <w:uiPriority w:val="0"/>
    <w:rPr>
      <w:rFonts w:ascii="Calibri" w:hAnsi="Calibri"/>
      <w:kern w:val="2"/>
      <w:sz w:val="18"/>
      <w:szCs w:val="18"/>
    </w:rPr>
  </w:style>
  <w:style w:type="character" w:customStyle="1" w:styleId="36">
    <w:name w:val="font01"/>
    <w:basedOn w:val="20"/>
    <w:autoRedefine/>
    <w:qFormat/>
    <w:uiPriority w:val="0"/>
    <w:rPr>
      <w:rFonts w:hint="default" w:ascii="Times New Roman" w:hAnsi="Times New Roman" w:cs="Times New Roman"/>
      <w:color w:val="000000"/>
      <w:sz w:val="22"/>
      <w:szCs w:val="22"/>
      <w:u w:val="none"/>
    </w:rPr>
  </w:style>
  <w:style w:type="character" w:customStyle="1" w:styleId="37">
    <w:name w:val="font11"/>
    <w:basedOn w:val="20"/>
    <w:autoRedefine/>
    <w:qFormat/>
    <w:uiPriority w:val="0"/>
    <w:rPr>
      <w:rFonts w:hint="eastAsia" w:ascii="宋体" w:hAnsi="宋体" w:eastAsia="宋体" w:cs="宋体"/>
      <w:color w:val="000000"/>
      <w:sz w:val="22"/>
      <w:szCs w:val="22"/>
      <w:u w:val="none"/>
    </w:rPr>
  </w:style>
  <w:style w:type="paragraph" w:customStyle="1" w:styleId="38">
    <w:name w:val="Table Paragraph"/>
    <w:basedOn w:val="1"/>
    <w:autoRedefine/>
    <w:qFormat/>
    <w:uiPriority w:val="1"/>
    <w:pPr>
      <w:jc w:val="left"/>
    </w:pPr>
    <w:rPr>
      <w:kern w:val="0"/>
      <w:sz w:val="22"/>
      <w:lang w:eastAsia="en-US"/>
    </w:rPr>
  </w:style>
  <w:style w:type="paragraph" w:customStyle="1" w:styleId="39">
    <w:name w:val="_Style 70"/>
    <w:basedOn w:val="1"/>
    <w:next w:val="1"/>
    <w:autoRedefine/>
    <w:qFormat/>
    <w:uiPriority w:val="34"/>
    <w:pPr>
      <w:ind w:firstLine="420" w:firstLineChars="200"/>
    </w:pPr>
  </w:style>
  <w:style w:type="paragraph" w:styleId="40">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41">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0"/>
    <w:basedOn w:val="42"/>
    <w:autoRedefine/>
    <w:qFormat/>
    <w:uiPriority w:val="0"/>
    <w:rPr>
      <w:rFonts w:ascii="宋体" w:hAnsi="Courier New"/>
      <w:sz w:val="32"/>
      <w:szCs w:val="32"/>
    </w:rPr>
  </w:style>
  <w:style w:type="paragraph" w:customStyle="1" w:styleId="44">
    <w:name w:val="正文文本首行缩进1"/>
    <w:basedOn w:val="1"/>
    <w:autoRedefine/>
    <w:qFormat/>
    <w:uiPriority w:val="0"/>
    <w:pPr>
      <w:ind w:firstLine="420" w:firstLineChars="100"/>
    </w:pPr>
  </w:style>
  <w:style w:type="paragraph" w:customStyle="1" w:styleId="45">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13609</Words>
  <Characters>13854</Characters>
  <Lines>103</Lines>
  <Paragraphs>29</Paragraphs>
  <TotalTime>8</TotalTime>
  <ScaleCrop>false</ScaleCrop>
  <LinksUpToDate>false</LinksUpToDate>
  <CharactersWithSpaces>14877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2022-01-17T06:21:00Z</dcterms:created>
  <dc:creator>Administrator</dc:creator>
  <cp:lastModifiedBy>LGW</cp:lastModifiedBy>
  <cp:lastPrinted>2022-04-27T07:51:00Z</cp:lastPrinted>
  <dcterms:modified xsi:type="dcterms:W3CDTF">2024-08-02T03:41:27Z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41F6BFE51D9945A2AF3B2B6A98F50F57_13</vt:lpwstr>
  </property>
</Properties>
</file>