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8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8"/>
          <w:highlight w:val="none"/>
          <w:lang w:eastAsia="zh-CN"/>
        </w:rPr>
        <w:t>广州市荔湾区国家档案馆杨善深艺术档案编研项目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48"/>
          <w:highlight w:val="none"/>
        </w:rPr>
        <w:t>询价综合评分表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47"/>
        <w:gridCol w:w="540"/>
        <w:gridCol w:w="4320"/>
        <w:gridCol w:w="201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评分项目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0分。投标报价得分=（评标基准价/投标报价）×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0；评审小组评审所有投标人的评标价格，取最低有效投标价作为评标基准。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评分采取四舍五入法，保留小数点后2位。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报价单位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资质及信誉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1、报价人应具备《政府采购法》第二十二条供应商资格条件，不符合条件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，本项目不得分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；2、报价人具备相关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策划、研究、文稿撰写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资质和能力4分；3、报价人具备履行合同所需自有的专业技术力量，为项目配备一组包含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策划、调研、文稿撰写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制作团队3分；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、具有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相关研究工作经验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3分。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以提供相关证明材料为准。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投标文件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规范性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投标文件制作规范，与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“标书要求”项规定没有差异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0分，有差异或缺项，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本项目不得分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2、标书内容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完全符合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缺一项扣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分，扣完为止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根据投标文件进行评定。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计划方案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可行性及操作性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计划内容合理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10分；2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工作任务具体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、完备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20分；3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操作性强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未提供计划或计划方案不实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，本项目不得分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根据提供计划的内容打分，最高分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总得分</w:t>
            </w:r>
          </w:p>
        </w:tc>
        <w:tc>
          <w:tcPr>
            <w:tcW w:w="7350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说明：</w:t>
      </w:r>
    </w:p>
    <w:p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1、所有评委的平均分作为投标人的最终得分。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2、各分值计算保留至小数点后2位。</w:t>
      </w:r>
    </w:p>
    <w:p>
      <w:p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3、评标小组将根据得分情况进行排序，并根据得分排序确定投标中标候选人。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256FF"/>
    <w:rsid w:val="7E4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2024-08-02T09:51:00Z</dcterms:created>
  <dc:creator>Jasmin</dc:creator>
  <cp:lastModifiedBy>Jasmin</cp:lastModifiedBy>
  <dcterms:modified xsi:type="dcterms:W3CDTF">2024-08-02T09:52:28Z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35556685B51448E5A7900F92BFC2FEDB</vt:lpwstr>
  </property>
</Properties>
</file>