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02FF4C">
      <w:pPr>
        <w:jc w:val="center"/>
        <w:rPr>
          <w:rFonts w:ascii="宋体" w:hAnsi="宋体" w:cs="宋体"/>
          <w:b/>
          <w:bCs/>
          <w:sz w:val="44"/>
        </w:rPr>
      </w:pPr>
    </w:p>
    <w:p w14:paraId="0BA5FC60">
      <w:pPr>
        <w:jc w:val="center"/>
        <w:rPr>
          <w:rFonts w:ascii="宋体" w:hAnsi="宋体" w:cs="宋体"/>
          <w:color w:val="000000"/>
          <w:sz w:val="32"/>
          <w:szCs w:val="32"/>
          <w:u w:val="single"/>
        </w:rPr>
      </w:pPr>
    </w:p>
    <w:p w14:paraId="2383C6F5">
      <w:pPr>
        <w:jc w:val="center"/>
        <w:rPr>
          <w:rFonts w:hint="default" w:ascii="宋体" w:hAnsi="宋体" w:eastAsia="宋体" w:cs="宋体"/>
          <w:b/>
          <w:bCs/>
          <w:color w:val="000000"/>
          <w:sz w:val="36"/>
          <w:szCs w:val="36"/>
          <w:u w:val="single"/>
          <w:lang w:val="en-US" w:eastAsia="zh-CN"/>
        </w:rPr>
      </w:pPr>
      <w:r>
        <w:rPr>
          <w:rFonts w:hint="eastAsia" w:ascii="宋体" w:hAnsi="宋体" w:cs="宋体"/>
          <w:b/>
          <w:bCs/>
          <w:color w:val="000000"/>
          <w:sz w:val="36"/>
          <w:szCs w:val="36"/>
          <w:u w:val="single"/>
          <w:lang w:eastAsia="zh-CN"/>
        </w:rPr>
        <w:t>西湾和苑安置房修缮工程服务</w:t>
      </w:r>
    </w:p>
    <w:p w14:paraId="3181BD58">
      <w:pPr>
        <w:rPr>
          <w:rFonts w:ascii="宋体" w:hAnsi="宋体" w:cs="宋体"/>
          <w:b/>
          <w:bCs/>
          <w:sz w:val="44"/>
        </w:rPr>
      </w:pPr>
    </w:p>
    <w:p w14:paraId="032F0976">
      <w:pPr>
        <w:jc w:val="center"/>
        <w:rPr>
          <w:rFonts w:ascii="宋体" w:hAnsi="宋体" w:cs="宋体"/>
          <w:b/>
          <w:bCs/>
          <w:sz w:val="52"/>
        </w:rPr>
      </w:pPr>
    </w:p>
    <w:p w14:paraId="29934E42">
      <w:pPr>
        <w:jc w:val="center"/>
        <w:rPr>
          <w:rFonts w:ascii="宋体" w:hAnsi="宋体" w:cs="宋体"/>
          <w:b/>
          <w:bCs/>
          <w:sz w:val="48"/>
          <w:szCs w:val="48"/>
        </w:rPr>
      </w:pPr>
      <w:r>
        <w:rPr>
          <w:rFonts w:hint="eastAsia" w:ascii="宋体" w:hAnsi="宋体" w:cs="宋体"/>
          <w:b/>
          <w:bCs/>
          <w:sz w:val="48"/>
          <w:szCs w:val="48"/>
        </w:rPr>
        <w:t>询比文件</w:t>
      </w:r>
    </w:p>
    <w:p w14:paraId="29546224">
      <w:pPr>
        <w:rPr>
          <w:rFonts w:ascii="宋体" w:hAnsi="宋体" w:cs="宋体"/>
          <w:b/>
          <w:bCs/>
          <w:sz w:val="44"/>
        </w:rPr>
      </w:pPr>
    </w:p>
    <w:p w14:paraId="24C61E8D">
      <w:pPr>
        <w:rPr>
          <w:rFonts w:ascii="宋体" w:hAnsi="宋体" w:cs="宋体"/>
          <w:b/>
          <w:bCs/>
          <w:sz w:val="44"/>
        </w:rPr>
      </w:pPr>
    </w:p>
    <w:p w14:paraId="14B21517">
      <w:pPr>
        <w:rPr>
          <w:rFonts w:ascii="宋体" w:hAnsi="宋体" w:cs="宋体"/>
          <w:b/>
          <w:bCs/>
          <w:sz w:val="44"/>
        </w:rPr>
      </w:pPr>
    </w:p>
    <w:p w14:paraId="10AEEE77">
      <w:pPr>
        <w:rPr>
          <w:rFonts w:ascii="宋体" w:hAnsi="宋体" w:cs="宋体"/>
          <w:b/>
          <w:bCs/>
          <w:sz w:val="44"/>
        </w:rPr>
      </w:pPr>
    </w:p>
    <w:p w14:paraId="138EF296">
      <w:pPr>
        <w:rPr>
          <w:rFonts w:ascii="宋体" w:hAnsi="宋体" w:cs="宋体"/>
          <w:b/>
          <w:bCs/>
          <w:sz w:val="44"/>
        </w:rPr>
      </w:pPr>
    </w:p>
    <w:p w14:paraId="67BF7821">
      <w:pPr>
        <w:rPr>
          <w:rFonts w:ascii="宋体" w:hAnsi="宋体" w:cs="宋体"/>
          <w:b/>
          <w:bCs/>
          <w:sz w:val="44"/>
        </w:rPr>
      </w:pPr>
    </w:p>
    <w:p w14:paraId="2AA76E6D">
      <w:pPr>
        <w:rPr>
          <w:rFonts w:ascii="宋体" w:hAnsi="宋体" w:cs="宋体"/>
          <w:b/>
          <w:bCs/>
          <w:sz w:val="44"/>
        </w:rPr>
      </w:pPr>
    </w:p>
    <w:p w14:paraId="3CA33B45">
      <w:pPr>
        <w:rPr>
          <w:rFonts w:ascii="宋体" w:hAnsi="宋体" w:cs="宋体"/>
          <w:b/>
          <w:bCs/>
          <w:sz w:val="44"/>
        </w:rPr>
      </w:pPr>
    </w:p>
    <w:p w14:paraId="619A77EE">
      <w:pPr>
        <w:rPr>
          <w:rFonts w:ascii="宋体" w:hAnsi="宋体" w:cs="宋体"/>
          <w:b/>
          <w:bCs/>
          <w:sz w:val="44"/>
        </w:rPr>
      </w:pPr>
    </w:p>
    <w:p w14:paraId="1082AEA4">
      <w:pPr>
        <w:spacing w:line="360" w:lineRule="auto"/>
        <w:jc w:val="center"/>
        <w:rPr>
          <w:rFonts w:hint="eastAsia" w:ascii="宋体" w:hAnsi="宋体" w:eastAsia="宋体" w:cs="宋体"/>
          <w:b/>
          <w:bCs/>
          <w:sz w:val="32"/>
          <w:szCs w:val="32"/>
          <w:lang w:eastAsia="zh-CN"/>
        </w:rPr>
      </w:pPr>
      <w:r>
        <w:rPr>
          <w:rFonts w:hint="eastAsia" w:ascii="宋体" w:hAnsi="宋体" w:cs="宋体"/>
          <w:b/>
          <w:bCs/>
          <w:sz w:val="32"/>
          <w:szCs w:val="32"/>
        </w:rPr>
        <w:t>询比单位：广州市荔湾区</w:t>
      </w:r>
      <w:r>
        <w:rPr>
          <w:rFonts w:hint="eastAsia" w:ascii="宋体" w:hAnsi="宋体" w:cs="宋体"/>
          <w:b/>
          <w:bCs/>
          <w:sz w:val="32"/>
          <w:szCs w:val="32"/>
          <w:lang w:eastAsia="zh-CN"/>
        </w:rPr>
        <w:t>城市更新建设项目管理中心</w:t>
      </w:r>
    </w:p>
    <w:p w14:paraId="5A254691">
      <w:pPr>
        <w:spacing w:line="360" w:lineRule="auto"/>
        <w:jc w:val="center"/>
        <w:rPr>
          <w:rFonts w:ascii="宋体" w:hAnsi="宋体" w:cs="宋体"/>
          <w:b/>
          <w:bCs/>
          <w:sz w:val="32"/>
          <w:szCs w:val="32"/>
        </w:rPr>
      </w:pPr>
      <w:r>
        <w:rPr>
          <w:rFonts w:hint="eastAsia" w:ascii="宋体" w:hAnsi="宋体" w:cs="宋体"/>
          <w:b/>
          <w:bCs/>
          <w:sz w:val="32"/>
          <w:szCs w:val="32"/>
        </w:rPr>
        <w:t>询比代理单位：成致项目管理有限公司</w:t>
      </w:r>
    </w:p>
    <w:p w14:paraId="73AD36C7">
      <w:pPr>
        <w:spacing w:line="360" w:lineRule="auto"/>
        <w:jc w:val="center"/>
        <w:rPr>
          <w:rFonts w:ascii="宋体" w:hAnsi="宋体" w:cs="宋体"/>
          <w:b/>
          <w:bCs/>
          <w:sz w:val="32"/>
          <w:szCs w:val="32"/>
        </w:rPr>
        <w:sectPr>
          <w:headerReference r:id="rId3" w:type="default"/>
          <w:headerReference r:id="rId4" w:type="even"/>
          <w:pgSz w:w="11906" w:h="16838"/>
          <w:pgMar w:top="1440" w:right="1800" w:bottom="1440" w:left="1800" w:header="851" w:footer="992" w:gutter="0"/>
          <w:pgNumType w:fmt="decimal"/>
          <w:cols w:space="425" w:num="1"/>
          <w:docGrid w:type="lines" w:linePitch="312" w:charSpace="0"/>
        </w:sectPr>
      </w:pPr>
      <w:r>
        <w:rPr>
          <w:rFonts w:hint="eastAsia" w:ascii="宋体" w:hAnsi="宋体" w:cs="宋体"/>
          <w:b/>
          <w:bCs/>
          <w:sz w:val="32"/>
          <w:szCs w:val="32"/>
          <w:lang w:eastAsia="zh-CN"/>
        </w:rPr>
        <w:t>二〇</w:t>
      </w:r>
      <w:r>
        <w:rPr>
          <w:rFonts w:hint="eastAsia" w:ascii="宋体" w:hAnsi="宋体" w:cs="宋体"/>
          <w:b/>
          <w:bCs/>
          <w:sz w:val="32"/>
          <w:szCs w:val="32"/>
        </w:rPr>
        <w:t>二</w:t>
      </w:r>
      <w:r>
        <w:rPr>
          <w:rFonts w:hint="eastAsia" w:ascii="宋体" w:hAnsi="宋体" w:cs="宋体"/>
          <w:b/>
          <w:bCs/>
          <w:sz w:val="32"/>
          <w:szCs w:val="32"/>
          <w:lang w:val="en-US" w:eastAsia="zh-CN"/>
        </w:rPr>
        <w:t>五</w:t>
      </w:r>
      <w:r>
        <w:rPr>
          <w:rFonts w:hint="eastAsia" w:ascii="宋体" w:hAnsi="宋体" w:cs="宋体"/>
          <w:b/>
          <w:bCs/>
          <w:sz w:val="32"/>
          <w:szCs w:val="32"/>
        </w:rPr>
        <w:t>年</w:t>
      </w:r>
      <w:r>
        <w:rPr>
          <w:rFonts w:hint="eastAsia" w:ascii="宋体" w:hAnsi="宋体" w:cs="宋体"/>
          <w:b/>
          <w:bCs/>
          <w:sz w:val="32"/>
          <w:szCs w:val="32"/>
          <w:lang w:val="en-US" w:eastAsia="zh-CN"/>
        </w:rPr>
        <w:t>一</w:t>
      </w:r>
      <w:r>
        <w:rPr>
          <w:rFonts w:hint="eastAsia" w:ascii="宋体" w:hAnsi="宋体" w:cs="宋体"/>
          <w:b/>
          <w:bCs/>
          <w:sz w:val="32"/>
          <w:szCs w:val="32"/>
        </w:rPr>
        <w:t>月</w:t>
      </w:r>
    </w:p>
    <w:p w14:paraId="777B2F9E">
      <w:pPr>
        <w:spacing w:line="360" w:lineRule="auto"/>
        <w:ind w:firstLine="482" w:firstLineChars="200"/>
        <w:jc w:val="center"/>
        <w:textAlignment w:val="top"/>
        <w:rPr>
          <w:rFonts w:asciiTheme="minorEastAsia" w:hAnsiTheme="minorEastAsia" w:cstheme="minorEastAsia"/>
          <w:b/>
          <w:bCs/>
          <w:sz w:val="32"/>
          <w:szCs w:val="32"/>
          <w:shd w:val="clear" w:color="auto" w:fill="FFFFFF"/>
        </w:rPr>
      </w:pPr>
      <w:r>
        <w:rPr>
          <w:rFonts w:hint="eastAsia" w:asciiTheme="minorEastAsia" w:hAnsiTheme="minorEastAsia" w:cstheme="minorEastAsia"/>
          <w:b/>
          <w:bCs/>
          <w:sz w:val="24"/>
          <w:szCs w:val="24"/>
          <w:shd w:val="clear" w:color="auto" w:fill="FFFFFF"/>
        </w:rPr>
        <w:t>第一章  询比公告</w:t>
      </w:r>
    </w:p>
    <w:p w14:paraId="0C4AAAA6">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rPr>
        <w:t>为更好地择优选取</w:t>
      </w:r>
      <w:r>
        <w:rPr>
          <w:rFonts w:hint="eastAsia" w:asciiTheme="minorEastAsia" w:hAnsiTheme="minorEastAsia" w:cstheme="minorEastAsia"/>
          <w:sz w:val="24"/>
          <w:szCs w:val="24"/>
          <w:u w:val="single"/>
          <w:lang w:eastAsia="zh-CN"/>
        </w:rPr>
        <w:t>西湾和苑安置房修缮工程服务</w:t>
      </w:r>
      <w:r>
        <w:rPr>
          <w:rFonts w:hint="eastAsia" w:asciiTheme="minorEastAsia" w:hAnsiTheme="minorEastAsia" w:cstheme="minorEastAsia"/>
          <w:sz w:val="24"/>
          <w:szCs w:val="24"/>
        </w:rPr>
        <w:t>单位，</w:t>
      </w:r>
      <w:r>
        <w:rPr>
          <w:rFonts w:hint="eastAsia" w:asciiTheme="minorEastAsia" w:hAnsiTheme="minorEastAsia" w:cstheme="minorEastAsia"/>
          <w:sz w:val="24"/>
          <w:szCs w:val="24"/>
          <w:lang w:bidi="ar"/>
        </w:rPr>
        <w:t>现</w:t>
      </w:r>
      <w:r>
        <w:rPr>
          <w:rFonts w:hint="eastAsia" w:asciiTheme="minorEastAsia" w:hAnsiTheme="minorEastAsia" w:cstheme="minorEastAsia"/>
          <w:sz w:val="24"/>
          <w:szCs w:val="24"/>
        </w:rPr>
        <w:t>广州市荔湾区城市更新建设项目管理中心进行公开询比，在报名并符合要求的企业内选取一家承办单位，</w:t>
      </w:r>
      <w:bookmarkStart w:id="0" w:name="EBf5670e6d291445918fbaeeb8f3e1df8e"/>
      <w:r>
        <w:rPr>
          <w:rFonts w:hint="eastAsia" w:asciiTheme="minorEastAsia" w:hAnsiTheme="minorEastAsia" w:cstheme="minorEastAsia"/>
          <w:sz w:val="24"/>
          <w:szCs w:val="24"/>
        </w:rPr>
        <w:t>欢迎符合资格条件的意向人报名参加。</w:t>
      </w:r>
      <w:bookmarkEnd w:id="0"/>
    </w:p>
    <w:p w14:paraId="16B89165">
      <w:pPr>
        <w:spacing w:line="360" w:lineRule="auto"/>
        <w:rPr>
          <w:rFonts w:ascii="宋体" w:hAnsi="宋体" w:cs="宋体"/>
          <w:b/>
          <w:bCs/>
          <w:color w:val="000000"/>
          <w:sz w:val="24"/>
          <w:szCs w:val="24"/>
        </w:rPr>
      </w:pPr>
      <w:r>
        <w:rPr>
          <w:rFonts w:hint="eastAsia" w:ascii="宋体" w:hAnsi="宋体" w:cs="宋体"/>
          <w:b/>
          <w:bCs/>
          <w:color w:val="000000"/>
          <w:sz w:val="24"/>
          <w:szCs w:val="24"/>
        </w:rPr>
        <w:t>一、项目概况</w:t>
      </w:r>
    </w:p>
    <w:p w14:paraId="1F240CF6">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1.项目情况：</w:t>
      </w:r>
      <w:r>
        <w:rPr>
          <w:rFonts w:hint="eastAsia" w:ascii="宋体" w:hAnsi="宋体" w:cs="宋体"/>
          <w:color w:val="000000"/>
          <w:sz w:val="24"/>
          <w:szCs w:val="24"/>
          <w:lang w:eastAsia="zh-CN"/>
        </w:rPr>
        <w:t>西湾和苑安置房位于广州市荔湾区，现有安置房</w:t>
      </w:r>
      <w:r>
        <w:rPr>
          <w:rFonts w:hint="eastAsia" w:ascii="宋体" w:hAnsi="宋体" w:cs="宋体"/>
          <w:color w:val="000000"/>
          <w:sz w:val="24"/>
          <w:szCs w:val="24"/>
          <w:lang w:val="en-US" w:eastAsia="zh-CN"/>
        </w:rPr>
        <w:t>95套，自2017年2月交付使用至今，</w:t>
      </w:r>
      <w:r>
        <w:rPr>
          <w:rFonts w:hint="eastAsia" w:ascii="宋体" w:hAnsi="宋体" w:cs="宋体"/>
          <w:color w:val="000000"/>
          <w:sz w:val="24"/>
          <w:szCs w:val="24"/>
          <w:lang w:eastAsia="zh-CN"/>
        </w:rPr>
        <w:t>部分房源出现如脱灰、地脚线脱落开裂、瓷砖爆裂等等的问题，本次询比为对包括但不限于这部分需要维修的房源进行修缮工作，具体以询比单位的要求为准。</w:t>
      </w:r>
    </w:p>
    <w:p w14:paraId="38B82296">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2.地点：广州市荔湾区。</w:t>
      </w:r>
    </w:p>
    <w:p w14:paraId="05092B22">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color w:val="000000"/>
          <w:sz w:val="24"/>
          <w:szCs w:val="24"/>
          <w:lang w:eastAsia="zh-CN"/>
        </w:rPr>
        <w:t>项目预算金额为</w:t>
      </w:r>
      <w:r>
        <w:rPr>
          <w:rFonts w:hint="eastAsia" w:ascii="宋体" w:hAnsi="宋体" w:cs="宋体"/>
          <w:color w:val="000000"/>
          <w:sz w:val="24"/>
          <w:szCs w:val="24"/>
          <w:highlight w:val="none"/>
          <w:u w:val="single"/>
          <w:lang w:val="en-US" w:eastAsia="zh-CN"/>
        </w:rPr>
        <w:t>90</w:t>
      </w:r>
      <w:r>
        <w:rPr>
          <w:rFonts w:hint="eastAsia" w:ascii="宋体" w:hAnsi="宋体" w:cs="宋体"/>
          <w:color w:val="000000"/>
          <w:sz w:val="24"/>
          <w:szCs w:val="24"/>
          <w:lang w:val="en-US" w:eastAsia="zh-CN"/>
        </w:rPr>
        <w:t>万元</w:t>
      </w:r>
      <w:r>
        <w:rPr>
          <w:rFonts w:hint="eastAsia" w:ascii="宋体" w:hAnsi="宋体" w:cs="宋体"/>
          <w:color w:val="000000"/>
          <w:sz w:val="24"/>
          <w:szCs w:val="24"/>
        </w:rPr>
        <w:t>。</w:t>
      </w:r>
    </w:p>
    <w:p w14:paraId="19A2F864">
      <w:pPr>
        <w:spacing w:line="360" w:lineRule="auto"/>
        <w:rPr>
          <w:rFonts w:ascii="宋体" w:hAnsi="宋体" w:cs="宋体"/>
          <w:b/>
          <w:bCs/>
          <w:color w:val="auto"/>
          <w:sz w:val="24"/>
          <w:szCs w:val="24"/>
        </w:rPr>
      </w:pPr>
      <w:r>
        <w:rPr>
          <w:rFonts w:hint="eastAsia" w:ascii="宋体" w:hAnsi="宋体" w:cs="宋体"/>
          <w:b/>
          <w:bCs/>
          <w:color w:val="auto"/>
          <w:sz w:val="24"/>
          <w:szCs w:val="24"/>
        </w:rPr>
        <w:t>二、工作内容及要求</w:t>
      </w:r>
    </w:p>
    <w:p w14:paraId="7FBA4AB5">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1.承包方式：包工、包料、包设备、包工期、包质量、包造价控制、包安全、包文明施工、包项目协调管理、包验收移交、包竣工资料收集整理</w:t>
      </w:r>
      <w:r>
        <w:rPr>
          <w:rFonts w:hint="eastAsia" w:ascii="宋体" w:hAnsi="宋体" w:cs="宋体"/>
          <w:color w:val="auto"/>
          <w:sz w:val="24"/>
          <w:szCs w:val="24"/>
          <w:lang w:eastAsia="zh-CN"/>
        </w:rPr>
        <w:t>、</w:t>
      </w:r>
      <w:r>
        <w:rPr>
          <w:rFonts w:hint="eastAsia" w:ascii="宋体" w:hAnsi="宋体" w:eastAsia="宋体" w:cs="宋体"/>
          <w:color w:val="auto"/>
          <w:sz w:val="24"/>
          <w:szCs w:val="24"/>
        </w:rPr>
        <w:t>包保修</w:t>
      </w:r>
      <w:r>
        <w:rPr>
          <w:rFonts w:hint="eastAsia" w:ascii="宋体" w:hAnsi="宋体" w:cs="宋体"/>
          <w:color w:val="auto"/>
          <w:sz w:val="24"/>
          <w:szCs w:val="24"/>
        </w:rPr>
        <w:t>。</w:t>
      </w:r>
    </w:p>
    <w:p w14:paraId="6191E238">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2.工作内容：</w:t>
      </w:r>
      <w:r>
        <w:rPr>
          <w:rFonts w:hint="eastAsia" w:ascii="宋体" w:hAnsi="宋体" w:cs="宋体"/>
          <w:color w:val="auto"/>
          <w:sz w:val="24"/>
          <w:szCs w:val="24"/>
          <w:lang w:eastAsia="zh-CN"/>
        </w:rPr>
        <w:t>主要</w:t>
      </w:r>
      <w:r>
        <w:rPr>
          <w:rFonts w:hint="eastAsia" w:ascii="宋体" w:hAnsi="宋体" w:cs="宋体"/>
          <w:color w:val="auto"/>
          <w:sz w:val="24"/>
          <w:szCs w:val="24"/>
        </w:rPr>
        <w:t>根据西湾和苑每间安置房的实际情况</w:t>
      </w:r>
      <w:r>
        <w:rPr>
          <w:rFonts w:hint="eastAsia" w:ascii="宋体" w:hAnsi="宋体" w:cs="宋体"/>
          <w:color w:val="auto"/>
          <w:sz w:val="24"/>
          <w:szCs w:val="24"/>
          <w:lang w:eastAsia="zh-CN"/>
        </w:rPr>
        <w:t>及询比单位的要求</w:t>
      </w:r>
      <w:r>
        <w:rPr>
          <w:rFonts w:hint="eastAsia" w:ascii="宋体" w:hAnsi="宋体" w:cs="宋体"/>
          <w:color w:val="auto"/>
          <w:sz w:val="24"/>
          <w:szCs w:val="24"/>
        </w:rPr>
        <w:t>，对待使用安置房</w:t>
      </w:r>
      <w:r>
        <w:rPr>
          <w:rFonts w:hint="eastAsia" w:ascii="宋体" w:hAnsi="宋体" w:cs="宋体"/>
          <w:color w:val="auto"/>
          <w:sz w:val="24"/>
          <w:szCs w:val="24"/>
          <w:lang w:eastAsia="zh-CN"/>
        </w:rPr>
        <w:t>出现的问题</w:t>
      </w:r>
      <w:r>
        <w:rPr>
          <w:rFonts w:hint="eastAsia" w:ascii="宋体" w:hAnsi="宋体" w:cs="宋体"/>
          <w:color w:val="auto"/>
          <w:sz w:val="24"/>
          <w:szCs w:val="24"/>
        </w:rPr>
        <w:t>进行维修</w:t>
      </w:r>
      <w:r>
        <w:rPr>
          <w:rFonts w:hint="eastAsia" w:ascii="宋体" w:hAnsi="宋体" w:cs="宋体"/>
          <w:color w:val="auto"/>
          <w:sz w:val="24"/>
          <w:szCs w:val="24"/>
          <w:lang w:eastAsia="zh-CN"/>
        </w:rPr>
        <w:t>，</w:t>
      </w:r>
      <w:r>
        <w:rPr>
          <w:rFonts w:hint="eastAsia" w:ascii="宋体" w:hAnsi="宋体" w:cs="宋体"/>
          <w:color w:val="auto"/>
          <w:sz w:val="24"/>
          <w:szCs w:val="24"/>
          <w:shd w:val="clear" w:color="auto" w:fill="FFFFFF"/>
          <w:lang w:eastAsia="zh-CN"/>
        </w:rPr>
        <w:t>并配合进行</w:t>
      </w:r>
      <w:r>
        <w:rPr>
          <w:rFonts w:hint="eastAsia" w:ascii="宋体" w:hAnsi="宋体" w:cs="宋体"/>
          <w:color w:val="auto"/>
          <w:sz w:val="24"/>
          <w:szCs w:val="24"/>
          <w:shd w:val="clear" w:color="auto" w:fill="FFFFFF"/>
        </w:rPr>
        <w:t>工程</w:t>
      </w:r>
      <w:r>
        <w:rPr>
          <w:rFonts w:hint="eastAsia" w:ascii="宋体" w:hAnsi="宋体" w:cs="宋体"/>
          <w:color w:val="auto"/>
          <w:sz w:val="24"/>
          <w:szCs w:val="24"/>
          <w:shd w:val="clear" w:color="auto" w:fill="FFFFFF"/>
          <w:lang w:eastAsia="zh-CN"/>
        </w:rPr>
        <w:t>移交、</w:t>
      </w:r>
      <w:r>
        <w:rPr>
          <w:rFonts w:hint="eastAsia" w:ascii="宋体" w:hAnsi="宋体" w:cs="宋体"/>
          <w:color w:val="auto"/>
          <w:sz w:val="24"/>
          <w:szCs w:val="24"/>
          <w:shd w:val="clear" w:color="auto" w:fill="FFFFFF"/>
        </w:rPr>
        <w:t>结算</w:t>
      </w:r>
      <w:r>
        <w:rPr>
          <w:rFonts w:hint="eastAsia" w:ascii="宋体" w:hAnsi="宋体" w:cs="宋体"/>
          <w:color w:val="auto"/>
          <w:sz w:val="24"/>
          <w:szCs w:val="24"/>
          <w:shd w:val="clear" w:color="auto" w:fill="FFFFFF"/>
          <w:lang w:eastAsia="zh-CN"/>
        </w:rPr>
        <w:t>、及配合业主办理相关工作</w:t>
      </w:r>
      <w:r>
        <w:rPr>
          <w:rFonts w:hint="eastAsia" w:ascii="宋体" w:hAnsi="宋体" w:cs="宋体"/>
          <w:color w:val="auto"/>
          <w:sz w:val="24"/>
          <w:szCs w:val="24"/>
          <w:shd w:val="clear" w:color="auto" w:fill="FFFFFF"/>
        </w:rPr>
        <w:t>。</w:t>
      </w:r>
    </w:p>
    <w:p w14:paraId="6D882918">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3.验收要求</w:t>
      </w:r>
      <w:r>
        <w:rPr>
          <w:rFonts w:hint="eastAsia" w:ascii="宋体" w:hAnsi="宋体" w:cs="宋体"/>
          <w:color w:val="auto"/>
          <w:sz w:val="24"/>
          <w:szCs w:val="24"/>
          <w:lang w:eastAsia="zh-CN"/>
        </w:rPr>
        <w:t>：</w:t>
      </w:r>
    </w:p>
    <w:p w14:paraId="23EE9AF6">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（1）质量标准：依照《西湾路旧城改造安置房装修标准》及按照国家或工程所在的地区现行施工验收标准进行验收达到合格等级标准。</w:t>
      </w:r>
    </w:p>
    <w:p w14:paraId="503CA81F">
      <w:pPr>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rPr>
        <w:t>（2）安全文明施工要求：符合国家、省、市安全生产、文明施工管理相关规定。</w:t>
      </w:r>
    </w:p>
    <w:p w14:paraId="4D09B3E2">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eastAsia="zh-CN"/>
        </w:rPr>
        <w:t>服务期限：暂定</w:t>
      </w:r>
      <w:r>
        <w:rPr>
          <w:rFonts w:hint="eastAsia" w:ascii="宋体" w:hAnsi="宋体" w:cs="宋体"/>
          <w:color w:val="auto"/>
          <w:sz w:val="24"/>
          <w:szCs w:val="24"/>
          <w:highlight w:val="none"/>
          <w:lang w:val="en-US" w:eastAsia="zh-CN"/>
        </w:rPr>
        <w:t>90日历天，</w:t>
      </w:r>
      <w:r>
        <w:rPr>
          <w:rFonts w:hint="eastAsia" w:ascii="宋体" w:hAnsi="宋体" w:cs="宋体"/>
          <w:color w:val="auto"/>
          <w:sz w:val="24"/>
          <w:szCs w:val="24"/>
          <w:highlight w:val="none"/>
        </w:rPr>
        <w:t>合同签订后</w:t>
      </w:r>
      <w:r>
        <w:rPr>
          <w:rFonts w:hint="eastAsia" w:ascii="宋体" w:hAnsi="宋体" w:cs="宋体"/>
          <w:color w:val="auto"/>
          <w:sz w:val="24"/>
          <w:szCs w:val="24"/>
          <w:highlight w:val="none"/>
          <w:lang w:eastAsia="zh-CN"/>
        </w:rPr>
        <w:t>开工之日起</w:t>
      </w:r>
      <w:r>
        <w:rPr>
          <w:rFonts w:hint="eastAsia" w:ascii="宋体" w:hAnsi="宋体" w:cs="宋体"/>
          <w:color w:val="auto"/>
          <w:sz w:val="24"/>
          <w:szCs w:val="24"/>
          <w:highlight w:val="none"/>
        </w:rPr>
        <w:t>至</w:t>
      </w:r>
      <w:r>
        <w:rPr>
          <w:rFonts w:hint="eastAsia" w:ascii="宋体" w:hAnsi="宋体" w:cs="宋体"/>
          <w:color w:val="auto"/>
          <w:sz w:val="24"/>
          <w:szCs w:val="24"/>
          <w:highlight w:val="none"/>
          <w:lang w:val="en-US" w:eastAsia="zh-CN"/>
        </w:rPr>
        <w:t>验收合格移交之日止</w:t>
      </w:r>
      <w:r>
        <w:rPr>
          <w:rFonts w:hint="eastAsia" w:ascii="宋体" w:hAnsi="宋体" w:cs="宋体"/>
          <w:color w:val="auto"/>
          <w:sz w:val="24"/>
          <w:szCs w:val="24"/>
          <w:highlight w:val="none"/>
        </w:rPr>
        <w:t>。</w:t>
      </w:r>
    </w:p>
    <w:p w14:paraId="56D0598B">
      <w:pPr>
        <w:spacing w:line="360" w:lineRule="auto"/>
        <w:rPr>
          <w:rFonts w:ascii="宋体" w:hAnsi="宋体" w:cs="宋体"/>
          <w:b/>
          <w:bCs/>
          <w:color w:val="000000"/>
          <w:sz w:val="24"/>
          <w:szCs w:val="24"/>
        </w:rPr>
      </w:pPr>
      <w:r>
        <w:rPr>
          <w:rFonts w:hint="eastAsia" w:ascii="宋体" w:hAnsi="宋体" w:cs="宋体"/>
          <w:b/>
          <w:bCs/>
          <w:color w:val="000000"/>
          <w:sz w:val="24"/>
          <w:szCs w:val="24"/>
        </w:rPr>
        <w:t>三、报价人资格要求</w:t>
      </w:r>
    </w:p>
    <w:p w14:paraId="72FBA3A8">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w:t>
      </w:r>
      <w:r>
        <w:rPr>
          <w:rFonts w:hint="eastAsia" w:asciiTheme="minorEastAsia" w:hAnsiTheme="minorEastAsia" w:eastAsiaTheme="minorEastAsia" w:cstheme="minorEastAsia"/>
          <w:sz w:val="24"/>
          <w:szCs w:val="24"/>
        </w:rPr>
        <w:t>报价人具有独立法人资格，持有</w:t>
      </w:r>
      <w:r>
        <w:rPr>
          <w:rFonts w:hint="eastAsia" w:asciiTheme="minorEastAsia" w:hAnsiTheme="minorEastAsia" w:eastAsiaTheme="minorEastAsia" w:cstheme="minorEastAsia"/>
          <w:sz w:val="24"/>
          <w:szCs w:val="24"/>
          <w:lang w:val="en-US" w:eastAsia="zh-CN"/>
        </w:rPr>
        <w:t>市场监督（</w:t>
      </w:r>
      <w:r>
        <w:rPr>
          <w:rFonts w:hint="eastAsia" w:asciiTheme="minorEastAsia" w:hAnsiTheme="minorEastAsia" w:eastAsiaTheme="minorEastAsia" w:cstheme="minorEastAsia"/>
          <w:sz w:val="24"/>
          <w:szCs w:val="24"/>
        </w:rPr>
        <w:t>工商行政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管理部门核发的在有效期内的法人营业执照或各级登记管理机关颁发的事业单位法人证书，按国家法律经营。</w:t>
      </w:r>
    </w:p>
    <w:p w14:paraId="4E6D6530">
      <w:pPr>
        <w:spacing w:line="360" w:lineRule="auto"/>
        <w:ind w:firstLine="480" w:firstLineChars="200"/>
        <w:rPr>
          <w:rFonts w:hint="eastAsia" w:asciiTheme="minorEastAsia" w:hAnsiTheme="minorEastAsia" w:eastAsiaTheme="minorEastAsia" w:cstheme="minorEastAsia"/>
          <w:sz w:val="24"/>
          <w:szCs w:val="24"/>
          <w:lang w:bidi="ar"/>
        </w:rPr>
      </w:pPr>
      <w:r>
        <w:rPr>
          <w:rFonts w:hint="eastAsia" w:ascii="宋体" w:hAnsi="宋体" w:cs="宋体"/>
          <w:color w:val="000000"/>
          <w:sz w:val="24"/>
          <w:szCs w:val="24"/>
        </w:rPr>
        <w:t>2.</w:t>
      </w:r>
      <w:r>
        <w:rPr>
          <w:rFonts w:hint="eastAsia" w:asciiTheme="minorEastAsia" w:hAnsiTheme="minorEastAsia" w:eastAsiaTheme="minorEastAsia" w:cstheme="minorEastAsia"/>
          <w:sz w:val="24"/>
          <w:szCs w:val="24"/>
        </w:rPr>
        <w:t>报价人</w:t>
      </w:r>
      <w:r>
        <w:rPr>
          <w:rFonts w:hint="eastAsia" w:asciiTheme="minorEastAsia" w:hAnsiTheme="minorEastAsia" w:cstheme="minorEastAsia"/>
          <w:sz w:val="24"/>
          <w:szCs w:val="24"/>
          <w:highlight w:val="none"/>
          <w:lang w:eastAsia="zh-CN" w:bidi="ar"/>
        </w:rPr>
        <w:t>具有建筑工程施工总承包三级或以上资质</w:t>
      </w:r>
      <w:r>
        <w:rPr>
          <w:rFonts w:hint="eastAsia" w:asciiTheme="minorEastAsia" w:hAnsiTheme="minorEastAsia" w:eastAsiaTheme="minorEastAsia" w:cstheme="minorEastAsia"/>
          <w:sz w:val="24"/>
          <w:szCs w:val="24"/>
          <w:lang w:bidi="ar"/>
        </w:rPr>
        <w:t>。</w:t>
      </w:r>
    </w:p>
    <w:p w14:paraId="340104DA">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3.</w:t>
      </w:r>
      <w:r>
        <w:rPr>
          <w:rFonts w:hint="eastAsia" w:asciiTheme="minorEastAsia" w:hAnsiTheme="minorEastAsia" w:eastAsiaTheme="minorEastAsia" w:cstheme="minorEastAsia"/>
          <w:sz w:val="24"/>
          <w:szCs w:val="24"/>
        </w:rPr>
        <w:t>报价人</w:t>
      </w:r>
      <w:r>
        <w:rPr>
          <w:rFonts w:hint="eastAsia" w:ascii="宋体" w:hAnsi="宋体" w:cs="宋体"/>
          <w:color w:val="000000"/>
          <w:sz w:val="24"/>
          <w:szCs w:val="24"/>
          <w:lang w:val="en-US" w:eastAsia="zh-CN"/>
        </w:rPr>
        <w:t>具有有效期内的企业安全生产许可证。</w:t>
      </w:r>
    </w:p>
    <w:p w14:paraId="2215240C">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r>
        <w:rPr>
          <w:rFonts w:hint="eastAsia" w:asciiTheme="minorEastAsia" w:hAnsiTheme="minorEastAsia" w:eastAsiaTheme="minorEastAsia" w:cstheme="minorEastAsia"/>
          <w:sz w:val="24"/>
          <w:szCs w:val="24"/>
        </w:rPr>
        <w:t>报价人</w:t>
      </w:r>
      <w:r>
        <w:rPr>
          <w:rFonts w:hint="eastAsia" w:ascii="宋体" w:hAnsi="宋体" w:cs="宋体"/>
          <w:color w:val="000000"/>
          <w:sz w:val="24"/>
          <w:szCs w:val="24"/>
        </w:rPr>
        <w:t>拟派项目负责人为建筑工程专业二级或以上级别的注册建造师；并须具有在有效期内的安全考核合格证书（B类），或能够提供广东省建筑施工企业管理人员安全生产考核信息系统安全生产管理人员证书信息的打印页</w:t>
      </w:r>
      <w:r>
        <w:rPr>
          <w:rFonts w:hint="eastAsia" w:ascii="宋体" w:hAnsi="宋体" w:cs="宋体"/>
          <w:color w:val="000000"/>
          <w:sz w:val="24"/>
          <w:szCs w:val="24"/>
          <w:lang w:eastAsia="zh-CN"/>
        </w:rPr>
        <w:t>。</w:t>
      </w:r>
    </w:p>
    <w:p w14:paraId="6DEE8580">
      <w:pPr>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注：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452013DA">
      <w:pPr>
        <w:spacing w:line="360" w:lineRule="auto"/>
        <w:ind w:firstLine="480" w:firstLineChars="200"/>
        <w:rPr>
          <w:rFonts w:hint="eastAsia" w:ascii="宋体" w:hAnsi="宋体" w:eastAsia="宋体" w:cs="宋体"/>
          <w:color w:val="auto"/>
          <w:kern w:val="0"/>
          <w:sz w:val="24"/>
          <w:szCs w:val="20"/>
          <w:highlight w:val="none"/>
          <w:u w:val="none"/>
          <w:shd w:val="clear" w:fill="FFFFFF"/>
          <w:lang w:val="en-US" w:eastAsia="zh-CN" w:bidi="ar"/>
        </w:rPr>
      </w:pPr>
      <w:r>
        <w:rPr>
          <w:rFonts w:hint="eastAsia" w:ascii="宋体" w:hAnsi="宋体" w:cs="宋体"/>
          <w:color w:val="000000"/>
          <w:sz w:val="24"/>
          <w:szCs w:val="24"/>
          <w:lang w:val="en-US" w:eastAsia="zh-CN"/>
        </w:rPr>
        <w:t>5.</w:t>
      </w:r>
      <w:r>
        <w:rPr>
          <w:rFonts w:hint="eastAsia" w:asciiTheme="minorEastAsia" w:hAnsiTheme="minorEastAsia" w:eastAsiaTheme="minorEastAsia" w:cstheme="minorEastAsia"/>
          <w:sz w:val="24"/>
          <w:szCs w:val="24"/>
        </w:rPr>
        <w:t>报价人</w:t>
      </w:r>
      <w:r>
        <w:rPr>
          <w:rFonts w:hint="eastAsia" w:ascii="宋体" w:hAnsi="宋体" w:cs="宋体"/>
          <w:color w:val="000000"/>
          <w:sz w:val="24"/>
          <w:szCs w:val="24"/>
          <w:lang w:val="en-US" w:eastAsia="zh-CN"/>
        </w:rPr>
        <w:t>拟派专职安全人员须具有安全生产考核合格证（C类），或能够提供广东省建筑施工企业管理人员安全生产考核信息系统安全生产管理人员证书信息的打印页。</w:t>
      </w:r>
    </w:p>
    <w:p w14:paraId="5816CC05">
      <w:pPr>
        <w:spacing w:line="360" w:lineRule="auto"/>
        <w:ind w:firstLine="480" w:firstLineChars="200"/>
        <w:jc w:val="left"/>
        <w:rPr>
          <w:rFonts w:hint="eastAsia" w:ascii="宋体" w:hAnsi="宋体" w:eastAsia="宋体" w:cs="宋体"/>
          <w:color w:val="auto"/>
          <w:kern w:val="0"/>
          <w:sz w:val="24"/>
          <w:szCs w:val="20"/>
          <w:highlight w:val="none"/>
          <w:u w:val="none"/>
          <w:shd w:val="clear" w:fill="FFFFFF"/>
          <w:lang w:val="en-US" w:eastAsia="zh-CN" w:bidi="ar"/>
        </w:rPr>
      </w:pPr>
      <w:r>
        <w:rPr>
          <w:rFonts w:hint="eastAsia" w:ascii="宋体" w:hAnsi="宋体" w:cs="宋体"/>
          <w:color w:val="auto"/>
          <w:kern w:val="0"/>
          <w:sz w:val="24"/>
          <w:szCs w:val="20"/>
          <w:highlight w:val="none"/>
          <w:u w:val="none"/>
          <w:shd w:val="clear" w:fill="FFFFFF"/>
          <w:lang w:val="en-US" w:eastAsia="zh-CN" w:bidi="ar"/>
        </w:rPr>
        <w:t>6</w:t>
      </w:r>
      <w:r>
        <w:rPr>
          <w:rFonts w:hint="eastAsia" w:ascii="宋体" w:hAnsi="宋体" w:eastAsia="宋体" w:cs="宋体"/>
          <w:color w:val="auto"/>
          <w:kern w:val="0"/>
          <w:sz w:val="24"/>
          <w:szCs w:val="20"/>
          <w:highlight w:val="none"/>
          <w:u w:val="none"/>
          <w:shd w:val="clear" w:fill="FFFFFF"/>
          <w:lang w:val="en-US" w:eastAsia="zh-CN" w:bidi="ar"/>
        </w:rPr>
        <w:t>.报价人</w:t>
      </w:r>
      <w:r>
        <w:rPr>
          <w:rFonts w:hint="eastAsia" w:ascii="宋体" w:hAnsi="宋体" w:cs="宋体"/>
          <w:color w:val="auto"/>
          <w:kern w:val="0"/>
          <w:sz w:val="24"/>
          <w:szCs w:val="20"/>
          <w:highlight w:val="none"/>
          <w:u w:val="none"/>
          <w:shd w:val="clear" w:fill="FFFFFF"/>
          <w:lang w:val="en-US" w:eastAsia="zh-CN" w:bidi="ar"/>
        </w:rPr>
        <w:t>为</w:t>
      </w:r>
      <w:r>
        <w:rPr>
          <w:rFonts w:hint="eastAsia" w:ascii="宋体" w:hAnsi="宋体" w:eastAsia="宋体" w:cs="宋体"/>
          <w:color w:val="auto"/>
          <w:kern w:val="0"/>
          <w:sz w:val="24"/>
          <w:szCs w:val="20"/>
          <w:highlight w:val="none"/>
          <w:u w:val="none"/>
          <w:shd w:val="clear" w:fill="FFFFFF"/>
          <w:lang w:val="en-US" w:eastAsia="zh-CN" w:bidi="ar"/>
        </w:rPr>
        <w:t>广东政府采购智慧云平台的</w:t>
      </w:r>
      <w:r>
        <w:rPr>
          <w:rFonts w:hint="eastAsia" w:ascii="宋体" w:hAnsi="宋体" w:cs="宋体"/>
          <w:color w:val="auto"/>
          <w:kern w:val="0"/>
          <w:sz w:val="24"/>
          <w:szCs w:val="20"/>
          <w:highlight w:val="none"/>
          <w:u w:val="none"/>
          <w:shd w:val="clear" w:fill="FFFFFF"/>
          <w:lang w:val="en-US" w:eastAsia="zh-CN" w:bidi="ar"/>
        </w:rPr>
        <w:t>定点</w:t>
      </w:r>
      <w:r>
        <w:rPr>
          <w:rFonts w:hint="eastAsia" w:ascii="宋体" w:hAnsi="宋体" w:eastAsia="宋体" w:cs="宋体"/>
          <w:color w:val="auto"/>
          <w:kern w:val="0"/>
          <w:sz w:val="24"/>
          <w:szCs w:val="20"/>
          <w:highlight w:val="none"/>
          <w:u w:val="none"/>
          <w:shd w:val="clear" w:fill="FFFFFF"/>
          <w:lang w:val="en-US" w:eastAsia="zh-CN" w:bidi="ar"/>
        </w:rPr>
        <w:t>供应商</w:t>
      </w:r>
      <w:r>
        <w:rPr>
          <w:rFonts w:hint="eastAsia" w:ascii="宋体" w:hAnsi="宋体" w:cs="宋体"/>
          <w:color w:val="auto"/>
          <w:kern w:val="0"/>
          <w:sz w:val="24"/>
          <w:szCs w:val="20"/>
          <w:highlight w:val="none"/>
          <w:u w:val="none"/>
          <w:shd w:val="clear" w:fill="FFFFFF"/>
          <w:lang w:val="en-US" w:eastAsia="zh-CN" w:bidi="ar"/>
        </w:rPr>
        <w:t>，提供截图证明</w:t>
      </w:r>
      <w:r>
        <w:rPr>
          <w:rFonts w:hint="eastAsia" w:ascii="宋体" w:hAnsi="宋体" w:eastAsia="宋体" w:cs="宋体"/>
          <w:color w:val="auto"/>
          <w:kern w:val="0"/>
          <w:sz w:val="24"/>
          <w:szCs w:val="20"/>
          <w:highlight w:val="none"/>
          <w:u w:val="none"/>
          <w:shd w:val="clear" w:fill="FFFFFF"/>
          <w:lang w:val="en-US" w:eastAsia="zh-CN" w:bidi="ar"/>
        </w:rPr>
        <w:t>。</w:t>
      </w:r>
    </w:p>
    <w:p w14:paraId="1367D223">
      <w:pPr>
        <w:spacing w:line="360" w:lineRule="auto"/>
        <w:ind w:firstLine="480" w:firstLineChars="200"/>
        <w:jc w:val="left"/>
        <w:rPr>
          <w:rFonts w:hint="eastAsia" w:ascii="宋体" w:hAnsi="宋体" w:eastAsia="宋体" w:cs="宋体"/>
          <w:color w:val="auto"/>
          <w:kern w:val="0"/>
          <w:sz w:val="24"/>
          <w:szCs w:val="20"/>
          <w:highlight w:val="none"/>
          <w:u w:val="none"/>
          <w:shd w:val="clear" w:fill="FFFFFF"/>
          <w:lang w:val="en-US" w:eastAsia="zh-CN" w:bidi="ar"/>
        </w:rPr>
      </w:pPr>
      <w:r>
        <w:rPr>
          <w:rFonts w:hint="eastAsia" w:ascii="宋体" w:hAnsi="宋体" w:cs="宋体"/>
          <w:color w:val="auto"/>
          <w:kern w:val="0"/>
          <w:sz w:val="24"/>
          <w:szCs w:val="20"/>
          <w:highlight w:val="none"/>
          <w:u w:val="none"/>
          <w:shd w:val="clear" w:fill="FFFFFF"/>
          <w:lang w:val="en-US" w:eastAsia="zh-CN" w:bidi="ar"/>
        </w:rPr>
        <w:t>7.报价人</w:t>
      </w:r>
      <w:r>
        <w:rPr>
          <w:rFonts w:hint="eastAsia" w:asciiTheme="minorEastAsia" w:hAnsiTheme="minorEastAsia" w:eastAsiaTheme="minorEastAsia" w:cstheme="minorEastAsia"/>
          <w:sz w:val="24"/>
          <w:szCs w:val="24"/>
        </w:rPr>
        <w:t>未被“信用中国”（www.creditchina.gov.cn)、中国政府采购网（www.ccgp.gov.cn）列入失信被执行人、重大税收违法失信主体或政府采购严重违法失信行为记录名单。提供网页截图等证明材料。</w:t>
      </w:r>
    </w:p>
    <w:p w14:paraId="33643E6D">
      <w:pPr>
        <w:spacing w:line="360" w:lineRule="auto"/>
        <w:ind w:firstLine="480" w:firstLineChars="200"/>
        <w:jc w:val="left"/>
        <w:rPr>
          <w:rFonts w:ascii="宋体" w:hAnsi="宋体" w:cs="宋体"/>
          <w:sz w:val="24"/>
          <w:szCs w:val="24"/>
        </w:rPr>
      </w:pPr>
      <w:r>
        <w:rPr>
          <w:rFonts w:hint="eastAsia" w:asciiTheme="minorEastAsia" w:hAnsiTheme="minorEastAsia" w:eastAsiaTheme="minorEastAsia" w:cstheme="minorEastAsia"/>
          <w:sz w:val="24"/>
          <w:szCs w:val="24"/>
          <w:u w:val="none"/>
          <w:lang w:val="en-US" w:eastAsia="zh-CN"/>
        </w:rPr>
        <w:t>8.</w:t>
      </w:r>
      <w:r>
        <w:rPr>
          <w:rFonts w:hint="eastAsia" w:asciiTheme="minorEastAsia" w:hAnsiTheme="minorEastAsia" w:eastAsiaTheme="minorEastAsia" w:cstheme="minorEastAsia"/>
          <w:sz w:val="24"/>
          <w:szCs w:val="24"/>
          <w:u w:val="none"/>
        </w:rPr>
        <w:t>本项目</w:t>
      </w:r>
      <w:r>
        <w:rPr>
          <w:rFonts w:hint="eastAsia" w:asciiTheme="minorEastAsia" w:hAnsiTheme="minorEastAsia" w:eastAsiaTheme="minorEastAsia" w:cstheme="minorEastAsia"/>
          <w:sz w:val="24"/>
          <w:szCs w:val="24"/>
          <w:u w:val="none"/>
          <w:lang w:eastAsia="zh-CN"/>
        </w:rPr>
        <w:t>不</w:t>
      </w:r>
      <w:r>
        <w:rPr>
          <w:rFonts w:hint="eastAsia" w:asciiTheme="minorEastAsia" w:hAnsiTheme="minorEastAsia" w:eastAsiaTheme="minorEastAsia" w:cstheme="minorEastAsia"/>
          <w:sz w:val="24"/>
          <w:szCs w:val="24"/>
          <w:u w:val="none"/>
        </w:rPr>
        <w:t>接受联合体</w:t>
      </w:r>
      <w:r>
        <w:rPr>
          <w:rFonts w:hint="eastAsia" w:asciiTheme="minorEastAsia" w:hAnsiTheme="minorEastAsia" w:eastAsiaTheme="minorEastAsia" w:cstheme="minorEastAsia"/>
          <w:sz w:val="24"/>
          <w:szCs w:val="24"/>
          <w:u w:val="none"/>
          <w:lang w:val="en-US" w:eastAsia="zh-CN"/>
        </w:rPr>
        <w:t>的报价</w:t>
      </w:r>
      <w:r>
        <w:rPr>
          <w:rFonts w:hint="eastAsia" w:ascii="宋体" w:hAnsi="宋体" w:cs="宋体"/>
          <w:sz w:val="24"/>
          <w:szCs w:val="24"/>
        </w:rPr>
        <w:t>。</w:t>
      </w:r>
    </w:p>
    <w:p w14:paraId="36ED8458">
      <w:pPr>
        <w:widowControl/>
        <w:numPr>
          <w:ilvl w:val="0"/>
          <w:numId w:val="0"/>
        </w:numPr>
        <w:shd w:val="clear"/>
        <w:spacing w:before="0" w:after="0" w:line="360" w:lineRule="auto"/>
        <w:ind w:firstLine="0" w:firstLineChars="0"/>
        <w:jc w:val="left"/>
        <w:rPr>
          <w:rFonts w:hint="eastAsia" w:asciiTheme="minorEastAsia" w:hAnsiTheme="minorEastAsia" w:eastAsiaTheme="minorEastAsia" w:cstheme="minorEastAsia"/>
          <w:b/>
          <w:bCs/>
          <w:color w:val="000000"/>
          <w:kern w:val="2"/>
          <w:sz w:val="24"/>
          <w:szCs w:val="24"/>
        </w:rPr>
      </w:pPr>
      <w:r>
        <w:rPr>
          <w:rFonts w:hint="eastAsia" w:asciiTheme="minorEastAsia" w:hAnsiTheme="minorEastAsia" w:eastAsiaTheme="minorEastAsia" w:cstheme="minorEastAsia"/>
          <w:b/>
          <w:bCs/>
          <w:color w:val="000000"/>
          <w:kern w:val="2"/>
          <w:sz w:val="24"/>
          <w:szCs w:val="24"/>
          <w:lang w:val="en-US" w:eastAsia="zh-CN"/>
        </w:rPr>
        <w:t xml:space="preserve"> 四、</w:t>
      </w:r>
      <w:r>
        <w:rPr>
          <w:rFonts w:hint="eastAsia" w:asciiTheme="minorEastAsia" w:hAnsiTheme="minorEastAsia" w:eastAsiaTheme="minorEastAsia" w:cstheme="minorEastAsia"/>
          <w:b/>
          <w:bCs/>
          <w:color w:val="000000"/>
          <w:kern w:val="2"/>
          <w:sz w:val="24"/>
          <w:szCs w:val="24"/>
        </w:rPr>
        <w:t>报价及结算方式</w:t>
      </w:r>
    </w:p>
    <w:p w14:paraId="2CB5824D">
      <w:pPr>
        <w:numPr>
          <w:ilvl w:val="0"/>
          <w:numId w:val="0"/>
        </w:numPr>
        <w:spacing w:line="360" w:lineRule="auto"/>
        <w:ind w:firstLine="480" w:firstLineChars="200"/>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sz w:val="24"/>
          <w:szCs w:val="24"/>
          <w:u w:val="none"/>
          <w:lang w:val="en-US" w:eastAsia="zh-CN"/>
        </w:rPr>
        <w:t>1.</w:t>
      </w:r>
      <w:r>
        <w:rPr>
          <w:rFonts w:hint="eastAsia" w:asciiTheme="minorEastAsia" w:hAnsiTheme="minorEastAsia" w:eastAsiaTheme="minorEastAsia" w:cstheme="minorEastAsia"/>
          <w:color w:val="000000"/>
          <w:sz w:val="24"/>
          <w:szCs w:val="24"/>
        </w:rPr>
        <w:t>最高报价限价：</w:t>
      </w:r>
      <w:r>
        <w:rPr>
          <w:rFonts w:hint="eastAsia" w:asciiTheme="minorEastAsia" w:hAnsiTheme="minorEastAsia" w:eastAsiaTheme="minorEastAsia" w:cstheme="minorEastAsia"/>
          <w:b w:val="0"/>
          <w:bCs w:val="0"/>
          <w:color w:val="000000"/>
          <w:sz w:val="24"/>
          <w:szCs w:val="24"/>
        </w:rPr>
        <w:t>人民币</w:t>
      </w:r>
      <w:r>
        <w:rPr>
          <w:rFonts w:hint="eastAsia" w:asciiTheme="minorEastAsia" w:hAnsiTheme="minorEastAsia" w:eastAsiaTheme="minorEastAsia" w:cstheme="minorEastAsia"/>
          <w:b w:val="0"/>
          <w:bCs w:val="0"/>
          <w:color w:val="000000"/>
          <w:sz w:val="24"/>
          <w:szCs w:val="24"/>
          <w:lang w:eastAsia="zh-CN"/>
        </w:rPr>
        <w:t>约</w:t>
      </w:r>
      <w:r>
        <w:rPr>
          <w:rFonts w:hint="eastAsia" w:asciiTheme="minorEastAsia" w:hAnsiTheme="minorEastAsia" w:cstheme="minorEastAsia"/>
          <w:b w:val="0"/>
          <w:bCs w:val="0"/>
          <w:color w:val="000000"/>
          <w:sz w:val="24"/>
          <w:szCs w:val="24"/>
          <w:highlight w:val="none"/>
          <w:u w:val="single"/>
          <w:lang w:val="en-US" w:eastAsia="zh-CN"/>
        </w:rPr>
        <w:t>900000.00</w:t>
      </w:r>
      <w:r>
        <w:rPr>
          <w:rFonts w:hint="eastAsia" w:asciiTheme="minorEastAsia" w:hAnsiTheme="minorEastAsia" w:eastAsiaTheme="minorEastAsia" w:cstheme="minorEastAsia"/>
          <w:b w:val="0"/>
          <w:bCs w:val="0"/>
          <w:color w:val="000000"/>
          <w:sz w:val="24"/>
          <w:szCs w:val="24"/>
          <w:highlight w:val="none"/>
        </w:rPr>
        <w:t>元</w:t>
      </w:r>
      <w:r>
        <w:rPr>
          <w:rFonts w:hint="eastAsia" w:asciiTheme="minorEastAsia" w:hAnsiTheme="minorEastAsia" w:eastAsiaTheme="minorEastAsia" w:cstheme="minorEastAsia"/>
          <w:b w:val="0"/>
          <w:bCs w:val="0"/>
          <w:color w:val="000000"/>
          <w:sz w:val="24"/>
          <w:szCs w:val="24"/>
          <w:highlight w:val="none"/>
          <w:lang w:eastAsia="zh-CN"/>
        </w:rPr>
        <w:t>（</w:t>
      </w:r>
      <w:r>
        <w:rPr>
          <w:rFonts w:hint="eastAsia" w:asciiTheme="minorEastAsia" w:hAnsiTheme="minorEastAsia" w:eastAsiaTheme="minorEastAsia" w:cstheme="minorEastAsia"/>
          <w:b w:val="0"/>
          <w:bCs w:val="0"/>
          <w:color w:val="000000"/>
          <w:sz w:val="24"/>
          <w:szCs w:val="24"/>
          <w:highlight w:val="none"/>
          <w:lang w:val="en-US" w:eastAsia="zh-CN"/>
        </w:rPr>
        <w:t>大写：玖拾万元整</w:t>
      </w:r>
      <w:r>
        <w:rPr>
          <w:rFonts w:hint="eastAsia" w:asciiTheme="minorEastAsia" w:hAnsiTheme="minorEastAsia" w:eastAsiaTheme="minorEastAsia" w:cstheme="minorEastAsia"/>
          <w:b w:val="0"/>
          <w:bCs w:val="0"/>
          <w:color w:val="000000"/>
          <w:sz w:val="24"/>
          <w:szCs w:val="24"/>
          <w:highlight w:val="none"/>
          <w:lang w:eastAsia="zh-CN"/>
        </w:rPr>
        <w:t>）</w:t>
      </w:r>
      <w:r>
        <w:rPr>
          <w:rFonts w:hint="eastAsia" w:asciiTheme="minorEastAsia" w:hAnsiTheme="minorEastAsia" w:cstheme="minorEastAsia"/>
          <w:b w:val="0"/>
          <w:bCs w:val="0"/>
          <w:color w:val="000000"/>
          <w:sz w:val="24"/>
          <w:szCs w:val="24"/>
          <w:highlight w:val="none"/>
          <w:lang w:val="en-US" w:eastAsia="zh-CN"/>
        </w:rPr>
        <w:t xml:space="preserve">。 </w:t>
      </w:r>
      <w:r>
        <w:rPr>
          <w:rFonts w:hint="eastAsia" w:ascii="宋体" w:hAnsi="宋体" w:eastAsia="宋体" w:cs="宋体"/>
          <w:color w:val="auto"/>
          <w:kern w:val="0"/>
          <w:sz w:val="24"/>
          <w:szCs w:val="20"/>
          <w:highlight w:val="none"/>
          <w:u w:val="none"/>
          <w:shd w:val="clear" w:fill="FFFFFF"/>
          <w:lang w:val="en-US" w:eastAsia="zh-CN" w:bidi="ar"/>
        </w:rPr>
        <w:t>报</w:t>
      </w:r>
      <w:r>
        <w:rPr>
          <w:rFonts w:hint="eastAsia" w:asciiTheme="minorEastAsia" w:hAnsiTheme="minorEastAsia" w:eastAsiaTheme="minorEastAsia" w:cstheme="minorEastAsia"/>
          <w:b w:val="0"/>
          <w:bCs w:val="0"/>
          <w:color w:val="000000"/>
          <w:sz w:val="24"/>
          <w:szCs w:val="24"/>
          <w:lang w:val="en-US" w:eastAsia="zh-CN"/>
        </w:rPr>
        <w:t>价金额是固定价且是唯一的，未超过本项目最高报价限价。</w:t>
      </w:r>
    </w:p>
    <w:p w14:paraId="1780E4FF">
      <w:pPr>
        <w:spacing w:line="360" w:lineRule="auto"/>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lang w:val="en-US" w:eastAsia="zh-CN"/>
        </w:rPr>
        <w:t>2.</w:t>
      </w:r>
      <w:r>
        <w:rPr>
          <w:rFonts w:hint="eastAsia" w:asciiTheme="minorEastAsia" w:hAnsiTheme="minorEastAsia" w:eastAsiaTheme="minorEastAsia" w:cstheme="minorEastAsia"/>
          <w:color w:val="000000"/>
          <w:sz w:val="24"/>
          <w:szCs w:val="24"/>
        </w:rPr>
        <w:t>超出最高限价的报价视为</w:t>
      </w:r>
      <w:r>
        <w:rPr>
          <w:rFonts w:hint="eastAsia" w:asciiTheme="minorEastAsia" w:hAnsiTheme="minorEastAsia" w:eastAsiaTheme="minorEastAsia" w:cstheme="minorEastAsia"/>
          <w:color w:val="000000"/>
          <w:sz w:val="24"/>
          <w:szCs w:val="24"/>
          <w:lang w:eastAsia="zh-CN"/>
        </w:rPr>
        <w:t>报价</w:t>
      </w:r>
      <w:r>
        <w:rPr>
          <w:rFonts w:hint="eastAsia" w:asciiTheme="minorEastAsia" w:hAnsiTheme="minorEastAsia" w:eastAsiaTheme="minorEastAsia" w:cstheme="minorEastAsia"/>
          <w:color w:val="000000"/>
          <w:sz w:val="24"/>
          <w:szCs w:val="24"/>
        </w:rPr>
        <w:t>无效。</w:t>
      </w:r>
      <w:r>
        <w:rPr>
          <w:rFonts w:hint="eastAsia" w:asciiTheme="minorEastAsia" w:hAnsiTheme="minorEastAsia" w:eastAsiaTheme="minorEastAsia" w:cstheme="minorEastAsia"/>
          <w:color w:val="000000"/>
          <w:sz w:val="24"/>
          <w:szCs w:val="24"/>
          <w:lang w:eastAsia="zh-CN"/>
        </w:rPr>
        <w:t>报价</w:t>
      </w:r>
      <w:r>
        <w:rPr>
          <w:rFonts w:hint="eastAsia" w:asciiTheme="minorEastAsia" w:hAnsiTheme="minorEastAsia" w:eastAsiaTheme="minorEastAsia" w:cstheme="minorEastAsia"/>
          <w:color w:val="000000"/>
          <w:sz w:val="24"/>
          <w:szCs w:val="24"/>
        </w:rPr>
        <w:t>人根据企业自身情况填报报价下浮率</w:t>
      </w:r>
      <w:r>
        <w:rPr>
          <w:rFonts w:hint="eastAsia" w:asciiTheme="minorEastAsia" w:hAnsiTheme="minorEastAsia" w:eastAsiaTheme="minorEastAsia" w:cstheme="minorEastAsia"/>
          <w:color w:val="000000"/>
          <w:sz w:val="24"/>
          <w:szCs w:val="24"/>
          <w:lang w:eastAsia="zh-CN"/>
        </w:rPr>
        <w:t>（有效下浮率为</w:t>
      </w:r>
      <w:r>
        <w:rPr>
          <w:rFonts w:hint="eastAsia" w:asciiTheme="minorEastAsia" w:hAnsiTheme="minorEastAsia" w:eastAsiaTheme="minorEastAsia" w:cstheme="minorEastAsia"/>
          <w:color w:val="000000"/>
          <w:sz w:val="24"/>
          <w:szCs w:val="24"/>
          <w:highlight w:val="none"/>
          <w:lang w:val="en-US" w:eastAsia="zh-CN"/>
        </w:rPr>
        <w:t>0.00%-10.00%</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并计算出</w:t>
      </w:r>
      <w:r>
        <w:rPr>
          <w:rFonts w:hint="eastAsia" w:asciiTheme="minorEastAsia" w:hAnsiTheme="minorEastAsia" w:eastAsiaTheme="minorEastAsia" w:cstheme="minorEastAsia"/>
          <w:color w:val="000000"/>
          <w:sz w:val="24"/>
          <w:szCs w:val="24"/>
          <w:lang w:eastAsia="zh-CN"/>
        </w:rPr>
        <w:t>报价</w:t>
      </w:r>
      <w:r>
        <w:rPr>
          <w:rFonts w:hint="eastAsia" w:asciiTheme="minorEastAsia" w:hAnsiTheme="minorEastAsia" w:eastAsiaTheme="minorEastAsia" w:cstheme="minorEastAsia"/>
          <w:color w:val="000000"/>
          <w:sz w:val="24"/>
          <w:szCs w:val="24"/>
        </w:rPr>
        <w:t>总报价，均精确到小数点后2位。实际发生费用可能与最高限价有</w:t>
      </w:r>
      <w:r>
        <w:rPr>
          <w:rFonts w:hint="eastAsia" w:asciiTheme="minorEastAsia" w:hAnsiTheme="minorEastAsia" w:eastAsiaTheme="minorEastAsia" w:cstheme="minorEastAsia"/>
          <w:color w:val="000000"/>
          <w:sz w:val="24"/>
          <w:szCs w:val="24"/>
          <w:lang w:eastAsia="zh-CN"/>
        </w:rPr>
        <w:t>相</w:t>
      </w:r>
      <w:r>
        <w:rPr>
          <w:rFonts w:hint="eastAsia" w:asciiTheme="minorEastAsia" w:hAnsiTheme="minorEastAsia" w:eastAsiaTheme="minorEastAsia" w:cstheme="minorEastAsia"/>
          <w:color w:val="000000"/>
          <w:sz w:val="24"/>
          <w:szCs w:val="24"/>
        </w:rPr>
        <w:t>差，报价时应充分考虑此因素。</w:t>
      </w:r>
    </w:p>
    <w:p w14:paraId="647E3121">
      <w:pPr>
        <w:spacing w:line="360" w:lineRule="auto"/>
        <w:ind w:firstLine="480" w:firstLineChars="200"/>
        <w:rPr>
          <w:rFonts w:hint="eastAsia" w:asciiTheme="minorEastAsia" w:hAnsiTheme="minorEastAsia" w:eastAsiaTheme="minorEastAsia" w:cstheme="minorEastAsia"/>
          <w:color w:val="auto"/>
          <w:kern w:val="0"/>
          <w:sz w:val="24"/>
          <w:szCs w:val="20"/>
          <w:highlight w:val="none"/>
          <w:u w:val="none"/>
          <w:shd w:val="clear" w:fill="FFFFFF"/>
          <w:lang w:val="en-US" w:eastAsia="zh-CN" w:bidi="ar"/>
        </w:rPr>
      </w:pPr>
      <w:r>
        <w:rPr>
          <w:rFonts w:hint="eastAsia" w:asciiTheme="minorEastAsia" w:hAnsiTheme="minorEastAsia" w:eastAsiaTheme="minorEastAsia" w:cstheme="minorEastAsia"/>
          <w:sz w:val="24"/>
          <w:szCs w:val="24"/>
          <w:highlight w:val="none"/>
          <w:u w:val="none"/>
          <w:lang w:val="en-US" w:eastAsia="zh-CN"/>
        </w:rPr>
        <w:t>3.</w:t>
      </w:r>
      <w:r>
        <w:rPr>
          <w:rFonts w:hint="eastAsia" w:ascii="宋体" w:hAnsi="宋体" w:eastAsia="宋体" w:cs="宋体"/>
          <w:color w:val="000000"/>
          <w:kern w:val="0"/>
          <w:sz w:val="24"/>
          <w:szCs w:val="20"/>
          <w:highlight w:val="none"/>
          <w:shd w:val="clear" w:color="auto" w:fill="FFFFFF"/>
          <w:lang w:bidi="ar"/>
        </w:rPr>
        <w:t>本项目中选价为暂定价，</w:t>
      </w:r>
      <w:r>
        <w:rPr>
          <w:rFonts w:hint="eastAsia" w:ascii="宋体" w:hAnsi="宋体" w:cs="宋体"/>
          <w:color w:val="000000"/>
          <w:kern w:val="0"/>
          <w:sz w:val="24"/>
          <w:szCs w:val="20"/>
          <w:highlight w:val="none"/>
          <w:shd w:val="clear" w:color="auto" w:fill="FFFFFF"/>
          <w:lang w:eastAsia="zh-CN" w:bidi="ar"/>
        </w:rPr>
        <w:t>工程量按实结算，</w:t>
      </w:r>
      <w:r>
        <w:rPr>
          <w:rFonts w:hint="eastAsia" w:ascii="宋体" w:hAnsi="宋体" w:cs="宋体"/>
          <w:sz w:val="24"/>
          <w:szCs w:val="24"/>
          <w:lang w:eastAsia="zh-CN"/>
        </w:rPr>
        <w:t>结算</w:t>
      </w:r>
      <w:r>
        <w:rPr>
          <w:rFonts w:hint="eastAsia" w:ascii="宋体" w:hAnsi="宋体" w:eastAsia="宋体" w:cs="宋体"/>
          <w:kern w:val="0"/>
          <w:sz w:val="24"/>
        </w:rPr>
        <w:t>采用清单计价方式，计价依据执行编制期适用的《建设工程工程量清单计价规范》、各专业《工程量计算规范》与《广东省建设工程计价通则》，套用省工程造价管理机构发布的现行定额以及市工程造价管理机构发布的补充定额、当期人、材、机价格（市造价管理机构未发布的价格实行市场询价）</w:t>
      </w:r>
      <w:r>
        <w:rPr>
          <w:rFonts w:hint="eastAsia" w:ascii="宋体" w:hAnsi="宋体" w:cs="宋体"/>
          <w:kern w:val="0"/>
          <w:sz w:val="24"/>
          <w:lang w:eastAsia="zh-CN"/>
        </w:rPr>
        <w:t>，</w:t>
      </w:r>
      <w:r>
        <w:rPr>
          <w:rFonts w:hint="eastAsia" w:ascii="宋体" w:hAnsi="宋体" w:eastAsia="宋体" w:cs="宋体"/>
          <w:color w:val="auto"/>
          <w:kern w:val="0"/>
          <w:sz w:val="24"/>
          <w:szCs w:val="20"/>
          <w:highlight w:val="none"/>
          <w:shd w:val="clear" w:color="auto" w:fill="FFFFFF"/>
          <w:lang w:eastAsia="zh-CN" w:bidi="ar"/>
        </w:rPr>
        <w:t>并结合中选下浮率按实计算</w:t>
      </w:r>
      <w:r>
        <w:rPr>
          <w:rFonts w:hint="eastAsia" w:ascii="宋体" w:hAnsi="宋体" w:eastAsia="宋体" w:cs="宋体"/>
          <w:color w:val="auto"/>
          <w:kern w:val="0"/>
          <w:sz w:val="24"/>
          <w:szCs w:val="20"/>
          <w:highlight w:val="none"/>
          <w:shd w:val="clear" w:color="auto" w:fill="FFFFFF"/>
          <w:lang w:bidi="ar"/>
        </w:rPr>
        <w:t>，</w:t>
      </w:r>
      <w:r>
        <w:rPr>
          <w:rFonts w:hint="default" w:ascii="宋体" w:hAnsi="宋体" w:eastAsia="宋体" w:cs="宋体"/>
          <w:color w:val="auto"/>
          <w:kern w:val="0"/>
          <w:sz w:val="24"/>
          <w:szCs w:val="20"/>
          <w:highlight w:val="none"/>
          <w:shd w:val="clear" w:color="auto" w:fill="FFFFFF"/>
          <w:lang w:val="en-US" w:eastAsia="zh-CN" w:bidi="ar"/>
        </w:rPr>
        <w:t>最终结算金额以询比人或相</w:t>
      </w:r>
      <w:r>
        <w:rPr>
          <w:rFonts w:hint="default" w:asciiTheme="minorEastAsia" w:hAnsiTheme="minorEastAsia" w:eastAsiaTheme="minorEastAsia" w:cstheme="minorEastAsia"/>
          <w:color w:val="auto"/>
          <w:kern w:val="0"/>
          <w:sz w:val="24"/>
          <w:szCs w:val="20"/>
          <w:highlight w:val="none"/>
          <w:u w:val="none"/>
          <w:shd w:val="clear" w:fill="FFFFFF"/>
          <w:lang w:val="en-US" w:eastAsia="zh-CN" w:bidi="ar"/>
        </w:rPr>
        <w:t>关部门审定结果为准</w:t>
      </w:r>
      <w:r>
        <w:rPr>
          <w:rFonts w:hint="eastAsia" w:asciiTheme="minorEastAsia" w:hAnsiTheme="minorEastAsia" w:eastAsiaTheme="minorEastAsia" w:cstheme="minorEastAsia"/>
          <w:color w:val="auto"/>
          <w:kern w:val="0"/>
          <w:sz w:val="24"/>
          <w:szCs w:val="20"/>
          <w:highlight w:val="none"/>
          <w:u w:val="none"/>
          <w:shd w:val="clear" w:fill="FFFFFF"/>
          <w:lang w:val="en-US" w:eastAsia="zh-CN" w:bidi="ar"/>
        </w:rPr>
        <w:t>。</w:t>
      </w:r>
    </w:p>
    <w:p w14:paraId="3334D376">
      <w:pPr>
        <w:spacing w:line="360" w:lineRule="auto"/>
        <w:textAlignment w:val="top"/>
        <w:rPr>
          <w:rFonts w:hint="eastAsia" w:ascii="宋体" w:hAnsi="宋体" w:eastAsia="宋体" w:cs="宋体"/>
          <w:b/>
          <w:bCs/>
          <w:sz w:val="24"/>
          <w:szCs w:val="24"/>
          <w:lang w:eastAsia="zh-CN"/>
        </w:rPr>
      </w:pPr>
      <w:r>
        <w:rPr>
          <w:rFonts w:hint="eastAsia" w:ascii="宋体" w:hAnsi="宋体" w:cs="宋体"/>
          <w:b/>
          <w:bCs/>
          <w:sz w:val="24"/>
          <w:szCs w:val="24"/>
          <w:lang w:eastAsia="zh-CN"/>
        </w:rPr>
        <w:t>五</w:t>
      </w:r>
      <w:r>
        <w:rPr>
          <w:rFonts w:hint="eastAsia" w:ascii="宋体" w:hAnsi="宋体" w:cs="宋体"/>
          <w:b/>
          <w:bCs/>
          <w:sz w:val="24"/>
          <w:szCs w:val="24"/>
        </w:rPr>
        <w:t>、</w:t>
      </w:r>
      <w:r>
        <w:rPr>
          <w:rFonts w:hint="eastAsia" w:ascii="宋体" w:hAnsi="宋体" w:cs="宋体"/>
          <w:b/>
          <w:bCs/>
          <w:sz w:val="24"/>
          <w:szCs w:val="24"/>
          <w:lang w:eastAsia="zh-CN"/>
        </w:rPr>
        <w:t>进度款支付方式和要求</w:t>
      </w:r>
    </w:p>
    <w:p w14:paraId="7D12182D">
      <w:pPr>
        <w:spacing w:line="360" w:lineRule="auto"/>
        <w:textAlignment w:val="top"/>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工程价款支付方式和期限</w:t>
      </w:r>
    </w:p>
    <w:p w14:paraId="71292999">
      <w:pPr>
        <w:spacing w:line="360" w:lineRule="auto"/>
        <w:textAlignment w:val="top"/>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一）支付工程款应由中选单位根据实际完成工程量，采用清单计价方式编制工程量清单及付款申请报告，经造价咨询单位、监理单位审核，询比单位确定后，按本合同约定，办理付款手续，中选单位在收款时须持有完税、有效、合规的建安发票。</w:t>
      </w:r>
    </w:p>
    <w:p w14:paraId="5DDF867D">
      <w:pPr>
        <w:spacing w:line="360" w:lineRule="auto"/>
        <w:textAlignment w:val="top"/>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注：计价依据执行编制期适用的《建设工程工程量清单计价规范》、各专业《工程量计算规范》与《广东省建设工程计价通则》，套用省工程造价管理机构发布的现行定额以及市工程造价管理机构发布的补充定额、当期人、材、机价格（市造价管理机构未发布的价格实行市场询价），并结合中选下浮率按实计算。</w:t>
      </w:r>
    </w:p>
    <w:p w14:paraId="63722AEA">
      <w:pPr>
        <w:spacing w:line="360" w:lineRule="auto"/>
        <w:textAlignment w:val="top"/>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二）若询比单位要求所有款项均须遵守财政国库集中支付制度（本合同所述的支付是指发包人在收到承包人的请款申请后，在规定的时间内开始办理集中支付手续，而非款项划入中选单位账户），则因受政府财政投资控制，在询比单位完成各项支付手续报财政审批时，财局审批导致支付时间延长的，不属询比单位违约，但工期可以顺延。</w:t>
      </w:r>
    </w:p>
    <w:p w14:paraId="5614A9F6">
      <w:pPr>
        <w:spacing w:line="360" w:lineRule="auto"/>
        <w:textAlignment w:val="top"/>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（三）工程款支付时间</w:t>
      </w:r>
    </w:p>
    <w:p w14:paraId="2D0D4E18">
      <w:pPr>
        <w:spacing w:line="360" w:lineRule="auto"/>
        <w:ind w:firstLine="480" w:firstLineChars="200"/>
        <w:textAlignment w:val="top"/>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1．预付款：(1)合同生效后，中选方按询比文件及合同条款的要求向询比单位提交工程预付款申请书，且监理发出开工令承包人进场施工后，询比单位支付合同暂定价的20%给中选单位作为工程的预付款；</w:t>
      </w:r>
    </w:p>
    <w:p w14:paraId="5E87D7D2">
      <w:pPr>
        <w:spacing w:line="360" w:lineRule="auto"/>
        <w:ind w:firstLine="480" w:firstLineChars="200"/>
        <w:textAlignment w:val="top"/>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(2)中选单位应将预付款专用于实施本合同所需的施工机械、工程设备、材料及人员费用，如询比单位有要求，中选单位应向询比单位提交发票和其他证明文件的副本以证明预付款确实专款专用。</w:t>
      </w:r>
    </w:p>
    <w:p w14:paraId="67506999">
      <w:pPr>
        <w:spacing w:line="360" w:lineRule="auto"/>
        <w:ind w:firstLine="480" w:firstLineChars="200"/>
        <w:textAlignment w:val="top"/>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 预付款抵扣办法：工程开工后，预付款应从工程进度款中分期全部扣回。扣回的时间和比例为：当分部分项工程量清单项目工程进度款和预付款累计金额达到暂定合同价的40%（含40%）时，开始在下一次分部分项工程量清单项目工程进度款中按比例扣回预付款，并在分部分项工程量清单项目工程进度款和预付款累计金额达到分部分项工程量清单计价的70%（含70%）以前全部扣回。</w:t>
      </w:r>
    </w:p>
    <w:p w14:paraId="7467AD68">
      <w:pPr>
        <w:spacing w:line="360" w:lineRule="auto"/>
        <w:ind w:firstLine="480" w:firstLineChars="200"/>
        <w:textAlignment w:val="top"/>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2．进度款：（1）每月按实际完成工程量计量。每月25日，中选单位向询比单位提起书面的申请，经监理审核，询比单位确认后支付。每月工程进度款支付至实际完成工程量的70%</w:t>
      </w:r>
      <w:r>
        <w:rPr>
          <w:rFonts w:hint="eastAsia" w:ascii="宋体" w:hAnsi="宋体" w:cs="宋体"/>
          <w:b w:val="0"/>
          <w:bCs w:val="0"/>
          <w:sz w:val="24"/>
          <w:szCs w:val="24"/>
          <w:highlight w:val="none"/>
          <w:lang w:val="en-US" w:eastAsia="zh-CN"/>
        </w:rPr>
        <w:t>。</w:t>
      </w:r>
    </w:p>
    <w:p w14:paraId="0C048FE3">
      <w:pPr>
        <w:spacing w:line="360" w:lineRule="auto"/>
        <w:ind w:firstLine="480" w:firstLineChars="200"/>
        <w:textAlignment w:val="top"/>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（2）工程完工，中选单位向询比单位交付符合要求的档案资料，完成竣工验收并移交询比单位后，工程进度款累计支付至实际完成工作量的80%，且累计支付金额不得超过合同价款的80％；</w:t>
      </w:r>
    </w:p>
    <w:p w14:paraId="0E58C6F2">
      <w:pPr>
        <w:spacing w:line="360" w:lineRule="auto"/>
        <w:ind w:firstLine="480" w:firstLineChars="200"/>
        <w:textAlignment w:val="top"/>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3．工程结算经财政部门审定后5个工作天内，经中选单位申请，付至结算总价的97%给中选单位；</w:t>
      </w:r>
    </w:p>
    <w:p w14:paraId="4E605681">
      <w:pPr>
        <w:spacing w:line="360" w:lineRule="auto"/>
        <w:ind w:firstLine="480" w:firstLineChars="200"/>
        <w:textAlignment w:val="top"/>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4．结算价款的3%作为保修金，在保修期</w:t>
      </w:r>
      <w:r>
        <w:rPr>
          <w:rFonts w:hint="eastAsia" w:ascii="宋体" w:hAnsi="宋体" w:cs="宋体"/>
          <w:b w:val="0"/>
          <w:bCs w:val="0"/>
          <w:sz w:val="24"/>
          <w:szCs w:val="24"/>
          <w:highlight w:val="none"/>
          <w:lang w:val="en-US" w:eastAsia="zh-CN"/>
        </w:rPr>
        <w:t>1</w:t>
      </w:r>
      <w:r>
        <w:rPr>
          <w:rFonts w:hint="eastAsia" w:ascii="宋体" w:hAnsi="宋体" w:cs="宋体"/>
          <w:b w:val="0"/>
          <w:bCs w:val="0"/>
          <w:sz w:val="24"/>
          <w:szCs w:val="24"/>
          <w:lang w:val="en-US" w:eastAsia="zh-CN"/>
        </w:rPr>
        <w:t>年结束后10个工作日内，若无保修费用使用的情况，则无息返还保修金；若有保修费用使用的情况，则无息返还剩余保修金。</w:t>
      </w:r>
    </w:p>
    <w:p w14:paraId="23BBA778">
      <w:pPr>
        <w:spacing w:line="360" w:lineRule="auto"/>
        <w:ind w:firstLine="480" w:firstLineChars="200"/>
        <w:textAlignment w:val="top"/>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 询比单位有权要求具体支付程序和时限，按照《荔湾区基本建设项目财政性资金集中支付暂行办法》执行。</w:t>
      </w:r>
    </w:p>
    <w:p w14:paraId="61337E43">
      <w:pPr>
        <w:spacing w:line="360" w:lineRule="auto"/>
        <w:ind w:firstLine="480" w:firstLineChars="200"/>
        <w:textAlignment w:val="top"/>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6、本合同须缴纳的印花税、增值税在荔湾区税务部门缴纳。</w:t>
      </w:r>
    </w:p>
    <w:p w14:paraId="5C3B3E2F">
      <w:pPr>
        <w:spacing w:line="360" w:lineRule="auto"/>
        <w:textAlignment w:val="top"/>
        <w:rPr>
          <w:rFonts w:ascii="宋体" w:hAnsi="宋体" w:cs="宋体"/>
          <w:b/>
          <w:bCs/>
          <w:sz w:val="24"/>
          <w:szCs w:val="24"/>
        </w:rPr>
      </w:pPr>
      <w:r>
        <w:rPr>
          <w:rFonts w:hint="eastAsia" w:ascii="宋体" w:hAnsi="宋体" w:cs="宋体"/>
          <w:b/>
          <w:bCs/>
          <w:sz w:val="24"/>
          <w:szCs w:val="24"/>
          <w:lang w:eastAsia="zh-CN"/>
        </w:rPr>
        <w:t>六、</w:t>
      </w:r>
      <w:r>
        <w:rPr>
          <w:rFonts w:hint="eastAsia" w:ascii="宋体" w:hAnsi="宋体" w:cs="宋体"/>
          <w:b/>
          <w:bCs/>
          <w:sz w:val="24"/>
          <w:szCs w:val="24"/>
        </w:rPr>
        <w:t>询比代理服务费及</w:t>
      </w:r>
      <w:r>
        <w:rPr>
          <w:rFonts w:hint="eastAsia" w:ascii="宋体" w:hAnsi="宋体" w:cs="宋体"/>
          <w:b/>
          <w:bCs/>
          <w:sz w:val="24"/>
          <w:szCs w:val="24"/>
          <w:lang w:eastAsia="zh-CN"/>
        </w:rPr>
        <w:t>成交通知</w:t>
      </w:r>
      <w:r>
        <w:rPr>
          <w:rFonts w:hint="eastAsia" w:ascii="宋体" w:hAnsi="宋体" w:cs="宋体"/>
          <w:b/>
          <w:bCs/>
          <w:sz w:val="24"/>
          <w:szCs w:val="24"/>
        </w:rPr>
        <w:t>书的交付</w:t>
      </w:r>
    </w:p>
    <w:p w14:paraId="21DA705D">
      <w:pPr>
        <w:spacing w:line="360" w:lineRule="auto"/>
        <w:ind w:firstLine="480" w:firstLineChars="200"/>
        <w:rPr>
          <w:rFonts w:ascii="宋体" w:hAnsi="宋体" w:cs="宋体"/>
          <w:sz w:val="24"/>
          <w:szCs w:val="24"/>
        </w:rPr>
      </w:pPr>
      <w:r>
        <w:rPr>
          <w:rFonts w:hint="eastAsia" w:ascii="宋体" w:hAnsi="宋体" w:cs="宋体"/>
          <w:sz w:val="24"/>
        </w:rPr>
        <w:t>本次的询比代理服务费人民币1</w:t>
      </w:r>
      <w:r>
        <w:rPr>
          <w:rFonts w:hint="eastAsia" w:ascii="宋体" w:hAnsi="宋体" w:cs="宋体"/>
          <w:sz w:val="24"/>
          <w:lang w:val="en-US" w:eastAsia="zh-CN"/>
        </w:rPr>
        <w:t>45</w:t>
      </w:r>
      <w:r>
        <w:rPr>
          <w:rFonts w:hint="eastAsia" w:ascii="宋体" w:hAnsi="宋体" w:cs="宋体"/>
          <w:sz w:val="24"/>
        </w:rPr>
        <w:t>0元（大写：壹仟</w:t>
      </w:r>
      <w:r>
        <w:rPr>
          <w:rFonts w:hint="eastAsia" w:ascii="宋体" w:hAnsi="宋体" w:cs="宋体"/>
          <w:sz w:val="24"/>
          <w:lang w:eastAsia="zh-CN"/>
        </w:rPr>
        <w:t>肆</w:t>
      </w:r>
      <w:r>
        <w:rPr>
          <w:rFonts w:hint="eastAsia" w:ascii="宋体" w:hAnsi="宋体" w:cs="宋体"/>
          <w:sz w:val="24"/>
        </w:rPr>
        <w:t>佰</w:t>
      </w:r>
      <w:r>
        <w:rPr>
          <w:rFonts w:hint="eastAsia" w:ascii="宋体" w:hAnsi="宋体" w:cs="宋体"/>
          <w:sz w:val="24"/>
          <w:lang w:eastAsia="zh-CN"/>
        </w:rPr>
        <w:t>伍拾</w:t>
      </w:r>
      <w:r>
        <w:rPr>
          <w:rFonts w:hint="eastAsia" w:ascii="宋体" w:hAnsi="宋体" w:cs="宋体"/>
          <w:sz w:val="24"/>
        </w:rPr>
        <w:t>元整）由中选单位在收取</w:t>
      </w:r>
      <w:r>
        <w:rPr>
          <w:rFonts w:hint="eastAsia" w:ascii="宋体" w:hAnsi="宋体" w:cs="宋体"/>
          <w:sz w:val="24"/>
          <w:lang w:eastAsia="zh-CN"/>
        </w:rPr>
        <w:t>成交</w:t>
      </w:r>
      <w:r>
        <w:rPr>
          <w:rFonts w:hint="eastAsia" w:ascii="宋体" w:hAnsi="宋体" w:cs="宋体"/>
          <w:sz w:val="24"/>
        </w:rPr>
        <w:t>通知书时一次性支付给询比代理服务机构。</w:t>
      </w:r>
    </w:p>
    <w:p w14:paraId="5400B704">
      <w:pPr>
        <w:pStyle w:val="29"/>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七</w:t>
      </w:r>
      <w:r>
        <w:rPr>
          <w:rFonts w:hint="eastAsia" w:asciiTheme="minorEastAsia" w:hAnsiTheme="minorEastAsia" w:eastAsiaTheme="minorEastAsia" w:cstheme="minorEastAsia"/>
          <w:b/>
          <w:bCs/>
          <w:sz w:val="24"/>
          <w:szCs w:val="24"/>
        </w:rPr>
        <w:t>、询比文件的获取和公告时间</w:t>
      </w:r>
    </w:p>
    <w:p w14:paraId="3BE8CAD0">
      <w:pPr>
        <w:widowControl/>
        <w:spacing w:line="360" w:lineRule="auto"/>
        <w:ind w:firstLine="480" w:firstLineChars="200"/>
        <w:rPr>
          <w:rFonts w:asciiTheme="minorEastAsia" w:hAnsiTheme="minorEastAsia" w:cstheme="minorEastAsia"/>
          <w:color w:val="auto"/>
          <w:sz w:val="24"/>
          <w:szCs w:val="24"/>
        </w:rPr>
      </w:pPr>
      <w:r>
        <w:rPr>
          <w:rFonts w:hint="eastAsia" w:asciiTheme="minorEastAsia" w:hAnsiTheme="minorEastAsia" w:cstheme="minorEastAsia"/>
          <w:sz w:val="24"/>
          <w:szCs w:val="24"/>
        </w:rPr>
        <w:t>1.凡有意参加报价者，请于</w:t>
      </w:r>
      <w:r>
        <w:rPr>
          <w:rFonts w:hint="eastAsia" w:asciiTheme="minorEastAsia" w:hAnsiTheme="minorEastAsia" w:cstheme="minorEastAsia"/>
          <w:color w:val="auto"/>
          <w:sz w:val="24"/>
          <w:szCs w:val="24"/>
          <w:lang w:eastAsia="zh-CN"/>
        </w:rPr>
        <w:t>202</w:t>
      </w:r>
      <w:r>
        <w:rPr>
          <w:rFonts w:hint="eastAsia" w:asciiTheme="minorEastAsia" w:hAnsiTheme="minorEastAsia" w:cstheme="minorEastAsia"/>
          <w:color w:val="auto"/>
          <w:sz w:val="24"/>
          <w:szCs w:val="24"/>
          <w:lang w:val="en-US" w:eastAsia="zh-CN"/>
        </w:rPr>
        <w:t>5</w:t>
      </w:r>
      <w:r>
        <w:rPr>
          <w:rFonts w:hint="eastAsia" w:asciiTheme="minorEastAsia" w:hAnsiTheme="minorEastAsia" w:cstheme="minorEastAsia"/>
          <w:color w:val="auto"/>
          <w:sz w:val="24"/>
          <w:szCs w:val="24"/>
          <w:lang w:eastAsia="zh-CN"/>
        </w:rPr>
        <w:t>年</w:t>
      </w:r>
      <w:r>
        <w:rPr>
          <w:rFonts w:hint="eastAsia" w:asciiTheme="minorEastAsia" w:hAnsiTheme="minorEastAsia" w:cstheme="minorEastAsia"/>
          <w:color w:val="auto"/>
          <w:sz w:val="24"/>
          <w:szCs w:val="24"/>
          <w:u w:val="single"/>
        </w:rPr>
        <w:t xml:space="preserve"> </w:t>
      </w:r>
      <w:r>
        <w:rPr>
          <w:rFonts w:hint="eastAsia" w:asciiTheme="minorEastAsia" w:hAnsiTheme="minorEastAsia" w:cstheme="minorEastAsia"/>
          <w:color w:val="auto"/>
          <w:sz w:val="24"/>
          <w:szCs w:val="24"/>
          <w:u w:val="single"/>
          <w:lang w:val="en-US" w:eastAsia="zh-CN"/>
        </w:rPr>
        <w:t>1</w:t>
      </w:r>
      <w:r>
        <w:rPr>
          <w:rFonts w:hint="eastAsia" w:asciiTheme="minorEastAsia" w:hAnsiTheme="minorEastAsia" w:cstheme="minorEastAsia"/>
          <w:color w:val="auto"/>
          <w:sz w:val="24"/>
          <w:szCs w:val="24"/>
        </w:rPr>
        <w:t>月</w:t>
      </w:r>
      <w:r>
        <w:rPr>
          <w:rFonts w:hint="eastAsia" w:asciiTheme="minorEastAsia" w:hAnsiTheme="minorEastAsia" w:cstheme="minorEastAsia"/>
          <w:color w:val="auto"/>
          <w:sz w:val="24"/>
          <w:szCs w:val="24"/>
          <w:u w:val="single"/>
        </w:rPr>
        <w:t xml:space="preserve"> </w:t>
      </w:r>
      <w:r>
        <w:rPr>
          <w:rFonts w:hint="eastAsia" w:asciiTheme="minorEastAsia" w:hAnsiTheme="minorEastAsia" w:cstheme="minorEastAsia"/>
          <w:color w:val="auto"/>
          <w:sz w:val="24"/>
          <w:szCs w:val="24"/>
          <w:u w:val="single"/>
          <w:lang w:val="en-US" w:eastAsia="zh-CN"/>
        </w:rPr>
        <w:t xml:space="preserve">17 </w:t>
      </w:r>
      <w:r>
        <w:rPr>
          <w:rFonts w:hint="eastAsia" w:asciiTheme="minorEastAsia" w:hAnsiTheme="minorEastAsia" w:cstheme="minorEastAsia"/>
          <w:color w:val="auto"/>
          <w:sz w:val="24"/>
          <w:szCs w:val="24"/>
        </w:rPr>
        <w:t>日至</w:t>
      </w:r>
      <w:r>
        <w:rPr>
          <w:rFonts w:hint="eastAsia" w:asciiTheme="minorEastAsia" w:hAnsiTheme="minorEastAsia" w:cstheme="minorEastAsia"/>
          <w:color w:val="auto"/>
          <w:sz w:val="24"/>
          <w:szCs w:val="24"/>
          <w:lang w:eastAsia="zh-CN"/>
        </w:rPr>
        <w:t>202</w:t>
      </w:r>
      <w:r>
        <w:rPr>
          <w:rFonts w:hint="eastAsia" w:asciiTheme="minorEastAsia" w:hAnsiTheme="minorEastAsia" w:cstheme="minorEastAsia"/>
          <w:color w:val="auto"/>
          <w:sz w:val="24"/>
          <w:szCs w:val="24"/>
          <w:lang w:val="en-US" w:eastAsia="zh-CN"/>
        </w:rPr>
        <w:t>5</w:t>
      </w:r>
      <w:r>
        <w:rPr>
          <w:rFonts w:hint="eastAsia" w:asciiTheme="minorEastAsia" w:hAnsiTheme="minorEastAsia" w:cstheme="minorEastAsia"/>
          <w:color w:val="auto"/>
          <w:sz w:val="24"/>
          <w:szCs w:val="24"/>
          <w:lang w:eastAsia="zh-CN"/>
        </w:rPr>
        <w:t>年</w:t>
      </w:r>
      <w:r>
        <w:rPr>
          <w:rFonts w:hint="eastAsia" w:asciiTheme="minorEastAsia" w:hAnsiTheme="minorEastAsia" w:cstheme="minorEastAsia"/>
          <w:color w:val="auto"/>
          <w:sz w:val="24"/>
          <w:szCs w:val="24"/>
          <w:u w:val="single"/>
        </w:rPr>
        <w:t xml:space="preserve"> </w:t>
      </w:r>
      <w:r>
        <w:rPr>
          <w:rFonts w:hint="eastAsia" w:asciiTheme="minorEastAsia" w:hAnsiTheme="minorEastAsia" w:cstheme="minorEastAsia"/>
          <w:color w:val="auto"/>
          <w:sz w:val="24"/>
          <w:szCs w:val="24"/>
          <w:u w:val="single"/>
          <w:lang w:val="en-US" w:eastAsia="zh-CN"/>
        </w:rPr>
        <w:t>1</w:t>
      </w:r>
      <w:r>
        <w:rPr>
          <w:rFonts w:hint="eastAsia" w:asciiTheme="minorEastAsia" w:hAnsiTheme="minorEastAsia" w:cstheme="minorEastAsia"/>
          <w:color w:val="auto"/>
          <w:sz w:val="24"/>
          <w:szCs w:val="24"/>
          <w:u w:val="single"/>
        </w:rPr>
        <w:t xml:space="preserve"> </w:t>
      </w:r>
      <w:r>
        <w:rPr>
          <w:rFonts w:hint="eastAsia" w:asciiTheme="minorEastAsia" w:hAnsiTheme="minorEastAsia" w:cstheme="minorEastAsia"/>
          <w:color w:val="auto"/>
          <w:sz w:val="24"/>
          <w:szCs w:val="24"/>
        </w:rPr>
        <w:t>月</w:t>
      </w:r>
      <w:r>
        <w:rPr>
          <w:rFonts w:hint="eastAsia" w:asciiTheme="minorEastAsia" w:hAnsiTheme="minorEastAsia" w:cstheme="minorEastAsia"/>
          <w:color w:val="auto"/>
          <w:sz w:val="24"/>
          <w:szCs w:val="24"/>
          <w:u w:val="single"/>
        </w:rPr>
        <w:t xml:space="preserve"> </w:t>
      </w:r>
      <w:r>
        <w:rPr>
          <w:rFonts w:hint="eastAsia" w:asciiTheme="minorEastAsia" w:hAnsiTheme="minorEastAsia" w:cstheme="minorEastAsia"/>
          <w:color w:val="auto"/>
          <w:sz w:val="24"/>
          <w:szCs w:val="24"/>
          <w:u w:val="single"/>
          <w:lang w:val="en-US" w:eastAsia="zh-CN"/>
        </w:rPr>
        <w:t>21</w:t>
      </w:r>
      <w:r>
        <w:rPr>
          <w:rFonts w:hint="eastAsia" w:asciiTheme="minorEastAsia" w:hAnsiTheme="minorEastAsia" w:cstheme="minorEastAsia"/>
          <w:color w:val="auto"/>
          <w:sz w:val="24"/>
          <w:szCs w:val="24"/>
          <w:u w:val="single"/>
        </w:rPr>
        <w:t xml:space="preserve"> </w:t>
      </w:r>
      <w:r>
        <w:rPr>
          <w:rFonts w:hint="eastAsia" w:asciiTheme="minorEastAsia" w:hAnsiTheme="minorEastAsia" w:cstheme="minorEastAsia"/>
          <w:color w:val="auto"/>
          <w:sz w:val="24"/>
          <w:szCs w:val="24"/>
        </w:rPr>
        <w:t>日，登录广州市荔湾区人民政府网站下载询比文件。</w:t>
      </w:r>
    </w:p>
    <w:p w14:paraId="40ADC3B4">
      <w:pPr>
        <w:widowControl/>
        <w:spacing w:line="360" w:lineRule="auto"/>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2.询比公告发布时间：</w:t>
      </w:r>
    </w:p>
    <w:p w14:paraId="15CE65FD">
      <w:pPr>
        <w:widowControl/>
        <w:spacing w:line="360" w:lineRule="auto"/>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发布询比公告开始日期（含本日）为：</w:t>
      </w:r>
      <w:r>
        <w:rPr>
          <w:rFonts w:hint="eastAsia" w:asciiTheme="minorEastAsia" w:hAnsiTheme="minorEastAsia" w:cstheme="minorEastAsia"/>
          <w:color w:val="auto"/>
          <w:sz w:val="24"/>
          <w:szCs w:val="24"/>
          <w:lang w:eastAsia="zh-CN"/>
        </w:rPr>
        <w:t>202</w:t>
      </w:r>
      <w:r>
        <w:rPr>
          <w:rFonts w:hint="eastAsia" w:asciiTheme="minorEastAsia" w:hAnsiTheme="minorEastAsia" w:cstheme="minorEastAsia"/>
          <w:color w:val="auto"/>
          <w:sz w:val="24"/>
          <w:szCs w:val="24"/>
          <w:lang w:val="en-US" w:eastAsia="zh-CN"/>
        </w:rPr>
        <w:t>5</w:t>
      </w:r>
      <w:r>
        <w:rPr>
          <w:rFonts w:hint="eastAsia" w:asciiTheme="minorEastAsia" w:hAnsiTheme="minorEastAsia" w:cstheme="minorEastAsia"/>
          <w:color w:val="auto"/>
          <w:sz w:val="24"/>
          <w:szCs w:val="24"/>
          <w:lang w:eastAsia="zh-CN"/>
        </w:rPr>
        <w:t>年</w:t>
      </w:r>
      <w:r>
        <w:rPr>
          <w:rFonts w:hint="eastAsia" w:asciiTheme="minorEastAsia" w:hAnsiTheme="minorEastAsia" w:cstheme="minorEastAsia"/>
          <w:color w:val="auto"/>
          <w:sz w:val="24"/>
          <w:szCs w:val="24"/>
          <w:u w:val="single"/>
        </w:rPr>
        <w:t xml:space="preserve"> </w:t>
      </w:r>
      <w:r>
        <w:rPr>
          <w:rFonts w:hint="eastAsia" w:asciiTheme="minorEastAsia" w:hAnsiTheme="minorEastAsia" w:cstheme="minorEastAsia"/>
          <w:color w:val="auto"/>
          <w:sz w:val="24"/>
          <w:szCs w:val="24"/>
          <w:u w:val="single"/>
          <w:lang w:val="en-US" w:eastAsia="zh-CN"/>
        </w:rPr>
        <w:t>1</w:t>
      </w:r>
      <w:r>
        <w:rPr>
          <w:rFonts w:hint="eastAsia" w:asciiTheme="minorEastAsia" w:hAnsiTheme="minorEastAsia" w:cstheme="minorEastAsia"/>
          <w:color w:val="auto"/>
          <w:sz w:val="24"/>
          <w:szCs w:val="24"/>
        </w:rPr>
        <w:t>月</w:t>
      </w:r>
      <w:r>
        <w:rPr>
          <w:rFonts w:hint="eastAsia" w:asciiTheme="minorEastAsia" w:hAnsiTheme="minorEastAsia" w:cstheme="minorEastAsia"/>
          <w:color w:val="auto"/>
          <w:sz w:val="24"/>
          <w:szCs w:val="24"/>
          <w:u w:val="single"/>
        </w:rPr>
        <w:t xml:space="preserve"> </w:t>
      </w:r>
      <w:r>
        <w:rPr>
          <w:rFonts w:hint="eastAsia" w:asciiTheme="minorEastAsia" w:hAnsiTheme="minorEastAsia" w:cstheme="minorEastAsia"/>
          <w:color w:val="auto"/>
          <w:sz w:val="24"/>
          <w:szCs w:val="24"/>
          <w:u w:val="single"/>
          <w:lang w:val="en-US" w:eastAsia="zh-CN"/>
        </w:rPr>
        <w:t>17</w:t>
      </w:r>
      <w:r>
        <w:rPr>
          <w:rFonts w:hint="eastAsia" w:asciiTheme="minorEastAsia" w:hAnsiTheme="minorEastAsia" w:cstheme="minorEastAsia"/>
          <w:color w:val="auto"/>
          <w:sz w:val="24"/>
          <w:szCs w:val="24"/>
          <w:u w:val="single"/>
        </w:rPr>
        <w:t xml:space="preserve"> </w:t>
      </w:r>
      <w:r>
        <w:rPr>
          <w:rFonts w:hint="eastAsia" w:asciiTheme="minorEastAsia" w:hAnsiTheme="minorEastAsia" w:cstheme="minorEastAsia"/>
          <w:color w:val="auto"/>
          <w:sz w:val="24"/>
          <w:szCs w:val="24"/>
        </w:rPr>
        <w:t>日；</w:t>
      </w:r>
    </w:p>
    <w:p w14:paraId="4F0D1E24">
      <w:pPr>
        <w:widowControl/>
        <w:spacing w:line="360" w:lineRule="auto"/>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发布询比公告截止日期（含本日）为：</w:t>
      </w:r>
      <w:r>
        <w:rPr>
          <w:rFonts w:hint="eastAsia" w:asciiTheme="minorEastAsia" w:hAnsiTheme="minorEastAsia" w:cstheme="minorEastAsia"/>
          <w:color w:val="auto"/>
          <w:sz w:val="24"/>
          <w:szCs w:val="24"/>
          <w:lang w:eastAsia="zh-CN"/>
        </w:rPr>
        <w:t>202</w:t>
      </w:r>
      <w:r>
        <w:rPr>
          <w:rFonts w:hint="eastAsia" w:asciiTheme="minorEastAsia" w:hAnsiTheme="minorEastAsia" w:cstheme="minorEastAsia"/>
          <w:color w:val="auto"/>
          <w:sz w:val="24"/>
          <w:szCs w:val="24"/>
          <w:lang w:val="en-US" w:eastAsia="zh-CN"/>
        </w:rPr>
        <w:t>5</w:t>
      </w:r>
      <w:r>
        <w:rPr>
          <w:rFonts w:hint="eastAsia" w:asciiTheme="minorEastAsia" w:hAnsiTheme="minorEastAsia" w:cstheme="minorEastAsia"/>
          <w:color w:val="auto"/>
          <w:sz w:val="24"/>
          <w:szCs w:val="24"/>
          <w:lang w:eastAsia="zh-CN"/>
        </w:rPr>
        <w:t>年</w:t>
      </w:r>
      <w:r>
        <w:rPr>
          <w:rFonts w:hint="eastAsia" w:asciiTheme="minorEastAsia" w:hAnsiTheme="minorEastAsia" w:cstheme="minorEastAsia"/>
          <w:color w:val="auto"/>
          <w:sz w:val="24"/>
          <w:szCs w:val="24"/>
          <w:u w:val="single"/>
          <w:lang w:val="en-US" w:eastAsia="zh-CN"/>
        </w:rPr>
        <w:t xml:space="preserve"> 1 </w:t>
      </w:r>
      <w:r>
        <w:rPr>
          <w:rFonts w:hint="eastAsia" w:asciiTheme="minorEastAsia" w:hAnsiTheme="minorEastAsia" w:cstheme="minorEastAsia"/>
          <w:color w:val="auto"/>
          <w:sz w:val="24"/>
          <w:szCs w:val="24"/>
        </w:rPr>
        <w:t>月</w:t>
      </w:r>
      <w:r>
        <w:rPr>
          <w:rFonts w:hint="eastAsia" w:asciiTheme="minorEastAsia" w:hAnsiTheme="minorEastAsia" w:cstheme="minorEastAsia"/>
          <w:color w:val="auto"/>
          <w:sz w:val="24"/>
          <w:szCs w:val="24"/>
          <w:u w:val="single"/>
        </w:rPr>
        <w:t xml:space="preserve"> </w:t>
      </w:r>
      <w:r>
        <w:rPr>
          <w:rFonts w:hint="eastAsia" w:asciiTheme="minorEastAsia" w:hAnsiTheme="minorEastAsia" w:cstheme="minorEastAsia"/>
          <w:color w:val="auto"/>
          <w:sz w:val="24"/>
          <w:szCs w:val="24"/>
          <w:u w:val="single"/>
          <w:lang w:val="en-US" w:eastAsia="zh-CN"/>
        </w:rPr>
        <w:t>21</w:t>
      </w:r>
      <w:r>
        <w:rPr>
          <w:rFonts w:hint="eastAsia" w:asciiTheme="minorEastAsia" w:hAnsiTheme="minorEastAsia" w:cstheme="minorEastAsia"/>
          <w:color w:val="auto"/>
          <w:sz w:val="24"/>
          <w:szCs w:val="24"/>
        </w:rPr>
        <w:t>日。</w:t>
      </w:r>
    </w:p>
    <w:p w14:paraId="715B2890">
      <w:pPr>
        <w:widowControl/>
        <w:spacing w:line="360" w:lineRule="auto"/>
        <w:rPr>
          <w:rFonts w:ascii="宋体" w:hAnsi="宋体" w:cs="宋体"/>
          <w:b/>
          <w:bCs/>
          <w:color w:val="auto"/>
          <w:sz w:val="24"/>
          <w:szCs w:val="24"/>
        </w:rPr>
      </w:pPr>
      <w:r>
        <w:rPr>
          <w:rFonts w:hint="eastAsia" w:ascii="宋体" w:hAnsi="宋体" w:cs="宋体"/>
          <w:b/>
          <w:bCs/>
          <w:color w:val="auto"/>
          <w:sz w:val="24"/>
          <w:szCs w:val="24"/>
          <w:lang w:eastAsia="zh-CN"/>
        </w:rPr>
        <w:t>八</w:t>
      </w:r>
      <w:r>
        <w:rPr>
          <w:rFonts w:hint="eastAsia" w:ascii="宋体" w:hAnsi="宋体" w:cs="宋体"/>
          <w:b/>
          <w:bCs/>
          <w:color w:val="auto"/>
          <w:sz w:val="24"/>
          <w:szCs w:val="24"/>
        </w:rPr>
        <w:t>、报价文件的递交时间和递交地点：</w:t>
      </w:r>
    </w:p>
    <w:p w14:paraId="05FF01D1">
      <w:pPr>
        <w:spacing w:line="360" w:lineRule="auto"/>
        <w:ind w:firstLine="480"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sz w:val="24"/>
          <w:szCs w:val="24"/>
        </w:rPr>
        <w:t>由报价意向人的法定代表人或授权代</w:t>
      </w:r>
      <w:r>
        <w:rPr>
          <w:rFonts w:hint="eastAsia" w:ascii="宋体" w:hAnsi="宋体" w:cs="宋体"/>
          <w:color w:val="000000"/>
          <w:sz w:val="24"/>
          <w:szCs w:val="24"/>
        </w:rPr>
        <w:t>表</w:t>
      </w:r>
      <w:r>
        <w:rPr>
          <w:rFonts w:hint="eastAsia" w:ascii="宋体" w:hAnsi="宋体" w:cs="宋体"/>
          <w:b/>
          <w:bCs/>
          <w:color w:val="000000"/>
          <w:sz w:val="24"/>
          <w:szCs w:val="24"/>
        </w:rPr>
        <w:t>手持法定代表人证明书、授权委托书及身份证原件</w:t>
      </w:r>
      <w:r>
        <w:rPr>
          <w:rFonts w:hint="eastAsia" w:ascii="宋体" w:hAnsi="宋体" w:cs="宋体"/>
          <w:color w:val="000000"/>
          <w:sz w:val="24"/>
          <w:szCs w:val="24"/>
        </w:rPr>
        <w:t>在</w:t>
      </w:r>
      <w:r>
        <w:rPr>
          <w:rFonts w:hint="eastAsia" w:ascii="宋体" w:hAnsi="宋体" w:cs="宋体"/>
          <w:color w:val="000000"/>
          <w:sz w:val="24"/>
          <w:szCs w:val="24"/>
          <w:u w:val="none"/>
          <w:lang w:eastAsia="zh-CN"/>
        </w:rPr>
        <w:t>202</w:t>
      </w:r>
      <w:r>
        <w:rPr>
          <w:rFonts w:hint="eastAsia" w:ascii="宋体" w:hAnsi="宋体" w:cs="宋体"/>
          <w:color w:val="000000"/>
          <w:sz w:val="24"/>
          <w:szCs w:val="24"/>
          <w:u w:val="none"/>
          <w:lang w:val="en-US" w:eastAsia="zh-CN"/>
        </w:rPr>
        <w:t>5</w:t>
      </w:r>
      <w:r>
        <w:rPr>
          <w:rFonts w:hint="eastAsia" w:ascii="宋体" w:hAnsi="宋体" w:cs="宋体"/>
          <w:color w:val="000000"/>
          <w:sz w:val="24"/>
          <w:szCs w:val="24"/>
          <w:u w:val="none"/>
          <w:lang w:eastAsia="zh-CN"/>
        </w:rPr>
        <w:t>年</w:t>
      </w:r>
      <w:r>
        <w:rPr>
          <w:rFonts w:hint="eastAsia" w:ascii="宋体" w:hAnsi="宋体" w:cs="宋体"/>
          <w:color w:val="000000"/>
          <w:sz w:val="24"/>
          <w:szCs w:val="24"/>
          <w:u w:val="single"/>
          <w:lang w:val="en-US" w:eastAsia="zh-CN"/>
        </w:rPr>
        <w:t xml:space="preserve"> 1</w:t>
      </w:r>
      <w:r>
        <w:rPr>
          <w:rFonts w:hint="eastAsia" w:ascii="宋体" w:hAnsi="宋体" w:cs="宋体"/>
          <w:color w:val="000000"/>
          <w:sz w:val="24"/>
          <w:szCs w:val="24"/>
        </w:rPr>
        <w:t>月</w:t>
      </w:r>
      <w:r>
        <w:rPr>
          <w:rFonts w:hint="eastAsia" w:ascii="宋体" w:hAnsi="宋体" w:cs="宋体"/>
          <w:color w:val="000000"/>
          <w:sz w:val="24"/>
          <w:szCs w:val="24"/>
          <w:u w:val="single"/>
          <w:lang w:val="en-US" w:eastAsia="zh-CN"/>
        </w:rPr>
        <w:t xml:space="preserve"> 22 </w:t>
      </w:r>
      <w:r>
        <w:rPr>
          <w:rFonts w:hint="eastAsia" w:ascii="宋体" w:hAnsi="宋体" w:cs="宋体"/>
          <w:color w:val="000000"/>
          <w:sz w:val="24"/>
          <w:szCs w:val="24"/>
        </w:rPr>
        <w:t>日</w:t>
      </w:r>
      <w:r>
        <w:rPr>
          <w:rFonts w:hint="eastAsia" w:ascii="宋体" w:hAnsi="宋体" w:cs="宋体"/>
          <w:color w:val="000000"/>
          <w:kern w:val="0"/>
          <w:sz w:val="24"/>
          <w:szCs w:val="24"/>
        </w:rPr>
        <w:t>上午</w:t>
      </w:r>
      <w:r>
        <w:rPr>
          <w:rFonts w:hint="eastAsia" w:ascii="宋体" w:hAnsi="宋体" w:cs="宋体"/>
          <w:color w:val="000000"/>
          <w:kern w:val="0"/>
          <w:sz w:val="24"/>
          <w:szCs w:val="24"/>
          <w:u w:val="single"/>
        </w:rPr>
        <w:t xml:space="preserve"> 9:30—11:30 </w:t>
      </w:r>
      <w:r>
        <w:rPr>
          <w:rFonts w:hint="eastAsia" w:ascii="宋体" w:hAnsi="宋体" w:cs="宋体"/>
          <w:color w:val="000000"/>
          <w:sz w:val="24"/>
          <w:szCs w:val="24"/>
        </w:rPr>
        <w:t>递交至</w:t>
      </w:r>
      <w:r>
        <w:rPr>
          <w:rFonts w:hint="eastAsia" w:ascii="宋体" w:hAnsi="宋体" w:cs="宋体"/>
          <w:sz w:val="24"/>
          <w:u w:val="single"/>
        </w:rPr>
        <w:t>广州市天河区黄埔</w:t>
      </w:r>
      <w:r>
        <w:rPr>
          <w:rFonts w:hint="eastAsia" w:ascii="宋体" w:hAnsi="宋体" w:cs="宋体"/>
          <w:color w:val="000000" w:themeColor="text1"/>
          <w:sz w:val="24"/>
          <w:szCs w:val="24"/>
          <w:u w:val="single"/>
          <w14:textFill>
            <w14:solidFill>
              <w14:schemeClr w14:val="tx1"/>
            </w14:solidFill>
          </w14:textFill>
        </w:rPr>
        <w:t>大道中122号412房</w:t>
      </w:r>
      <w:r>
        <w:rPr>
          <w:rFonts w:hint="eastAsia" w:ascii="宋体" w:hAnsi="宋体" w:cs="宋体"/>
          <w:color w:val="000000"/>
          <w:sz w:val="24"/>
          <w:szCs w:val="24"/>
        </w:rPr>
        <w:t>，逾期恕不受理。</w:t>
      </w:r>
    </w:p>
    <w:p w14:paraId="6C55FD69">
      <w:pPr>
        <w:adjustRightInd w:val="0"/>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九</w:t>
      </w:r>
      <w:r>
        <w:rPr>
          <w:rFonts w:hint="eastAsia" w:ascii="宋体" w:hAnsi="宋体" w:cs="宋体"/>
          <w:b/>
          <w:bCs/>
          <w:color w:val="000000" w:themeColor="text1"/>
          <w:sz w:val="24"/>
          <w:szCs w:val="24"/>
          <w14:textFill>
            <w14:solidFill>
              <w14:schemeClr w14:val="tx1"/>
            </w14:solidFill>
          </w14:textFill>
        </w:rPr>
        <w:t>、询比人不承担报价人参加本次报价活动所发生的任何费用。</w:t>
      </w:r>
      <w:r>
        <w:rPr>
          <w:rFonts w:hint="eastAsia" w:ascii="宋体" w:hAnsi="宋体" w:cs="宋体"/>
          <w:b/>
          <w:bCs/>
          <w:color w:val="000000"/>
          <w:sz w:val="24"/>
          <w:szCs w:val="24"/>
        </w:rPr>
        <w:t>询比人因故取消或中止询比活动，报价人无条件服从，因报价活动产生的费用报价人自行负责</w:t>
      </w:r>
      <w:r>
        <w:rPr>
          <w:rFonts w:hint="eastAsia" w:ascii="宋体" w:hAnsi="宋体" w:cs="宋体"/>
          <w:b/>
          <w:bCs/>
          <w:color w:val="000000" w:themeColor="text1"/>
          <w:sz w:val="24"/>
          <w:szCs w:val="24"/>
          <w14:textFill>
            <w14:solidFill>
              <w14:schemeClr w14:val="tx1"/>
            </w14:solidFill>
          </w14:textFill>
        </w:rPr>
        <w:t>。</w:t>
      </w:r>
    </w:p>
    <w:p w14:paraId="46D36E1E">
      <w:pPr>
        <w:spacing w:line="360" w:lineRule="auto"/>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十</w:t>
      </w:r>
      <w:r>
        <w:rPr>
          <w:rFonts w:hint="eastAsia" w:ascii="宋体" w:hAnsi="宋体" w:cs="宋体"/>
          <w:b/>
          <w:bCs/>
          <w:color w:val="000000" w:themeColor="text1"/>
          <w:sz w:val="24"/>
          <w:szCs w:val="24"/>
          <w14:textFill>
            <w14:solidFill>
              <w14:schemeClr w14:val="tx1"/>
            </w14:solidFill>
          </w14:textFill>
        </w:rPr>
        <w:t>、广州市荔湾区</w:t>
      </w:r>
      <w:r>
        <w:rPr>
          <w:rFonts w:hint="eastAsia" w:ascii="宋体" w:hAnsi="宋体" w:cs="宋体"/>
          <w:b/>
          <w:bCs/>
          <w:color w:val="000000" w:themeColor="text1"/>
          <w:sz w:val="24"/>
          <w:szCs w:val="24"/>
          <w:lang w:eastAsia="zh-CN"/>
          <w14:textFill>
            <w14:solidFill>
              <w14:schemeClr w14:val="tx1"/>
            </w14:solidFill>
          </w14:textFill>
        </w:rPr>
        <w:t>城市更新建设项目管理中心对</w:t>
      </w:r>
      <w:r>
        <w:rPr>
          <w:rFonts w:hint="eastAsia" w:ascii="宋体" w:hAnsi="宋体" w:cs="宋体"/>
          <w:b/>
          <w:bCs/>
          <w:color w:val="000000" w:themeColor="text1"/>
          <w:sz w:val="24"/>
          <w:szCs w:val="24"/>
          <w14:textFill>
            <w14:solidFill>
              <w14:schemeClr w14:val="tx1"/>
            </w14:solidFill>
          </w14:textFill>
        </w:rPr>
        <w:t>询比文件有最终解释权。</w:t>
      </w:r>
    </w:p>
    <w:p w14:paraId="19E52A74">
      <w:pPr>
        <w:spacing w:line="360" w:lineRule="auto"/>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十一、</w:t>
      </w:r>
      <w:r>
        <w:rPr>
          <w:rFonts w:hint="eastAsia" w:ascii="宋体" w:hAnsi="宋体" w:cs="宋体"/>
          <w:b/>
          <w:bCs/>
          <w:color w:val="000000" w:themeColor="text1"/>
          <w:sz w:val="24"/>
          <w:szCs w:val="24"/>
          <w14:textFill>
            <w14:solidFill>
              <w14:schemeClr w14:val="tx1"/>
            </w14:solidFill>
          </w14:textFill>
        </w:rPr>
        <w:t>本项目中选单位与广州市荔湾区城市更新建设项目管理中心签订服务合同。</w:t>
      </w:r>
      <w:r>
        <w:rPr>
          <w:rFonts w:hint="eastAsia" w:ascii="宋体" w:hAnsi="宋体" w:cs="宋体"/>
          <w:b/>
          <w:bCs/>
          <w:color w:val="000000" w:themeColor="text1"/>
          <w:sz w:val="24"/>
          <w:szCs w:val="24"/>
          <w:lang w:eastAsia="zh-CN"/>
          <w14:textFill>
            <w14:solidFill>
              <w14:schemeClr w14:val="tx1"/>
            </w14:solidFill>
          </w14:textFill>
        </w:rPr>
        <w:t>中选单位通过广东省政府采购网站完成采购流程，</w:t>
      </w:r>
      <w:r>
        <w:rPr>
          <w:rFonts w:hint="eastAsia" w:ascii="宋体" w:hAnsi="宋体" w:cs="宋体"/>
          <w:b/>
          <w:bCs/>
          <w:color w:val="000000" w:themeColor="text1"/>
          <w:sz w:val="24"/>
          <w:szCs w:val="24"/>
          <w14:textFill>
            <w14:solidFill>
              <w14:schemeClr w14:val="tx1"/>
            </w14:solidFill>
          </w14:textFill>
        </w:rPr>
        <w:t>如因中选人原因拖延、拒签合同的，将被取消中选资格。</w:t>
      </w:r>
    </w:p>
    <w:p w14:paraId="41B892E6">
      <w:pPr>
        <w:spacing w:line="360" w:lineRule="auto"/>
        <w:textAlignment w:val="top"/>
        <w:rPr>
          <w:rFonts w:ascii="宋体" w:hAnsi="宋体" w:cs="宋体"/>
          <w:b/>
          <w:bCs/>
          <w:sz w:val="24"/>
          <w:szCs w:val="24"/>
        </w:rPr>
      </w:pPr>
      <w:r>
        <w:rPr>
          <w:rFonts w:hint="eastAsia" w:ascii="宋体" w:hAnsi="宋体" w:cs="宋体"/>
          <w:b/>
          <w:bCs/>
          <w:sz w:val="24"/>
          <w:szCs w:val="24"/>
        </w:rPr>
        <w:t>十</w:t>
      </w:r>
      <w:r>
        <w:rPr>
          <w:rFonts w:hint="eastAsia" w:ascii="宋体" w:hAnsi="宋体" w:cs="宋体"/>
          <w:b/>
          <w:bCs/>
          <w:sz w:val="24"/>
          <w:szCs w:val="24"/>
          <w:lang w:eastAsia="zh-CN"/>
        </w:rPr>
        <w:t>二</w:t>
      </w:r>
      <w:r>
        <w:rPr>
          <w:rFonts w:hint="eastAsia" w:ascii="宋体" w:hAnsi="宋体" w:cs="宋体"/>
          <w:b/>
          <w:bCs/>
          <w:sz w:val="24"/>
          <w:szCs w:val="24"/>
        </w:rPr>
        <w:t>、联系方式：</w:t>
      </w:r>
    </w:p>
    <w:p w14:paraId="2AC5585F">
      <w:pPr>
        <w:spacing w:line="360" w:lineRule="auto"/>
        <w:jc w:val="left"/>
        <w:textAlignment w:val="top"/>
        <w:rPr>
          <w:rFonts w:ascii="宋体" w:hAnsi="宋体" w:cs="宋体"/>
          <w:sz w:val="24"/>
          <w:szCs w:val="24"/>
        </w:rPr>
      </w:pPr>
      <w:r>
        <w:rPr>
          <w:rFonts w:hint="eastAsia" w:ascii="宋体" w:hAnsi="宋体" w:cs="宋体"/>
          <w:sz w:val="24"/>
          <w:szCs w:val="24"/>
        </w:rPr>
        <w:t>询比单位：</w:t>
      </w:r>
      <w:r>
        <w:rPr>
          <w:rFonts w:hint="eastAsia" w:ascii="宋体" w:hAnsi="宋体" w:cs="宋体"/>
          <w:b w:val="0"/>
          <w:bCs w:val="0"/>
          <w:sz w:val="24"/>
          <w:szCs w:val="24"/>
          <w:u w:val="single"/>
        </w:rPr>
        <w:t>广州市荔湾区</w:t>
      </w:r>
      <w:r>
        <w:rPr>
          <w:rFonts w:hint="eastAsia" w:ascii="宋体" w:hAnsi="宋体" w:cs="宋体"/>
          <w:b w:val="0"/>
          <w:bCs w:val="0"/>
          <w:sz w:val="24"/>
          <w:szCs w:val="24"/>
          <w:u w:val="single"/>
          <w:lang w:eastAsia="zh-CN"/>
        </w:rPr>
        <w:t>城市更新建设项目管理中心</w:t>
      </w:r>
    </w:p>
    <w:p w14:paraId="3C6DA1DD">
      <w:pPr>
        <w:spacing w:line="360" w:lineRule="auto"/>
        <w:jc w:val="left"/>
        <w:textAlignment w:val="top"/>
        <w:rPr>
          <w:rFonts w:ascii="宋体" w:hAnsi="宋体" w:cs="宋体"/>
          <w:sz w:val="24"/>
          <w:szCs w:val="24"/>
          <w:u w:val="single"/>
        </w:rPr>
      </w:pPr>
      <w:r>
        <w:rPr>
          <w:rFonts w:hint="eastAsia" w:ascii="宋体" w:hAnsi="宋体" w:cs="宋体"/>
          <w:sz w:val="24"/>
          <w:szCs w:val="24"/>
        </w:rPr>
        <w:t>联系人：</w:t>
      </w:r>
      <w:r>
        <w:rPr>
          <w:rFonts w:hint="eastAsia" w:ascii="宋体" w:hAnsi="宋体" w:cs="宋体"/>
          <w:sz w:val="24"/>
          <w:szCs w:val="24"/>
          <w:u w:val="single"/>
        </w:rPr>
        <w:t xml:space="preserve"> </w:t>
      </w:r>
      <w:r>
        <w:rPr>
          <w:rFonts w:hint="eastAsia" w:ascii="宋体" w:hAnsi="宋体" w:cs="宋体"/>
          <w:sz w:val="24"/>
          <w:u w:val="single"/>
        </w:rPr>
        <w:t xml:space="preserve">   </w:t>
      </w:r>
      <w:r>
        <w:rPr>
          <w:rFonts w:hint="eastAsia" w:ascii="宋体" w:hAnsi="宋体" w:cs="宋体"/>
          <w:sz w:val="24"/>
          <w:szCs w:val="24"/>
          <w:u w:val="single"/>
        </w:rPr>
        <w:t xml:space="preserve"> </w:t>
      </w:r>
      <w:r>
        <w:rPr>
          <w:rFonts w:hint="eastAsia" w:ascii="宋体" w:hAnsi="宋体" w:cs="宋体"/>
          <w:sz w:val="24"/>
          <w:szCs w:val="24"/>
          <w:u w:val="single"/>
          <w:lang w:eastAsia="zh-CN"/>
        </w:rPr>
        <w:t>黄小姐</w:t>
      </w:r>
      <w:r>
        <w:rPr>
          <w:rFonts w:hint="eastAsia" w:ascii="宋体" w:hAnsi="宋体" w:cs="宋体"/>
          <w:sz w:val="24"/>
          <w:szCs w:val="24"/>
          <w:u w:val="single"/>
        </w:rPr>
        <w:t xml:space="preserve">           </w:t>
      </w:r>
    </w:p>
    <w:p w14:paraId="7F75ABE0">
      <w:pPr>
        <w:spacing w:line="360" w:lineRule="auto"/>
        <w:jc w:val="left"/>
        <w:textAlignment w:val="top"/>
        <w:rPr>
          <w:rFonts w:hint="eastAsia" w:ascii="宋体" w:hAnsi="宋体" w:cs="宋体"/>
          <w:sz w:val="24"/>
          <w:szCs w:val="24"/>
          <w:u w:val="single"/>
        </w:rPr>
      </w:pPr>
      <w:r>
        <w:rPr>
          <w:rFonts w:hint="eastAsia" w:ascii="宋体" w:hAnsi="宋体" w:cs="宋体"/>
          <w:sz w:val="24"/>
          <w:szCs w:val="24"/>
        </w:rPr>
        <w:t>联系电话：</w:t>
      </w:r>
      <w:r>
        <w:rPr>
          <w:rFonts w:hint="eastAsia" w:ascii="宋体" w:hAnsi="宋体" w:cs="宋体"/>
          <w:sz w:val="24"/>
          <w:szCs w:val="24"/>
          <w:u w:val="single"/>
        </w:rPr>
        <w:t xml:space="preserve">  020-36167405 </w:t>
      </w:r>
      <w:r>
        <w:rPr>
          <w:rFonts w:hint="eastAsia" w:ascii="宋体" w:hAnsi="宋体" w:cs="宋体"/>
          <w:sz w:val="24"/>
          <w:u w:val="single"/>
        </w:rPr>
        <w:t xml:space="preserve">  </w:t>
      </w:r>
      <w:r>
        <w:rPr>
          <w:rFonts w:hint="eastAsia" w:ascii="宋体" w:hAnsi="宋体" w:cs="宋体"/>
          <w:sz w:val="24"/>
          <w:szCs w:val="24"/>
          <w:u w:val="single"/>
        </w:rPr>
        <w:t xml:space="preserve"> </w:t>
      </w:r>
    </w:p>
    <w:p w14:paraId="6E8A42A6">
      <w:pPr>
        <w:spacing w:line="360" w:lineRule="auto"/>
        <w:jc w:val="left"/>
        <w:textAlignment w:val="top"/>
        <w:rPr>
          <w:rFonts w:hint="eastAsia" w:ascii="宋体" w:hAnsi="宋体" w:cs="宋体"/>
          <w:sz w:val="24"/>
          <w:szCs w:val="24"/>
          <w:u w:val="single"/>
        </w:rPr>
      </w:pPr>
    </w:p>
    <w:p w14:paraId="3DECAE34">
      <w:pPr>
        <w:spacing w:line="360" w:lineRule="auto"/>
        <w:jc w:val="left"/>
        <w:textAlignment w:val="top"/>
        <w:rPr>
          <w:rFonts w:ascii="宋体" w:hAnsi="宋体" w:cs="宋体"/>
          <w:kern w:val="0"/>
          <w:sz w:val="24"/>
          <w:u w:val="single"/>
        </w:rPr>
      </w:pPr>
      <w:r>
        <w:rPr>
          <w:rFonts w:hint="eastAsia" w:ascii="宋体" w:hAnsi="宋体" w:cs="宋体"/>
          <w:kern w:val="0"/>
          <w:sz w:val="24"/>
        </w:rPr>
        <w:t>询比代理单位：</w:t>
      </w:r>
      <w:r>
        <w:rPr>
          <w:rFonts w:hint="eastAsia" w:ascii="宋体" w:hAnsi="宋体" w:cs="宋体"/>
          <w:kern w:val="0"/>
          <w:sz w:val="24"/>
          <w:u w:val="single"/>
        </w:rPr>
        <w:t xml:space="preserve"> 成致项目管理有限公司</w:t>
      </w:r>
    </w:p>
    <w:p w14:paraId="5DE0A5BC">
      <w:pPr>
        <w:spacing w:line="360" w:lineRule="auto"/>
        <w:jc w:val="left"/>
        <w:textAlignment w:val="top"/>
        <w:rPr>
          <w:rFonts w:ascii="宋体" w:hAnsi="宋体" w:cs="宋体"/>
          <w:kern w:val="0"/>
          <w:sz w:val="24"/>
        </w:rPr>
      </w:pPr>
      <w:r>
        <w:rPr>
          <w:rFonts w:hint="eastAsia" w:ascii="宋体" w:hAnsi="宋体" w:cs="宋体"/>
          <w:kern w:val="0"/>
          <w:sz w:val="24"/>
        </w:rPr>
        <w:t xml:space="preserve">联 系 人： </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sz w:val="24"/>
          <w:u w:val="single"/>
        </w:rPr>
        <w:t xml:space="preserve"> </w:t>
      </w:r>
      <w:r>
        <w:rPr>
          <w:rFonts w:hint="eastAsia" w:ascii="宋体" w:hAnsi="宋体" w:cs="宋体"/>
          <w:kern w:val="0"/>
          <w:sz w:val="24"/>
          <w:u w:val="single"/>
        </w:rPr>
        <w:t>李先生</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 xml:space="preserve">                    </w:t>
      </w:r>
    </w:p>
    <w:p w14:paraId="54137E9B">
      <w:pPr>
        <w:spacing w:line="360" w:lineRule="auto"/>
        <w:jc w:val="left"/>
        <w:textAlignment w:val="top"/>
        <w:rPr>
          <w:rFonts w:ascii="宋体" w:hAnsi="宋体" w:cs="宋体"/>
          <w:sz w:val="24"/>
          <w:szCs w:val="24"/>
        </w:rPr>
      </w:pPr>
      <w:r>
        <w:rPr>
          <w:rFonts w:hint="eastAsia" w:ascii="宋体" w:hAnsi="宋体" w:cs="宋体"/>
          <w:kern w:val="0"/>
          <w:sz w:val="24"/>
        </w:rPr>
        <w:t>联系电话：</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18928782297</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 xml:space="preserve"> </w:t>
      </w:r>
    </w:p>
    <w:p w14:paraId="41A151E6">
      <w:pPr>
        <w:spacing w:line="360" w:lineRule="auto"/>
        <w:ind w:firstLine="482" w:firstLineChars="200"/>
        <w:jc w:val="center"/>
        <w:textAlignment w:val="top"/>
        <w:rPr>
          <w:rFonts w:hint="eastAsia" w:ascii="宋体" w:hAnsi="宋体" w:cs="宋体"/>
          <w:b/>
          <w:bCs/>
          <w:sz w:val="24"/>
          <w:szCs w:val="24"/>
        </w:rPr>
      </w:pPr>
      <w:r>
        <w:rPr>
          <w:rFonts w:hint="eastAsia" w:ascii="宋体" w:hAnsi="宋体" w:cs="宋体"/>
          <w:b/>
          <w:bCs/>
          <w:sz w:val="24"/>
          <w:szCs w:val="24"/>
        </w:rPr>
        <w:t xml:space="preserve">                             </w:t>
      </w:r>
    </w:p>
    <w:p w14:paraId="733D3D34">
      <w:pPr>
        <w:spacing w:line="360" w:lineRule="auto"/>
        <w:ind w:firstLine="480" w:firstLineChars="200"/>
        <w:jc w:val="right"/>
        <w:textAlignment w:val="top"/>
        <w:rPr>
          <w:rFonts w:hint="eastAsia" w:ascii="宋体" w:hAnsi="宋体" w:cs="宋体"/>
          <w:b w:val="0"/>
          <w:bCs w:val="0"/>
          <w:sz w:val="24"/>
          <w:szCs w:val="24"/>
        </w:rPr>
      </w:pPr>
    </w:p>
    <w:p w14:paraId="1EE5C1BE">
      <w:pPr>
        <w:spacing w:line="360" w:lineRule="auto"/>
        <w:ind w:firstLine="480" w:firstLineChars="200"/>
        <w:jc w:val="right"/>
        <w:textAlignment w:val="top"/>
        <w:rPr>
          <w:rFonts w:ascii="宋体" w:hAnsi="宋体" w:cs="宋体"/>
          <w:sz w:val="24"/>
          <w:szCs w:val="24"/>
        </w:rPr>
      </w:pPr>
      <w:r>
        <w:rPr>
          <w:rFonts w:hint="eastAsia" w:ascii="宋体" w:hAnsi="宋体" w:cs="宋体"/>
          <w:b w:val="0"/>
          <w:bCs w:val="0"/>
          <w:sz w:val="24"/>
          <w:szCs w:val="24"/>
        </w:rPr>
        <w:t>广州市荔湾区</w:t>
      </w:r>
      <w:r>
        <w:rPr>
          <w:rFonts w:hint="eastAsia" w:ascii="宋体" w:hAnsi="宋体" w:cs="宋体"/>
          <w:b w:val="0"/>
          <w:bCs w:val="0"/>
          <w:sz w:val="24"/>
          <w:szCs w:val="24"/>
          <w:lang w:eastAsia="zh-CN"/>
        </w:rPr>
        <w:t>城市更新建设项目管理中心</w:t>
      </w:r>
    </w:p>
    <w:p w14:paraId="7E5A98B1">
      <w:pPr>
        <w:spacing w:line="360" w:lineRule="auto"/>
        <w:ind w:firstLine="480" w:firstLineChars="200"/>
        <w:jc w:val="center"/>
        <w:textAlignment w:val="top"/>
        <w:rPr>
          <w:rFonts w:ascii="宋体" w:hAnsi="宋体" w:cs="宋体"/>
          <w:b/>
          <w:sz w:val="24"/>
          <w:szCs w:val="24"/>
        </w:rPr>
        <w:sectPr>
          <w:footerReference r:id="rId5" w:type="default"/>
          <w:pgSz w:w="11906" w:h="16838"/>
          <w:pgMar w:top="1304" w:right="1293" w:bottom="1304" w:left="1293" w:header="851" w:footer="992" w:gutter="0"/>
          <w:pgNumType w:fmt="decimal" w:start="1"/>
          <w:cols w:space="720" w:num="1"/>
          <w:docGrid w:type="lines" w:linePitch="312" w:charSpace="0"/>
        </w:sectPr>
      </w:pPr>
      <w:r>
        <w:rPr>
          <w:rFonts w:hint="eastAsia" w:ascii="宋体" w:hAnsi="宋体" w:cs="宋体"/>
          <w:sz w:val="24"/>
          <w:szCs w:val="24"/>
        </w:rPr>
        <w:t xml:space="preserve">                                       </w:t>
      </w:r>
      <w:r>
        <w:rPr>
          <w:rFonts w:hint="eastAsia" w:ascii="宋体" w:hAnsi="宋体" w:cs="宋体"/>
          <w:sz w:val="24"/>
          <w:szCs w:val="24"/>
          <w:lang w:eastAsia="zh-CN"/>
        </w:rPr>
        <w:t>202</w:t>
      </w:r>
      <w:r>
        <w:rPr>
          <w:rFonts w:hint="eastAsia" w:ascii="宋体" w:hAnsi="宋体" w:cs="宋体"/>
          <w:sz w:val="24"/>
          <w:szCs w:val="24"/>
          <w:lang w:val="en-US" w:eastAsia="zh-CN"/>
        </w:rPr>
        <w:t>5</w:t>
      </w:r>
      <w:r>
        <w:rPr>
          <w:rFonts w:hint="eastAsia" w:ascii="宋体" w:hAnsi="宋体" w:cs="宋体"/>
          <w:sz w:val="24"/>
          <w:szCs w:val="24"/>
          <w:lang w:eastAsia="zh-CN"/>
        </w:rPr>
        <w:t>年</w:t>
      </w:r>
      <w:r>
        <w:rPr>
          <w:rFonts w:hint="eastAsia" w:ascii="宋体" w:hAnsi="宋体" w:cs="宋体"/>
          <w:sz w:val="24"/>
          <w:szCs w:val="24"/>
          <w:lang w:val="en-US" w:eastAsia="zh-CN"/>
        </w:rPr>
        <w:t>1</w:t>
      </w:r>
      <w:r>
        <w:rPr>
          <w:rFonts w:hint="eastAsia" w:ascii="宋体" w:hAnsi="宋体" w:cs="宋体"/>
          <w:sz w:val="24"/>
          <w:szCs w:val="24"/>
        </w:rPr>
        <w:t>月</w:t>
      </w:r>
      <w:r>
        <w:rPr>
          <w:rFonts w:hint="eastAsia" w:ascii="宋体" w:hAnsi="宋体" w:cs="宋体"/>
          <w:sz w:val="24"/>
          <w:szCs w:val="24"/>
          <w:lang w:val="en-US" w:eastAsia="zh-CN"/>
        </w:rPr>
        <w:t>17</w:t>
      </w:r>
      <w:r>
        <w:rPr>
          <w:rFonts w:hint="eastAsia" w:ascii="宋体" w:hAnsi="宋体" w:cs="宋体"/>
          <w:sz w:val="24"/>
          <w:szCs w:val="24"/>
        </w:rPr>
        <w:t>日</w:t>
      </w:r>
    </w:p>
    <w:p w14:paraId="01CD8A37">
      <w:pPr>
        <w:pStyle w:val="9"/>
        <w:spacing w:line="360"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第二章 评审办法</w:t>
      </w:r>
    </w:p>
    <w:p w14:paraId="71E5E92B">
      <w:pPr>
        <w:pStyle w:val="9"/>
        <w:spacing w:line="360" w:lineRule="auto"/>
        <w:jc w:val="left"/>
        <w:rPr>
          <w:rFonts w:asciiTheme="minorEastAsia" w:hAnsiTheme="minorEastAsia" w:eastAsiaTheme="minorEastAsia" w:cstheme="minorEastAsia"/>
          <w:sz w:val="24"/>
          <w:szCs w:val="24"/>
        </w:rPr>
      </w:pPr>
    </w:p>
    <w:p w14:paraId="642FC4F7">
      <w:pPr>
        <w:pStyle w:val="9"/>
        <w:spacing w:line="360" w:lineRule="auto"/>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一、评审办法</w:t>
      </w:r>
    </w:p>
    <w:p w14:paraId="563118B3">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1.本次评审采用综合评分法。首先审查报价单位的资格性和符合性条件，通过资格性和符合性审查的报价单位的报价文件将进入下一环节的评分</w:t>
      </w:r>
      <w:r>
        <w:rPr>
          <w:rFonts w:hint="eastAsia" w:asciiTheme="minorEastAsia" w:hAnsiTheme="minorEastAsia" w:cstheme="minorEastAsia"/>
          <w:kern w:val="0"/>
          <w:sz w:val="24"/>
          <w:szCs w:val="24"/>
        </w:rPr>
        <w:t>（详见附件一：</w:t>
      </w:r>
      <w:r>
        <w:rPr>
          <w:rFonts w:hint="eastAsia" w:asciiTheme="minorEastAsia" w:hAnsiTheme="minorEastAsia" w:cstheme="minorEastAsia"/>
          <w:sz w:val="24"/>
          <w:szCs w:val="24"/>
        </w:rPr>
        <w:t>资格性和符合性审查表</w:t>
      </w:r>
      <w:r>
        <w:rPr>
          <w:rFonts w:hint="eastAsia" w:asciiTheme="minorEastAsia" w:hAnsiTheme="minorEastAsia" w:cstheme="minorEastAsia"/>
          <w:kern w:val="0"/>
          <w:sz w:val="24"/>
          <w:szCs w:val="24"/>
        </w:rPr>
        <w:t>）</w:t>
      </w:r>
      <w:r>
        <w:rPr>
          <w:rFonts w:hint="eastAsia" w:asciiTheme="minorEastAsia" w:hAnsiTheme="minorEastAsia" w:cstheme="minorEastAsia"/>
          <w:sz w:val="24"/>
          <w:szCs w:val="24"/>
        </w:rPr>
        <w:t>。</w:t>
      </w:r>
    </w:p>
    <w:p w14:paraId="22BFB53E">
      <w:pPr>
        <w:pStyle w:val="9"/>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2.对满足询比文件实质性要求的报价文件，按照询比文件规定的评分标准进行打分，评审过程中如发现存在不满足询比文件实质性要求的报价文件不予评分。</w:t>
      </w:r>
    </w:p>
    <w:p w14:paraId="2B66A796">
      <w:pPr>
        <w:pStyle w:val="9"/>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3.评分按照各报价人总得分从高到低排列先后次序。若两家或以上的报价人总得分相同时，则报价部分得分高的排前；若报价部分得分相同，则由报价文件提交顺序较早的排前（详见附件二：综合评分表）。</w:t>
      </w:r>
    </w:p>
    <w:p w14:paraId="2CB3BA68">
      <w:pPr>
        <w:pStyle w:val="9"/>
        <w:spacing w:line="360" w:lineRule="auto"/>
        <w:ind w:firstLine="480" w:firstLineChars="200"/>
        <w:jc w:val="left"/>
        <w:rPr>
          <w:rFonts w:hint="eastAsia" w:ascii="宋体" w:hAnsi="宋体" w:eastAsia="宋体" w:cs="宋体"/>
          <w:sz w:val="24"/>
          <w:szCs w:val="24"/>
        </w:rPr>
      </w:pPr>
      <w:r>
        <w:rPr>
          <w:rFonts w:hint="eastAsia" w:asciiTheme="minorEastAsia" w:hAnsiTheme="minorEastAsia" w:eastAsiaTheme="minorEastAsia" w:cstheme="minorEastAsia"/>
          <w:sz w:val="24"/>
          <w:szCs w:val="24"/>
        </w:rPr>
        <w:t>4.若本项目满足资格性和符合性审查合格条件的报价人不足</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家或经评审有效的报价人不足</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家，则本次询比失败，询比人将视情况重新组织询比。</w:t>
      </w:r>
    </w:p>
    <w:p w14:paraId="0DBC5561">
      <w:pPr>
        <w:pStyle w:val="9"/>
        <w:spacing w:line="360" w:lineRule="auto"/>
        <w:ind w:firstLine="480" w:firstLineChars="200"/>
        <w:jc w:val="left"/>
        <w:rPr>
          <w:rFonts w:hint="default" w:hAnsi="宋体" w:eastAsia="宋体" w:cs="宋体"/>
          <w:sz w:val="24"/>
          <w:szCs w:val="24"/>
          <w:lang w:val="en-US" w:eastAsia="zh-CN"/>
        </w:rPr>
        <w:sectPr>
          <w:pgSz w:w="11906" w:h="16838"/>
          <w:pgMar w:top="1157" w:right="1134" w:bottom="1157" w:left="1247" w:header="851" w:footer="992" w:gutter="0"/>
          <w:pgNumType w:fmt="decimal"/>
          <w:cols w:space="0" w:num="1"/>
          <w:docGrid w:type="lines" w:linePitch="312" w:charSpace="0"/>
        </w:sectPr>
      </w:pPr>
      <w:bookmarkStart w:id="5" w:name="_GoBack"/>
      <w:bookmarkEnd w:id="5"/>
    </w:p>
    <w:p w14:paraId="2B31E3A8">
      <w:pPr>
        <w:tabs>
          <w:tab w:val="left" w:pos="5220"/>
        </w:tabs>
        <w:adjustRightInd w:val="0"/>
        <w:snapToGrid w:val="0"/>
        <w:spacing w:line="360" w:lineRule="auto"/>
        <w:jc w:val="center"/>
        <w:rPr>
          <w:rFonts w:ascii="宋体" w:hAnsi="宋体" w:cs="宋体"/>
          <w:b/>
          <w:bCs/>
          <w:kern w:val="28"/>
          <w:sz w:val="24"/>
          <w:szCs w:val="24"/>
        </w:rPr>
      </w:pPr>
      <w:r>
        <w:rPr>
          <w:rFonts w:hint="eastAsia" w:ascii="宋体" w:hAnsi="宋体" w:cs="宋体"/>
          <w:b/>
          <w:bCs/>
          <w:kern w:val="28"/>
          <w:sz w:val="24"/>
          <w:szCs w:val="24"/>
        </w:rPr>
        <w:t>第三章 报价文件</w:t>
      </w:r>
    </w:p>
    <w:p w14:paraId="38EC4D3C">
      <w:pPr>
        <w:spacing w:line="360" w:lineRule="auto"/>
        <w:rPr>
          <w:rFonts w:ascii="宋体" w:hAnsi="宋体" w:cs="宋体"/>
          <w:b/>
          <w:bCs/>
          <w:sz w:val="24"/>
          <w:szCs w:val="24"/>
        </w:rPr>
      </w:pPr>
      <w:r>
        <w:rPr>
          <w:rFonts w:hint="eastAsia" w:ascii="宋体" w:hAnsi="宋体" w:cs="宋体"/>
          <w:b/>
          <w:bCs/>
          <w:sz w:val="24"/>
          <w:szCs w:val="24"/>
        </w:rPr>
        <w:t>一、报价文件编制要求</w:t>
      </w:r>
    </w:p>
    <w:p w14:paraId="23C10F7A">
      <w:pPr>
        <w:spacing w:line="360" w:lineRule="auto"/>
        <w:ind w:firstLine="480" w:firstLineChars="200"/>
        <w:textAlignment w:val="top"/>
        <w:rPr>
          <w:rFonts w:ascii="宋体" w:hAnsi="宋体" w:cs="宋体"/>
          <w:sz w:val="24"/>
        </w:rPr>
      </w:pPr>
      <w:r>
        <w:rPr>
          <w:rFonts w:hint="eastAsia" w:ascii="宋体" w:hAnsi="宋体" w:cs="宋体"/>
          <w:sz w:val="24"/>
        </w:rPr>
        <w:t>1.报价文件编制规范、签署合格、报价唯一固定、报价无重大漏项及重大不合理。</w:t>
      </w:r>
    </w:p>
    <w:p w14:paraId="67429B9D">
      <w:pPr>
        <w:spacing w:line="360" w:lineRule="auto"/>
        <w:ind w:firstLine="480" w:firstLineChars="200"/>
        <w:textAlignment w:val="top"/>
        <w:rPr>
          <w:rFonts w:ascii="宋体" w:hAnsi="宋体" w:cs="宋体"/>
          <w:sz w:val="24"/>
          <w:szCs w:val="24"/>
        </w:rPr>
      </w:pPr>
      <w:r>
        <w:rPr>
          <w:rFonts w:hint="eastAsia" w:ascii="宋体" w:hAnsi="宋体" w:cs="宋体"/>
          <w:sz w:val="24"/>
        </w:rPr>
        <w:t>2.报价文件份数为一式</w:t>
      </w:r>
      <w:r>
        <w:rPr>
          <w:rFonts w:hint="eastAsia" w:ascii="宋体" w:hAnsi="宋体" w:cs="宋体"/>
          <w:sz w:val="24"/>
          <w:lang w:eastAsia="zh-CN"/>
        </w:rPr>
        <w:t>三</w:t>
      </w:r>
      <w:r>
        <w:rPr>
          <w:rFonts w:hint="eastAsia" w:ascii="宋体" w:hAnsi="宋体" w:cs="宋体"/>
          <w:sz w:val="24"/>
        </w:rPr>
        <w:t>份，一份为正本，</w:t>
      </w:r>
      <w:r>
        <w:rPr>
          <w:rFonts w:hint="eastAsia" w:ascii="宋体" w:hAnsi="宋体" w:cs="宋体"/>
          <w:sz w:val="24"/>
          <w:lang w:eastAsia="zh-CN"/>
        </w:rPr>
        <w:t>两</w:t>
      </w:r>
      <w:r>
        <w:rPr>
          <w:rFonts w:hint="eastAsia" w:ascii="宋体" w:hAnsi="宋体" w:cs="宋体"/>
          <w:sz w:val="24"/>
        </w:rPr>
        <w:t>份为副本，正本和副本不一致的以正本为准。报价文件须用不褪色的黑色墨水书写或打印，报价文件应装订成册，封面右上角注明正本或副本，报价文件（纸质版）须加盖单位公章后扫描拷贝至光盘或u盘，光盘或u盘内的文件内容应与纸质版的报价文件内容一致，并与报价文件（纸质版）装入同一个密封袋。</w:t>
      </w:r>
      <w:r>
        <w:rPr>
          <w:rFonts w:hint="eastAsia" w:ascii="宋体" w:hAnsi="宋体" w:cs="宋体"/>
          <w:b/>
          <w:bCs/>
          <w:kern w:val="0"/>
          <w:sz w:val="24"/>
        </w:rPr>
        <w:t>封口须以封条并加盖公章密封，否则报价文件当无效处理。</w:t>
      </w:r>
    </w:p>
    <w:p w14:paraId="6032A569">
      <w:pPr>
        <w:spacing w:line="360" w:lineRule="auto"/>
        <w:rPr>
          <w:rFonts w:ascii="宋体" w:hAnsi="宋体" w:cs="宋体"/>
          <w:sz w:val="24"/>
          <w:szCs w:val="24"/>
        </w:rPr>
      </w:pPr>
      <w:r>
        <w:rPr>
          <w:rFonts w:hint="eastAsia" w:ascii="宋体" w:hAnsi="宋体" w:cs="宋体"/>
          <w:sz w:val="24"/>
          <w:szCs w:val="24"/>
        </w:rPr>
        <w:t xml:space="preserve">    3.报价文件密封在一个包封内，外包装材料不应留有可在包封后添加或抽取报价文件的空隙。外面应标注“项目名称”、“报价文件”、“联系人”、“联系方式”和“报价单位”等字样。</w:t>
      </w:r>
    </w:p>
    <w:p w14:paraId="65D8A95C">
      <w:pPr>
        <w:adjustRightInd w:val="0"/>
        <w:snapToGrid w:val="0"/>
        <w:spacing w:line="360" w:lineRule="auto"/>
        <w:ind w:firstLine="480" w:firstLineChars="200"/>
        <w:rPr>
          <w:rFonts w:ascii="宋体" w:hAnsi="宋体" w:cs="宋体"/>
        </w:rPr>
      </w:pPr>
      <w:r>
        <w:rPr>
          <w:rFonts w:hint="eastAsia" w:ascii="宋体" w:hAnsi="宋体" w:cs="宋体"/>
          <w:sz w:val="24"/>
          <w:szCs w:val="24"/>
        </w:rPr>
        <w:t>4.报价文件中的所有材料内容（复印件、截图证明等）</w:t>
      </w:r>
      <w:r>
        <w:rPr>
          <w:rFonts w:hint="eastAsia" w:ascii="宋体" w:hAnsi="宋体" w:cs="宋体"/>
          <w:b/>
          <w:bCs/>
          <w:sz w:val="24"/>
          <w:szCs w:val="24"/>
        </w:rPr>
        <w:t>须清晰可见，模糊不清晰的则当无效材料处理</w:t>
      </w:r>
      <w:r>
        <w:rPr>
          <w:rFonts w:hint="eastAsia" w:ascii="宋体" w:hAnsi="宋体" w:cs="宋体"/>
          <w:sz w:val="24"/>
          <w:szCs w:val="24"/>
        </w:rPr>
        <w:t>。报价文件须附上材料目录（附页码）。</w:t>
      </w:r>
    </w:p>
    <w:p w14:paraId="6025B51D">
      <w:pPr>
        <w:widowControl/>
        <w:adjustRightInd w:val="0"/>
        <w:snapToGrid w:val="0"/>
        <w:spacing w:line="360" w:lineRule="auto"/>
        <w:jc w:val="left"/>
        <w:rPr>
          <w:rFonts w:ascii="宋体" w:hAnsi="宋体" w:cs="宋体"/>
          <w:b/>
          <w:bCs/>
          <w:color w:val="000000"/>
          <w:sz w:val="24"/>
          <w:szCs w:val="24"/>
        </w:rPr>
      </w:pPr>
      <w:r>
        <w:rPr>
          <w:rFonts w:hint="eastAsia" w:ascii="宋体" w:hAnsi="宋体" w:cs="宋体"/>
          <w:b/>
          <w:bCs/>
          <w:color w:val="000000"/>
          <w:sz w:val="24"/>
          <w:szCs w:val="24"/>
        </w:rPr>
        <w:t>二、完整的报价文件至少包括以下内容：</w:t>
      </w:r>
    </w:p>
    <w:p w14:paraId="4B9579E1">
      <w:pPr>
        <w:adjustRightInd w:val="0"/>
        <w:snapToGrid w:val="0"/>
        <w:spacing w:line="360" w:lineRule="auto"/>
        <w:ind w:firstLine="480"/>
        <w:rPr>
          <w:rFonts w:ascii="宋体" w:hAnsi="宋体" w:cs="宋体"/>
          <w:sz w:val="24"/>
          <w:szCs w:val="24"/>
        </w:rPr>
      </w:pPr>
      <w:r>
        <w:rPr>
          <w:rFonts w:hint="eastAsia" w:ascii="宋体" w:hAnsi="宋体" w:cs="宋体"/>
          <w:sz w:val="24"/>
          <w:szCs w:val="24"/>
        </w:rPr>
        <w:t>1.报价表（原件，格式详见附件三）；</w:t>
      </w:r>
    </w:p>
    <w:p w14:paraId="29B5A7AC">
      <w:pPr>
        <w:adjustRightInd w:val="0"/>
        <w:snapToGrid w:val="0"/>
        <w:spacing w:line="360" w:lineRule="auto"/>
        <w:ind w:firstLine="480"/>
        <w:rPr>
          <w:rFonts w:ascii="宋体" w:hAnsi="宋体" w:cs="宋体"/>
          <w:sz w:val="24"/>
          <w:szCs w:val="24"/>
        </w:rPr>
      </w:pPr>
      <w:r>
        <w:rPr>
          <w:rFonts w:hint="eastAsia" w:ascii="宋体" w:hAnsi="宋体" w:cs="宋体"/>
          <w:sz w:val="24"/>
          <w:szCs w:val="24"/>
        </w:rPr>
        <w:t>2.企业营业执照或事业单位法人证书（复印件）、资质证书（复印件）；</w:t>
      </w:r>
    </w:p>
    <w:p w14:paraId="77944883">
      <w:pPr>
        <w:adjustRightInd w:val="0"/>
        <w:snapToGrid w:val="0"/>
        <w:spacing w:line="360" w:lineRule="auto"/>
        <w:ind w:firstLine="480"/>
        <w:rPr>
          <w:rFonts w:ascii="宋体" w:hAnsi="宋体" w:cs="宋体"/>
          <w:sz w:val="24"/>
          <w:szCs w:val="24"/>
        </w:rPr>
      </w:pPr>
      <w:r>
        <w:rPr>
          <w:rFonts w:hint="eastAsia" w:ascii="宋体" w:hAnsi="宋体" w:cs="宋体"/>
          <w:sz w:val="24"/>
          <w:szCs w:val="24"/>
        </w:rPr>
        <w:t>3.法定代表人身份证明书（原件）、授权代表委托书（原件）；</w:t>
      </w:r>
    </w:p>
    <w:p w14:paraId="6E38A7DB">
      <w:pPr>
        <w:adjustRightInd w:val="0"/>
        <w:snapToGrid w:val="0"/>
        <w:spacing w:line="360" w:lineRule="auto"/>
        <w:ind w:firstLine="480"/>
        <w:rPr>
          <w:rFonts w:ascii="宋体" w:hAnsi="宋体" w:cs="宋体"/>
          <w:sz w:val="24"/>
          <w:szCs w:val="24"/>
        </w:rPr>
      </w:pPr>
      <w:r>
        <w:rPr>
          <w:rFonts w:hint="eastAsia" w:ascii="宋体" w:hAnsi="宋体" w:cs="宋体"/>
          <w:sz w:val="24"/>
          <w:szCs w:val="24"/>
        </w:rPr>
        <w:t>4.业绩情况汇总表（原件，格式详见附件四）；</w:t>
      </w:r>
    </w:p>
    <w:p w14:paraId="68F30811">
      <w:pPr>
        <w:adjustRightInd w:val="0"/>
        <w:snapToGrid w:val="0"/>
        <w:spacing w:line="360" w:lineRule="auto"/>
        <w:ind w:firstLine="480"/>
        <w:rPr>
          <w:rFonts w:ascii="宋体" w:hAnsi="宋体" w:cs="宋体"/>
          <w:sz w:val="24"/>
          <w:szCs w:val="24"/>
        </w:rPr>
      </w:pPr>
      <w:r>
        <w:rPr>
          <w:rFonts w:hint="eastAsia" w:ascii="宋体" w:hAnsi="宋体" w:cs="宋体"/>
          <w:sz w:val="24"/>
          <w:szCs w:val="24"/>
        </w:rPr>
        <w:t>5.项目负责人相关证书及社保证明（复印件）；</w:t>
      </w:r>
    </w:p>
    <w:p w14:paraId="46732C33">
      <w:pPr>
        <w:adjustRightInd w:val="0"/>
        <w:snapToGrid w:val="0"/>
        <w:spacing w:line="360" w:lineRule="auto"/>
        <w:ind w:firstLine="480"/>
        <w:rPr>
          <w:rFonts w:ascii="宋体" w:hAnsi="宋体" w:cs="宋体"/>
          <w:sz w:val="24"/>
          <w:szCs w:val="24"/>
        </w:rPr>
      </w:pPr>
      <w:r>
        <w:rPr>
          <w:rFonts w:hint="eastAsia" w:ascii="宋体" w:hAnsi="宋体" w:cs="宋体"/>
          <w:sz w:val="24"/>
          <w:szCs w:val="24"/>
        </w:rPr>
        <w:t>6.综合评分表上要求提供的其他材料（复印件）；</w:t>
      </w:r>
    </w:p>
    <w:p w14:paraId="6927F2BD">
      <w:pPr>
        <w:adjustRightInd w:val="0"/>
        <w:snapToGrid w:val="0"/>
        <w:spacing w:line="360" w:lineRule="auto"/>
        <w:ind w:firstLine="480"/>
        <w:rPr>
          <w:rFonts w:ascii="宋体" w:hAnsi="宋体" w:cs="宋体"/>
          <w:sz w:val="24"/>
          <w:szCs w:val="24"/>
        </w:rPr>
      </w:pPr>
      <w:r>
        <w:rPr>
          <w:rFonts w:hint="eastAsia" w:ascii="宋体" w:hAnsi="宋体" w:cs="宋体"/>
          <w:sz w:val="24"/>
          <w:szCs w:val="24"/>
        </w:rPr>
        <w:t>7.承诺书（原件，详见附件六）；</w:t>
      </w:r>
    </w:p>
    <w:p w14:paraId="7FF1FBC6">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8.其他报价人认为需要提供的资料。</w:t>
      </w:r>
    </w:p>
    <w:p w14:paraId="44A928DA">
      <w:pPr>
        <w:spacing w:line="360" w:lineRule="auto"/>
        <w:ind w:firstLine="482" w:firstLineChars="200"/>
        <w:rPr>
          <w:rFonts w:ascii="宋体" w:hAnsi="宋体" w:cs="宋体"/>
          <w:color w:val="FF0000"/>
          <w:sz w:val="24"/>
          <w:szCs w:val="24"/>
        </w:rPr>
      </w:pPr>
      <w:r>
        <w:rPr>
          <w:rFonts w:hint="eastAsia" w:ascii="宋体" w:hAnsi="宋体" w:cs="宋体"/>
          <w:b/>
          <w:bCs/>
          <w:sz w:val="24"/>
          <w:szCs w:val="24"/>
        </w:rPr>
        <w:t>以上复印件材料均需盖上单位公章</w:t>
      </w:r>
      <w:r>
        <w:rPr>
          <w:rFonts w:hint="eastAsia" w:ascii="宋体" w:hAnsi="宋体" w:cs="宋体"/>
          <w:b/>
          <w:bCs/>
          <w:sz w:val="24"/>
        </w:rPr>
        <w:t>，原件则应在相应位置盖上单位公章。</w:t>
      </w:r>
    </w:p>
    <w:p w14:paraId="14DEC3C1">
      <w:pPr>
        <w:pStyle w:val="9"/>
        <w:adjustRightInd w:val="0"/>
        <w:snapToGrid w:val="0"/>
        <w:spacing w:line="360" w:lineRule="auto"/>
        <w:jc w:val="left"/>
        <w:rPr>
          <w:rFonts w:hAnsi="宋体" w:eastAsia="宋体" w:cs="宋体"/>
          <w:b/>
          <w:bCs/>
          <w:sz w:val="24"/>
          <w:szCs w:val="24"/>
        </w:rPr>
      </w:pPr>
      <w:r>
        <w:rPr>
          <w:rFonts w:hint="eastAsia" w:hAnsi="宋体" w:eastAsia="宋体" w:cs="宋体"/>
          <w:b/>
          <w:bCs/>
          <w:sz w:val="24"/>
          <w:szCs w:val="24"/>
        </w:rPr>
        <w:t>附件：</w:t>
      </w:r>
    </w:p>
    <w:p w14:paraId="6CF4D4C6">
      <w:pPr>
        <w:pStyle w:val="9"/>
        <w:adjustRightInd w:val="0"/>
        <w:snapToGrid w:val="0"/>
        <w:spacing w:line="360" w:lineRule="auto"/>
        <w:ind w:firstLine="480" w:firstLineChars="200"/>
        <w:jc w:val="left"/>
        <w:rPr>
          <w:rFonts w:hAnsi="宋体" w:eastAsia="宋体" w:cs="宋体"/>
          <w:sz w:val="24"/>
          <w:szCs w:val="24"/>
        </w:rPr>
      </w:pPr>
      <w:r>
        <w:rPr>
          <w:rFonts w:hint="eastAsia" w:hAnsi="宋体" w:eastAsia="宋体" w:cs="宋体"/>
          <w:sz w:val="24"/>
          <w:szCs w:val="24"/>
        </w:rPr>
        <w:t>1.资格性和符合性审查表</w:t>
      </w:r>
    </w:p>
    <w:p w14:paraId="063E7FCC">
      <w:pPr>
        <w:pStyle w:val="9"/>
        <w:adjustRightInd w:val="0"/>
        <w:snapToGrid w:val="0"/>
        <w:spacing w:line="360" w:lineRule="auto"/>
        <w:ind w:firstLine="480" w:firstLineChars="200"/>
        <w:jc w:val="left"/>
        <w:rPr>
          <w:rFonts w:hAnsi="宋体" w:eastAsia="宋体" w:cs="宋体"/>
          <w:sz w:val="24"/>
          <w:szCs w:val="24"/>
        </w:rPr>
      </w:pPr>
      <w:r>
        <w:rPr>
          <w:rFonts w:hint="eastAsia" w:hAnsi="宋体" w:eastAsia="宋体" w:cs="宋体"/>
          <w:sz w:val="24"/>
          <w:szCs w:val="24"/>
        </w:rPr>
        <w:t>2.综合评分表</w:t>
      </w:r>
    </w:p>
    <w:p w14:paraId="0BA77CF2">
      <w:pPr>
        <w:pStyle w:val="9"/>
        <w:adjustRightInd w:val="0"/>
        <w:snapToGrid w:val="0"/>
        <w:spacing w:line="360" w:lineRule="auto"/>
        <w:ind w:firstLine="480" w:firstLineChars="200"/>
        <w:jc w:val="left"/>
        <w:rPr>
          <w:rFonts w:hAnsi="宋体" w:eastAsia="宋体" w:cs="宋体"/>
          <w:color w:val="000000"/>
          <w:sz w:val="24"/>
          <w:szCs w:val="24"/>
        </w:rPr>
      </w:pPr>
      <w:r>
        <w:rPr>
          <w:rFonts w:hint="eastAsia" w:hAnsi="宋体" w:eastAsia="宋体" w:cs="宋体"/>
          <w:color w:val="000000"/>
          <w:sz w:val="24"/>
          <w:szCs w:val="24"/>
        </w:rPr>
        <w:t>3.报价表</w:t>
      </w:r>
    </w:p>
    <w:p w14:paraId="5E24B5DD">
      <w:pPr>
        <w:pStyle w:val="9"/>
        <w:adjustRightInd w:val="0"/>
        <w:snapToGrid w:val="0"/>
        <w:spacing w:line="360" w:lineRule="auto"/>
        <w:ind w:firstLine="480" w:firstLineChars="200"/>
        <w:jc w:val="left"/>
        <w:rPr>
          <w:rFonts w:hAnsi="宋体" w:eastAsia="宋体" w:cs="宋体"/>
          <w:color w:val="000000"/>
          <w:sz w:val="24"/>
          <w:szCs w:val="24"/>
        </w:rPr>
      </w:pPr>
      <w:r>
        <w:rPr>
          <w:rFonts w:hint="eastAsia" w:hAnsi="宋体" w:eastAsia="宋体" w:cs="宋体"/>
          <w:color w:val="000000"/>
          <w:sz w:val="24"/>
          <w:szCs w:val="24"/>
        </w:rPr>
        <w:t>4.业绩情况汇总表</w:t>
      </w:r>
    </w:p>
    <w:p w14:paraId="62AEE07E">
      <w:pPr>
        <w:pStyle w:val="9"/>
        <w:adjustRightInd w:val="0"/>
        <w:snapToGrid w:val="0"/>
        <w:spacing w:line="360" w:lineRule="auto"/>
        <w:ind w:firstLine="480" w:firstLineChars="200"/>
        <w:jc w:val="left"/>
        <w:rPr>
          <w:rFonts w:hAnsi="宋体" w:eastAsia="宋体" w:cs="宋体"/>
          <w:sz w:val="24"/>
          <w:szCs w:val="24"/>
        </w:rPr>
      </w:pPr>
      <w:r>
        <w:rPr>
          <w:rFonts w:hint="eastAsia" w:hAnsi="宋体" w:eastAsia="宋体" w:cs="宋体"/>
          <w:sz w:val="24"/>
          <w:szCs w:val="24"/>
        </w:rPr>
        <w:t>5.项目负责人及其他人员配备情况表</w:t>
      </w:r>
    </w:p>
    <w:p w14:paraId="0C63C2AA">
      <w:pPr>
        <w:pStyle w:val="9"/>
        <w:adjustRightInd w:val="0"/>
        <w:snapToGrid w:val="0"/>
        <w:spacing w:line="360" w:lineRule="auto"/>
        <w:ind w:firstLine="480" w:firstLineChars="200"/>
        <w:jc w:val="left"/>
        <w:rPr>
          <w:rFonts w:hAnsi="宋体" w:eastAsia="宋体" w:cs="宋体"/>
          <w:sz w:val="24"/>
          <w:szCs w:val="24"/>
        </w:rPr>
      </w:pPr>
      <w:r>
        <w:rPr>
          <w:rFonts w:hint="eastAsia" w:hAnsi="宋体" w:eastAsia="宋体" w:cs="宋体"/>
          <w:sz w:val="24"/>
          <w:szCs w:val="24"/>
        </w:rPr>
        <w:t>6.承诺书</w:t>
      </w:r>
    </w:p>
    <w:p w14:paraId="5D166D5E">
      <w:pPr>
        <w:rPr>
          <w:rFonts w:hint="eastAsia" w:hAnsi="宋体" w:eastAsia="宋体" w:cs="宋体"/>
          <w:sz w:val="24"/>
          <w:szCs w:val="24"/>
        </w:rPr>
      </w:pPr>
      <w:r>
        <w:rPr>
          <w:rFonts w:hint="eastAsia" w:hAnsi="宋体" w:eastAsia="宋体" w:cs="宋体"/>
          <w:sz w:val="24"/>
          <w:szCs w:val="24"/>
        </w:rPr>
        <w:br w:type="page"/>
      </w:r>
    </w:p>
    <w:p w14:paraId="2EA918BB">
      <w:pPr>
        <w:pStyle w:val="9"/>
        <w:spacing w:line="360" w:lineRule="auto"/>
        <w:jc w:val="left"/>
        <w:rPr>
          <w:rFonts w:hAnsi="宋体" w:eastAsia="宋体" w:cs="宋体"/>
          <w:sz w:val="24"/>
          <w:szCs w:val="24"/>
        </w:rPr>
      </w:pPr>
      <w:r>
        <w:rPr>
          <w:rFonts w:hint="eastAsia" w:hAnsi="宋体" w:eastAsia="宋体" w:cs="宋体"/>
          <w:sz w:val="24"/>
          <w:szCs w:val="24"/>
        </w:rPr>
        <w:t>附件一</w:t>
      </w:r>
    </w:p>
    <w:p w14:paraId="4B836676">
      <w:pPr>
        <w:spacing w:line="360" w:lineRule="auto"/>
        <w:jc w:val="center"/>
        <w:rPr>
          <w:rFonts w:ascii="宋体" w:hAnsi="宋体" w:cs="宋体"/>
          <w:b/>
          <w:bCs/>
          <w:sz w:val="28"/>
          <w:szCs w:val="28"/>
        </w:rPr>
      </w:pPr>
      <w:r>
        <w:rPr>
          <w:rFonts w:hint="eastAsia" w:ascii="宋体" w:hAnsi="宋体" w:cs="宋体"/>
          <w:b/>
          <w:bCs/>
          <w:sz w:val="28"/>
          <w:szCs w:val="28"/>
        </w:rPr>
        <w:t>资格性和符合性审查表</w:t>
      </w:r>
    </w:p>
    <w:p w14:paraId="037665B9">
      <w:pPr>
        <w:spacing w:line="360" w:lineRule="auto"/>
        <w:jc w:val="left"/>
        <w:rPr>
          <w:rFonts w:hint="default" w:ascii="宋体" w:hAnsi="宋体" w:cs="宋体"/>
          <w:sz w:val="28"/>
          <w:szCs w:val="28"/>
          <w:lang w:val="en-US"/>
        </w:rPr>
      </w:pPr>
      <w:r>
        <w:rPr>
          <w:rFonts w:hint="eastAsia" w:ascii="宋体" w:hAnsi="宋体" w:cs="宋体"/>
          <w:szCs w:val="21"/>
        </w:rPr>
        <w:t>项目名称：</w:t>
      </w:r>
      <w:r>
        <w:rPr>
          <w:rFonts w:hint="eastAsia" w:ascii="宋体" w:hAnsi="宋体" w:cs="宋体"/>
          <w:b w:val="0"/>
          <w:bCs w:val="0"/>
          <w:color w:val="000000"/>
          <w:sz w:val="21"/>
          <w:szCs w:val="21"/>
          <w:u w:val="single"/>
          <w:lang w:eastAsia="zh-CN"/>
        </w:rPr>
        <w:t>西湾和苑安置房修缮工程服务</w:t>
      </w:r>
    </w:p>
    <w:tbl>
      <w:tblPr>
        <w:tblStyle w:val="19"/>
        <w:tblW w:w="95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5750"/>
        <w:gridCol w:w="1114"/>
        <w:gridCol w:w="1143"/>
        <w:gridCol w:w="929"/>
      </w:tblGrid>
      <w:tr w14:paraId="2C7FC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11" w:type="dxa"/>
            <w:vAlign w:val="center"/>
          </w:tcPr>
          <w:p w14:paraId="7AFB3D2F">
            <w:pPr>
              <w:pStyle w:val="9"/>
              <w:jc w:val="center"/>
              <w:rPr>
                <w:rFonts w:hAnsi="宋体" w:eastAsia="宋体" w:cs="宋体"/>
                <w:sz w:val="24"/>
                <w:szCs w:val="24"/>
              </w:rPr>
            </w:pPr>
            <w:r>
              <w:rPr>
                <w:rFonts w:hint="eastAsia" w:hAnsi="宋体" w:eastAsia="宋体" w:cs="宋体"/>
                <w:sz w:val="24"/>
                <w:szCs w:val="24"/>
              </w:rPr>
              <w:t>序号</w:t>
            </w:r>
          </w:p>
        </w:tc>
        <w:tc>
          <w:tcPr>
            <w:tcW w:w="5750" w:type="dxa"/>
            <w:vAlign w:val="center"/>
          </w:tcPr>
          <w:p w14:paraId="2DB84934">
            <w:pPr>
              <w:pStyle w:val="9"/>
              <w:jc w:val="center"/>
              <w:rPr>
                <w:rFonts w:hAnsi="宋体" w:eastAsia="宋体" w:cs="宋体"/>
                <w:sz w:val="24"/>
                <w:szCs w:val="24"/>
              </w:rPr>
            </w:pPr>
            <w:r>
              <w:rPr>
                <w:rFonts w:hint="eastAsia" w:hAnsi="宋体" w:eastAsia="宋体" w:cs="宋体"/>
                <w:sz w:val="24"/>
                <w:szCs w:val="24"/>
              </w:rPr>
              <w:t>审查内容</w:t>
            </w:r>
          </w:p>
        </w:tc>
        <w:tc>
          <w:tcPr>
            <w:tcW w:w="1114" w:type="dxa"/>
            <w:vAlign w:val="center"/>
          </w:tcPr>
          <w:p w14:paraId="5AE6AA27">
            <w:pPr>
              <w:pStyle w:val="9"/>
              <w:jc w:val="center"/>
              <w:rPr>
                <w:rFonts w:hAnsi="宋体" w:eastAsia="宋体" w:cs="宋体"/>
                <w:sz w:val="24"/>
                <w:szCs w:val="24"/>
              </w:rPr>
            </w:pPr>
            <w:r>
              <w:rPr>
                <w:rFonts w:hint="eastAsia" w:hAnsi="宋体" w:eastAsia="宋体" w:cs="宋体"/>
                <w:sz w:val="24"/>
                <w:szCs w:val="24"/>
              </w:rPr>
              <w:t>报价人1</w:t>
            </w:r>
          </w:p>
        </w:tc>
        <w:tc>
          <w:tcPr>
            <w:tcW w:w="1143" w:type="dxa"/>
            <w:vAlign w:val="center"/>
          </w:tcPr>
          <w:p w14:paraId="20A360AC">
            <w:pPr>
              <w:pStyle w:val="9"/>
              <w:jc w:val="center"/>
              <w:rPr>
                <w:rFonts w:hAnsi="宋体" w:eastAsia="宋体" w:cs="宋体"/>
                <w:sz w:val="24"/>
                <w:szCs w:val="24"/>
              </w:rPr>
            </w:pPr>
            <w:r>
              <w:rPr>
                <w:rFonts w:hint="eastAsia" w:hAnsi="宋体" w:eastAsia="宋体" w:cs="宋体"/>
                <w:sz w:val="24"/>
                <w:szCs w:val="24"/>
              </w:rPr>
              <w:t>报价人2</w:t>
            </w:r>
          </w:p>
        </w:tc>
        <w:tc>
          <w:tcPr>
            <w:tcW w:w="929" w:type="dxa"/>
            <w:vAlign w:val="center"/>
          </w:tcPr>
          <w:p w14:paraId="21F55FB3">
            <w:pPr>
              <w:pStyle w:val="9"/>
              <w:jc w:val="center"/>
              <w:rPr>
                <w:rFonts w:hAnsi="宋体" w:eastAsia="宋体" w:cs="宋体"/>
                <w:sz w:val="24"/>
                <w:szCs w:val="24"/>
              </w:rPr>
            </w:pPr>
            <w:r>
              <w:rPr>
                <w:rFonts w:hint="eastAsia" w:hAnsi="宋体" w:eastAsia="宋体" w:cs="宋体"/>
                <w:sz w:val="24"/>
                <w:szCs w:val="24"/>
              </w:rPr>
              <w:t>.....</w:t>
            </w:r>
          </w:p>
        </w:tc>
      </w:tr>
      <w:tr w14:paraId="568AD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611" w:type="dxa"/>
            <w:vAlign w:val="center"/>
          </w:tcPr>
          <w:p w14:paraId="6AD07943">
            <w:pPr>
              <w:pStyle w:val="9"/>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5750" w:type="dxa"/>
            <w:vAlign w:val="center"/>
          </w:tcPr>
          <w:p w14:paraId="23465493">
            <w:pPr>
              <w:pStyle w:val="9"/>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报价人具有独立法人资格，持有</w:t>
            </w:r>
            <w:r>
              <w:rPr>
                <w:rFonts w:hint="eastAsia" w:ascii="宋体" w:hAnsi="宋体" w:eastAsia="宋体" w:cs="宋体"/>
                <w:sz w:val="21"/>
                <w:szCs w:val="21"/>
                <w:lang w:val="en-US" w:eastAsia="zh-CN"/>
              </w:rPr>
              <w:t>市场监督（</w:t>
            </w:r>
            <w:r>
              <w:rPr>
                <w:rFonts w:hint="eastAsia" w:ascii="宋体" w:hAnsi="宋体" w:eastAsia="宋体" w:cs="宋体"/>
                <w:sz w:val="21"/>
                <w:szCs w:val="21"/>
              </w:rPr>
              <w:t>工商行政</w:t>
            </w:r>
            <w:r>
              <w:rPr>
                <w:rFonts w:hint="eastAsia" w:ascii="宋体" w:hAnsi="宋体" w:eastAsia="宋体" w:cs="宋体"/>
                <w:sz w:val="21"/>
                <w:szCs w:val="21"/>
                <w:lang w:eastAsia="zh-CN"/>
              </w:rPr>
              <w:t>）</w:t>
            </w:r>
            <w:r>
              <w:rPr>
                <w:rFonts w:hint="eastAsia" w:ascii="宋体" w:hAnsi="宋体" w:eastAsia="宋体" w:cs="宋体"/>
                <w:sz w:val="21"/>
                <w:szCs w:val="21"/>
              </w:rPr>
              <w:t>管理部门核发的法人营业执照或各级登记管理机关颁发的事业单位法人证书，按国家法律经营。</w:t>
            </w:r>
          </w:p>
        </w:tc>
        <w:tc>
          <w:tcPr>
            <w:tcW w:w="1114" w:type="dxa"/>
          </w:tcPr>
          <w:p w14:paraId="1BA8922D">
            <w:pPr>
              <w:pStyle w:val="9"/>
              <w:jc w:val="center"/>
              <w:rPr>
                <w:rFonts w:hAnsi="宋体" w:eastAsia="宋体" w:cs="宋体"/>
                <w:sz w:val="24"/>
                <w:szCs w:val="24"/>
              </w:rPr>
            </w:pPr>
          </w:p>
        </w:tc>
        <w:tc>
          <w:tcPr>
            <w:tcW w:w="1143" w:type="dxa"/>
          </w:tcPr>
          <w:p w14:paraId="6A9AE688">
            <w:pPr>
              <w:pStyle w:val="9"/>
              <w:jc w:val="center"/>
              <w:rPr>
                <w:rFonts w:hAnsi="宋体" w:eastAsia="宋体" w:cs="宋体"/>
                <w:sz w:val="24"/>
                <w:szCs w:val="24"/>
              </w:rPr>
            </w:pPr>
          </w:p>
        </w:tc>
        <w:tc>
          <w:tcPr>
            <w:tcW w:w="929" w:type="dxa"/>
          </w:tcPr>
          <w:p w14:paraId="1AD7D0FA">
            <w:pPr>
              <w:pStyle w:val="9"/>
              <w:jc w:val="center"/>
              <w:rPr>
                <w:rFonts w:hAnsi="宋体" w:eastAsia="宋体" w:cs="宋体"/>
                <w:sz w:val="24"/>
                <w:szCs w:val="24"/>
              </w:rPr>
            </w:pPr>
          </w:p>
        </w:tc>
      </w:tr>
      <w:tr w14:paraId="0BA2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11" w:type="dxa"/>
            <w:vAlign w:val="center"/>
          </w:tcPr>
          <w:p w14:paraId="764D8481">
            <w:pPr>
              <w:pStyle w:val="9"/>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w:t>
            </w:r>
          </w:p>
        </w:tc>
        <w:tc>
          <w:tcPr>
            <w:tcW w:w="5750" w:type="dxa"/>
            <w:vAlign w:val="center"/>
          </w:tcPr>
          <w:p w14:paraId="5239EC86">
            <w:pP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lang w:bidi="ar"/>
              </w:rPr>
              <w:t>报价人具有建筑工程施工总承包三级或以上资质</w:t>
            </w:r>
            <w:r>
              <w:rPr>
                <w:rFonts w:hint="eastAsia" w:ascii="宋体" w:hAnsi="宋体" w:eastAsia="宋体" w:cs="宋体"/>
                <w:color w:val="FF0000"/>
                <w:sz w:val="21"/>
                <w:szCs w:val="21"/>
                <w:lang w:bidi="ar"/>
              </w:rPr>
              <w:t>。</w:t>
            </w:r>
          </w:p>
        </w:tc>
        <w:tc>
          <w:tcPr>
            <w:tcW w:w="1114" w:type="dxa"/>
          </w:tcPr>
          <w:p w14:paraId="4147EE43">
            <w:pPr>
              <w:pStyle w:val="9"/>
              <w:jc w:val="center"/>
              <w:rPr>
                <w:rFonts w:hAnsi="宋体" w:eastAsia="宋体" w:cs="宋体"/>
                <w:sz w:val="24"/>
                <w:szCs w:val="24"/>
              </w:rPr>
            </w:pPr>
          </w:p>
        </w:tc>
        <w:tc>
          <w:tcPr>
            <w:tcW w:w="1143" w:type="dxa"/>
          </w:tcPr>
          <w:p w14:paraId="0206ECB8">
            <w:pPr>
              <w:pStyle w:val="9"/>
              <w:jc w:val="center"/>
              <w:rPr>
                <w:rFonts w:hAnsi="宋体" w:eastAsia="宋体" w:cs="宋体"/>
                <w:sz w:val="24"/>
                <w:szCs w:val="24"/>
              </w:rPr>
            </w:pPr>
          </w:p>
        </w:tc>
        <w:tc>
          <w:tcPr>
            <w:tcW w:w="929" w:type="dxa"/>
          </w:tcPr>
          <w:p w14:paraId="4C99FD31">
            <w:pPr>
              <w:pStyle w:val="9"/>
              <w:jc w:val="center"/>
              <w:rPr>
                <w:rFonts w:hAnsi="宋体" w:eastAsia="宋体" w:cs="宋体"/>
                <w:sz w:val="24"/>
                <w:szCs w:val="24"/>
              </w:rPr>
            </w:pPr>
          </w:p>
        </w:tc>
      </w:tr>
      <w:tr w14:paraId="5F9C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611" w:type="dxa"/>
            <w:vAlign w:val="center"/>
          </w:tcPr>
          <w:p w14:paraId="0DE34AB5">
            <w:pPr>
              <w:pStyle w:val="9"/>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3</w:t>
            </w:r>
          </w:p>
        </w:tc>
        <w:tc>
          <w:tcPr>
            <w:tcW w:w="5750" w:type="dxa"/>
            <w:vAlign w:val="center"/>
          </w:tcPr>
          <w:p w14:paraId="0CE04EA0">
            <w:pPr>
              <w:pStyle w:val="9"/>
              <w:spacing w:line="24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rPr>
              <w:t>报价人拟派项目负责人为建筑工程专业二级或以上级别的注册建造师；并须具有在有效期内的安全考核合格证书（B类），或能够提供广东省建筑施工企业管理人员安全生产考核信息系统安全生产管理人员证书信息的打印页。注：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tc>
        <w:tc>
          <w:tcPr>
            <w:tcW w:w="1114" w:type="dxa"/>
          </w:tcPr>
          <w:p w14:paraId="539899B3">
            <w:pPr>
              <w:pStyle w:val="9"/>
              <w:jc w:val="center"/>
              <w:rPr>
                <w:rFonts w:hAnsi="宋体" w:eastAsia="宋体" w:cs="宋体"/>
                <w:sz w:val="24"/>
                <w:szCs w:val="24"/>
              </w:rPr>
            </w:pPr>
          </w:p>
        </w:tc>
        <w:tc>
          <w:tcPr>
            <w:tcW w:w="1143" w:type="dxa"/>
          </w:tcPr>
          <w:p w14:paraId="53E4C708">
            <w:pPr>
              <w:pStyle w:val="9"/>
              <w:jc w:val="center"/>
              <w:rPr>
                <w:rFonts w:hAnsi="宋体" w:eastAsia="宋体" w:cs="宋体"/>
                <w:sz w:val="24"/>
                <w:szCs w:val="24"/>
              </w:rPr>
            </w:pPr>
          </w:p>
        </w:tc>
        <w:tc>
          <w:tcPr>
            <w:tcW w:w="929" w:type="dxa"/>
          </w:tcPr>
          <w:p w14:paraId="29524A55">
            <w:pPr>
              <w:pStyle w:val="9"/>
              <w:jc w:val="center"/>
              <w:rPr>
                <w:rFonts w:hAnsi="宋体" w:eastAsia="宋体" w:cs="宋体"/>
                <w:sz w:val="24"/>
                <w:szCs w:val="24"/>
              </w:rPr>
            </w:pPr>
          </w:p>
        </w:tc>
      </w:tr>
      <w:tr w14:paraId="348D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611" w:type="dxa"/>
            <w:vAlign w:val="center"/>
          </w:tcPr>
          <w:p w14:paraId="74740E11">
            <w:pPr>
              <w:pStyle w:val="9"/>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w:t>
            </w:r>
          </w:p>
        </w:tc>
        <w:tc>
          <w:tcPr>
            <w:tcW w:w="5750" w:type="dxa"/>
            <w:shd w:val="clear" w:color="auto" w:fill="auto"/>
            <w:vAlign w:val="center"/>
          </w:tcPr>
          <w:p w14:paraId="327DED0A">
            <w:pPr>
              <w:pStyle w:val="9"/>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报价人拟派专职安全人员须具有安全生产考核合格证（C类），或能够提供广东省建筑施工企业管理人员安全生产考核信息系统安全生产管理人员证书信息的打印页。</w:t>
            </w:r>
          </w:p>
        </w:tc>
        <w:tc>
          <w:tcPr>
            <w:tcW w:w="1114" w:type="dxa"/>
          </w:tcPr>
          <w:p w14:paraId="579178A1">
            <w:pPr>
              <w:pStyle w:val="9"/>
              <w:spacing w:line="360" w:lineRule="auto"/>
              <w:rPr>
                <w:rFonts w:hAnsi="宋体" w:eastAsia="宋体" w:cs="宋体"/>
                <w:sz w:val="24"/>
                <w:szCs w:val="24"/>
              </w:rPr>
            </w:pPr>
          </w:p>
        </w:tc>
        <w:tc>
          <w:tcPr>
            <w:tcW w:w="1143" w:type="dxa"/>
          </w:tcPr>
          <w:p w14:paraId="3BB94613">
            <w:pPr>
              <w:pStyle w:val="9"/>
              <w:spacing w:line="360" w:lineRule="auto"/>
              <w:rPr>
                <w:rFonts w:hAnsi="宋体" w:eastAsia="宋体" w:cs="宋体"/>
                <w:sz w:val="24"/>
                <w:szCs w:val="24"/>
              </w:rPr>
            </w:pPr>
          </w:p>
        </w:tc>
        <w:tc>
          <w:tcPr>
            <w:tcW w:w="929" w:type="dxa"/>
          </w:tcPr>
          <w:p w14:paraId="5AC21FA0">
            <w:pPr>
              <w:pStyle w:val="9"/>
              <w:spacing w:line="360" w:lineRule="auto"/>
              <w:rPr>
                <w:rFonts w:hAnsi="宋体" w:eastAsia="宋体" w:cs="宋体"/>
                <w:sz w:val="24"/>
                <w:szCs w:val="24"/>
              </w:rPr>
            </w:pPr>
          </w:p>
        </w:tc>
      </w:tr>
      <w:tr w14:paraId="5F818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11" w:type="dxa"/>
            <w:vAlign w:val="center"/>
          </w:tcPr>
          <w:p w14:paraId="407A5978">
            <w:pPr>
              <w:pStyle w:val="9"/>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5</w:t>
            </w:r>
          </w:p>
        </w:tc>
        <w:tc>
          <w:tcPr>
            <w:tcW w:w="5750" w:type="dxa"/>
            <w:shd w:val="clear" w:color="auto" w:fill="auto"/>
            <w:vAlign w:val="center"/>
          </w:tcPr>
          <w:p w14:paraId="28D4CCB2">
            <w:pPr>
              <w:pStyle w:val="9"/>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报价人为广东政府采购智慧云平台的</w:t>
            </w:r>
            <w:r>
              <w:rPr>
                <w:rFonts w:hint="eastAsia" w:hAnsi="宋体" w:eastAsia="宋体" w:cs="宋体"/>
                <w:sz w:val="21"/>
                <w:szCs w:val="21"/>
                <w:lang w:eastAsia="zh-CN"/>
              </w:rPr>
              <w:t>定点</w:t>
            </w:r>
            <w:r>
              <w:rPr>
                <w:rFonts w:hint="eastAsia" w:ascii="宋体" w:hAnsi="宋体" w:eastAsia="宋体" w:cs="宋体"/>
                <w:sz w:val="21"/>
                <w:szCs w:val="21"/>
              </w:rPr>
              <w:t>供应商，提供</w:t>
            </w:r>
            <w:r>
              <w:rPr>
                <w:rFonts w:hint="eastAsia" w:hAnsi="宋体" w:eastAsia="宋体" w:cs="宋体"/>
                <w:sz w:val="21"/>
                <w:szCs w:val="21"/>
                <w:lang w:eastAsia="zh-CN"/>
              </w:rPr>
              <w:t>截图</w:t>
            </w:r>
            <w:r>
              <w:rPr>
                <w:rFonts w:hint="eastAsia" w:ascii="宋体" w:hAnsi="宋体" w:eastAsia="宋体" w:cs="宋体"/>
                <w:sz w:val="21"/>
                <w:szCs w:val="21"/>
              </w:rPr>
              <w:t>证明。</w:t>
            </w:r>
          </w:p>
        </w:tc>
        <w:tc>
          <w:tcPr>
            <w:tcW w:w="1114" w:type="dxa"/>
          </w:tcPr>
          <w:p w14:paraId="3787FB0A">
            <w:pPr>
              <w:pStyle w:val="9"/>
              <w:spacing w:line="360" w:lineRule="auto"/>
              <w:rPr>
                <w:rFonts w:hAnsi="宋体" w:eastAsia="宋体" w:cs="宋体"/>
                <w:sz w:val="24"/>
                <w:szCs w:val="24"/>
              </w:rPr>
            </w:pPr>
          </w:p>
        </w:tc>
        <w:tc>
          <w:tcPr>
            <w:tcW w:w="1143" w:type="dxa"/>
          </w:tcPr>
          <w:p w14:paraId="5A017BFB">
            <w:pPr>
              <w:pStyle w:val="9"/>
              <w:spacing w:line="360" w:lineRule="auto"/>
              <w:rPr>
                <w:rFonts w:hAnsi="宋体" w:eastAsia="宋体" w:cs="宋体"/>
                <w:sz w:val="24"/>
                <w:szCs w:val="24"/>
              </w:rPr>
            </w:pPr>
          </w:p>
        </w:tc>
        <w:tc>
          <w:tcPr>
            <w:tcW w:w="929" w:type="dxa"/>
          </w:tcPr>
          <w:p w14:paraId="453405AB">
            <w:pPr>
              <w:pStyle w:val="9"/>
              <w:spacing w:line="360" w:lineRule="auto"/>
              <w:rPr>
                <w:rFonts w:hAnsi="宋体" w:eastAsia="宋体" w:cs="宋体"/>
                <w:sz w:val="24"/>
                <w:szCs w:val="24"/>
              </w:rPr>
            </w:pPr>
          </w:p>
        </w:tc>
      </w:tr>
      <w:tr w14:paraId="2937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11" w:type="dxa"/>
            <w:vAlign w:val="center"/>
          </w:tcPr>
          <w:p w14:paraId="4750B077">
            <w:pPr>
              <w:pStyle w:val="9"/>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6</w:t>
            </w:r>
          </w:p>
        </w:tc>
        <w:tc>
          <w:tcPr>
            <w:tcW w:w="5750" w:type="dxa"/>
            <w:shd w:val="clear" w:color="auto" w:fill="auto"/>
            <w:vAlign w:val="center"/>
          </w:tcPr>
          <w:p w14:paraId="208B1D3E">
            <w:pPr>
              <w:pStyle w:val="9"/>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报价人未被“信用中国”（www.creditchina.gov.cn)、中国政府采购网（www.ccgp.gov.cn）列入失信被执行人、重大税收违法失信主体或政府采购严重违法失信行为记录名单。提供网页截图等证明材料。</w:t>
            </w:r>
          </w:p>
        </w:tc>
        <w:tc>
          <w:tcPr>
            <w:tcW w:w="1114" w:type="dxa"/>
          </w:tcPr>
          <w:p w14:paraId="6E275017">
            <w:pPr>
              <w:pStyle w:val="9"/>
              <w:spacing w:line="360" w:lineRule="auto"/>
              <w:rPr>
                <w:rFonts w:hAnsi="宋体" w:eastAsia="宋体" w:cs="宋体"/>
                <w:sz w:val="24"/>
                <w:szCs w:val="24"/>
              </w:rPr>
            </w:pPr>
          </w:p>
        </w:tc>
        <w:tc>
          <w:tcPr>
            <w:tcW w:w="1143" w:type="dxa"/>
          </w:tcPr>
          <w:p w14:paraId="792734A9">
            <w:pPr>
              <w:pStyle w:val="9"/>
              <w:spacing w:line="360" w:lineRule="auto"/>
              <w:rPr>
                <w:rFonts w:hAnsi="宋体" w:eastAsia="宋体" w:cs="宋体"/>
                <w:sz w:val="24"/>
                <w:szCs w:val="24"/>
              </w:rPr>
            </w:pPr>
          </w:p>
        </w:tc>
        <w:tc>
          <w:tcPr>
            <w:tcW w:w="929" w:type="dxa"/>
          </w:tcPr>
          <w:p w14:paraId="7A932B15">
            <w:pPr>
              <w:pStyle w:val="9"/>
              <w:spacing w:line="360" w:lineRule="auto"/>
              <w:rPr>
                <w:rFonts w:hAnsi="宋体" w:eastAsia="宋体" w:cs="宋体"/>
                <w:sz w:val="24"/>
                <w:szCs w:val="24"/>
              </w:rPr>
            </w:pPr>
          </w:p>
        </w:tc>
      </w:tr>
      <w:tr w14:paraId="7361C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11" w:type="dxa"/>
            <w:vAlign w:val="center"/>
          </w:tcPr>
          <w:p w14:paraId="5A985385">
            <w:pPr>
              <w:pStyle w:val="9"/>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7</w:t>
            </w:r>
          </w:p>
        </w:tc>
        <w:tc>
          <w:tcPr>
            <w:tcW w:w="5750" w:type="dxa"/>
            <w:shd w:val="clear" w:color="auto" w:fill="auto"/>
            <w:vAlign w:val="center"/>
          </w:tcPr>
          <w:p w14:paraId="46C266D4">
            <w:pPr>
              <w:pStyle w:val="9"/>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本项目不接受联合体的报价。</w:t>
            </w:r>
          </w:p>
        </w:tc>
        <w:tc>
          <w:tcPr>
            <w:tcW w:w="1114" w:type="dxa"/>
          </w:tcPr>
          <w:p w14:paraId="6CA217D1">
            <w:pPr>
              <w:pStyle w:val="9"/>
              <w:spacing w:line="360" w:lineRule="auto"/>
              <w:rPr>
                <w:rFonts w:hAnsi="宋体" w:eastAsia="宋体" w:cs="宋体"/>
                <w:sz w:val="24"/>
                <w:szCs w:val="24"/>
              </w:rPr>
            </w:pPr>
          </w:p>
        </w:tc>
        <w:tc>
          <w:tcPr>
            <w:tcW w:w="1143" w:type="dxa"/>
          </w:tcPr>
          <w:p w14:paraId="31A8A0F4">
            <w:pPr>
              <w:pStyle w:val="9"/>
              <w:spacing w:line="360" w:lineRule="auto"/>
              <w:rPr>
                <w:rFonts w:hAnsi="宋体" w:eastAsia="宋体" w:cs="宋体"/>
                <w:sz w:val="24"/>
                <w:szCs w:val="24"/>
              </w:rPr>
            </w:pPr>
          </w:p>
        </w:tc>
        <w:tc>
          <w:tcPr>
            <w:tcW w:w="929" w:type="dxa"/>
          </w:tcPr>
          <w:p w14:paraId="020128A4">
            <w:pPr>
              <w:pStyle w:val="9"/>
              <w:spacing w:line="360" w:lineRule="auto"/>
              <w:rPr>
                <w:rFonts w:hAnsi="宋体" w:eastAsia="宋体" w:cs="宋体"/>
                <w:sz w:val="24"/>
                <w:szCs w:val="24"/>
              </w:rPr>
            </w:pPr>
          </w:p>
        </w:tc>
      </w:tr>
      <w:tr w14:paraId="0CC6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11" w:type="dxa"/>
            <w:vAlign w:val="center"/>
          </w:tcPr>
          <w:p w14:paraId="538339D4">
            <w:pPr>
              <w:pStyle w:val="9"/>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8</w:t>
            </w:r>
          </w:p>
        </w:tc>
        <w:tc>
          <w:tcPr>
            <w:tcW w:w="5750" w:type="dxa"/>
            <w:shd w:val="clear" w:color="auto" w:fill="auto"/>
            <w:vAlign w:val="center"/>
          </w:tcPr>
          <w:p w14:paraId="6815F8DF">
            <w:pPr>
              <w:pStyle w:val="9"/>
              <w:spacing w:line="240"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rPr>
              <w:t>报价总金额是固定价且是唯一的，未超过本项目最高报价限价</w:t>
            </w:r>
            <w:r>
              <w:rPr>
                <w:rFonts w:hint="eastAsia" w:ascii="宋体" w:hAnsi="宋体" w:eastAsia="宋体" w:cs="宋体"/>
                <w:sz w:val="21"/>
                <w:szCs w:val="21"/>
                <w:lang w:eastAsia="zh-CN"/>
              </w:rPr>
              <w:t>。有效报价下浮率为</w:t>
            </w:r>
            <w:r>
              <w:rPr>
                <w:rFonts w:hint="eastAsia" w:ascii="宋体" w:hAnsi="宋体" w:eastAsia="宋体" w:cs="宋体"/>
                <w:sz w:val="21"/>
                <w:szCs w:val="21"/>
                <w:lang w:val="en-US" w:eastAsia="zh-CN"/>
              </w:rPr>
              <w:t>0</w:t>
            </w:r>
            <w:r>
              <w:rPr>
                <w:rFonts w:hint="eastAsia" w:hAnsi="宋体" w:eastAsia="宋体" w:cs="宋体"/>
                <w:sz w:val="21"/>
                <w:szCs w:val="21"/>
                <w:lang w:val="en-US" w:eastAsia="zh-CN"/>
              </w:rPr>
              <w:t>.00%</w:t>
            </w:r>
            <w:r>
              <w:rPr>
                <w:rFonts w:hint="eastAsia" w:ascii="宋体" w:hAnsi="宋体" w:eastAsia="宋体" w:cs="宋体"/>
                <w:sz w:val="21"/>
                <w:szCs w:val="21"/>
                <w:lang w:val="en-US" w:eastAsia="zh-CN"/>
              </w:rPr>
              <w:t>-</w:t>
            </w:r>
            <w:r>
              <w:rPr>
                <w:rFonts w:hint="eastAsia" w:hAnsi="宋体" w:eastAsia="宋体" w:cs="宋体"/>
                <w:sz w:val="21"/>
                <w:szCs w:val="21"/>
                <w:lang w:val="en-US" w:eastAsia="zh-CN"/>
              </w:rPr>
              <w:t>10.00</w:t>
            </w:r>
            <w:r>
              <w:rPr>
                <w:rFonts w:hint="eastAsia" w:ascii="宋体" w:hAnsi="宋体" w:eastAsia="宋体" w:cs="宋体"/>
                <w:sz w:val="21"/>
                <w:szCs w:val="21"/>
                <w:lang w:val="en-US" w:eastAsia="zh-CN"/>
              </w:rPr>
              <w:t>%。</w:t>
            </w:r>
          </w:p>
        </w:tc>
        <w:tc>
          <w:tcPr>
            <w:tcW w:w="1114" w:type="dxa"/>
          </w:tcPr>
          <w:p w14:paraId="3E5DBFBF">
            <w:pPr>
              <w:pStyle w:val="9"/>
              <w:spacing w:line="360" w:lineRule="auto"/>
              <w:rPr>
                <w:rFonts w:hAnsi="宋体" w:eastAsia="宋体" w:cs="宋体"/>
                <w:sz w:val="24"/>
                <w:szCs w:val="24"/>
              </w:rPr>
            </w:pPr>
          </w:p>
        </w:tc>
        <w:tc>
          <w:tcPr>
            <w:tcW w:w="1143" w:type="dxa"/>
          </w:tcPr>
          <w:p w14:paraId="21F6730F">
            <w:pPr>
              <w:pStyle w:val="9"/>
              <w:spacing w:line="360" w:lineRule="auto"/>
              <w:rPr>
                <w:rFonts w:hAnsi="宋体" w:eastAsia="宋体" w:cs="宋体"/>
                <w:sz w:val="24"/>
                <w:szCs w:val="24"/>
              </w:rPr>
            </w:pPr>
          </w:p>
        </w:tc>
        <w:tc>
          <w:tcPr>
            <w:tcW w:w="929" w:type="dxa"/>
          </w:tcPr>
          <w:p w14:paraId="3DE5FF09">
            <w:pPr>
              <w:pStyle w:val="9"/>
              <w:spacing w:line="360" w:lineRule="auto"/>
              <w:rPr>
                <w:rFonts w:hAnsi="宋体" w:eastAsia="宋体" w:cs="宋体"/>
                <w:sz w:val="24"/>
                <w:szCs w:val="24"/>
              </w:rPr>
            </w:pPr>
          </w:p>
        </w:tc>
      </w:tr>
      <w:tr w14:paraId="678F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11" w:type="dxa"/>
            <w:vAlign w:val="center"/>
          </w:tcPr>
          <w:p w14:paraId="2D983A4F">
            <w:pPr>
              <w:pStyle w:val="9"/>
              <w:jc w:val="center"/>
              <w:rPr>
                <w:rFonts w:hint="eastAsia" w:ascii="宋体" w:hAnsi="宋体" w:eastAsia="宋体" w:cs="宋体"/>
                <w:color w:val="000000"/>
                <w:kern w:val="2"/>
                <w:sz w:val="21"/>
                <w:szCs w:val="21"/>
                <w:lang w:val="en-US" w:eastAsia="zh-CN" w:bidi="ar-SA"/>
              </w:rPr>
            </w:pPr>
            <w:r>
              <w:rPr>
                <w:rFonts w:hint="eastAsia" w:hAnsi="宋体" w:eastAsia="宋体" w:cs="宋体"/>
                <w:color w:val="000000"/>
                <w:kern w:val="2"/>
                <w:sz w:val="21"/>
                <w:szCs w:val="21"/>
                <w:lang w:val="en-US" w:eastAsia="zh-CN" w:bidi="ar-SA"/>
              </w:rPr>
              <w:t>9</w:t>
            </w:r>
          </w:p>
        </w:tc>
        <w:tc>
          <w:tcPr>
            <w:tcW w:w="5750" w:type="dxa"/>
            <w:shd w:val="clear" w:color="auto" w:fill="auto"/>
            <w:vAlign w:val="center"/>
          </w:tcPr>
          <w:p w14:paraId="440CE0D5">
            <w:pPr>
              <w:pStyle w:val="9"/>
              <w:spacing w:line="240" w:lineRule="auto"/>
              <w:jc w:val="left"/>
              <w:rPr>
                <w:rFonts w:hint="default" w:ascii="宋体" w:hAnsi="宋体" w:eastAsia="宋体" w:cs="宋体"/>
                <w:kern w:val="2"/>
                <w:sz w:val="21"/>
                <w:szCs w:val="21"/>
                <w:lang w:val="en-US" w:eastAsia="zh-CN" w:bidi="ar-SA"/>
              </w:rPr>
            </w:pPr>
            <w:r>
              <w:rPr>
                <w:rFonts w:hint="eastAsia" w:ascii="宋体" w:hAnsi="宋体" w:eastAsia="宋体" w:cs="宋体"/>
                <w:sz w:val="21"/>
                <w:szCs w:val="21"/>
              </w:rPr>
              <w:t>报价文件按询比文件的要求编制、签署及盖章。</w:t>
            </w:r>
          </w:p>
        </w:tc>
        <w:tc>
          <w:tcPr>
            <w:tcW w:w="1114" w:type="dxa"/>
          </w:tcPr>
          <w:p w14:paraId="171B0189">
            <w:pPr>
              <w:pStyle w:val="9"/>
              <w:spacing w:line="360" w:lineRule="auto"/>
              <w:rPr>
                <w:rFonts w:hAnsi="宋体" w:eastAsia="宋体" w:cs="宋体"/>
                <w:sz w:val="24"/>
                <w:szCs w:val="24"/>
              </w:rPr>
            </w:pPr>
          </w:p>
        </w:tc>
        <w:tc>
          <w:tcPr>
            <w:tcW w:w="1143" w:type="dxa"/>
          </w:tcPr>
          <w:p w14:paraId="2945AA3C">
            <w:pPr>
              <w:pStyle w:val="9"/>
              <w:spacing w:line="360" w:lineRule="auto"/>
              <w:rPr>
                <w:rFonts w:hAnsi="宋体" w:eastAsia="宋体" w:cs="宋体"/>
                <w:sz w:val="24"/>
                <w:szCs w:val="24"/>
              </w:rPr>
            </w:pPr>
          </w:p>
        </w:tc>
        <w:tc>
          <w:tcPr>
            <w:tcW w:w="929" w:type="dxa"/>
          </w:tcPr>
          <w:p w14:paraId="00C7B7AD">
            <w:pPr>
              <w:pStyle w:val="9"/>
              <w:spacing w:line="360" w:lineRule="auto"/>
              <w:rPr>
                <w:rFonts w:hAnsi="宋体" w:eastAsia="宋体" w:cs="宋体"/>
                <w:sz w:val="24"/>
                <w:szCs w:val="24"/>
              </w:rPr>
            </w:pPr>
          </w:p>
        </w:tc>
      </w:tr>
      <w:tr w14:paraId="4AC1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361" w:type="dxa"/>
            <w:gridSpan w:val="2"/>
          </w:tcPr>
          <w:p w14:paraId="28201DF5">
            <w:pPr>
              <w:pStyle w:val="9"/>
              <w:spacing w:line="360" w:lineRule="auto"/>
              <w:jc w:val="center"/>
              <w:rPr>
                <w:rFonts w:hAnsi="宋体" w:eastAsia="宋体" w:cs="宋体"/>
                <w:sz w:val="24"/>
                <w:szCs w:val="24"/>
              </w:rPr>
            </w:pPr>
            <w:r>
              <w:rPr>
                <w:rFonts w:hint="eastAsia" w:hAnsi="宋体" w:eastAsia="宋体" w:cs="宋体"/>
                <w:sz w:val="24"/>
                <w:szCs w:val="24"/>
              </w:rPr>
              <w:t>结论</w:t>
            </w:r>
          </w:p>
        </w:tc>
        <w:tc>
          <w:tcPr>
            <w:tcW w:w="1114" w:type="dxa"/>
          </w:tcPr>
          <w:p w14:paraId="2982BD43">
            <w:pPr>
              <w:pStyle w:val="9"/>
              <w:spacing w:line="360" w:lineRule="auto"/>
              <w:jc w:val="center"/>
              <w:rPr>
                <w:rFonts w:hAnsi="宋体" w:eastAsia="宋体" w:cs="宋体"/>
                <w:sz w:val="24"/>
                <w:szCs w:val="24"/>
              </w:rPr>
            </w:pPr>
          </w:p>
        </w:tc>
        <w:tc>
          <w:tcPr>
            <w:tcW w:w="1143" w:type="dxa"/>
          </w:tcPr>
          <w:p w14:paraId="612C54AA">
            <w:pPr>
              <w:pStyle w:val="9"/>
              <w:spacing w:line="360" w:lineRule="auto"/>
              <w:jc w:val="center"/>
              <w:rPr>
                <w:rFonts w:hAnsi="宋体" w:eastAsia="宋体" w:cs="宋体"/>
                <w:sz w:val="24"/>
                <w:szCs w:val="24"/>
              </w:rPr>
            </w:pPr>
          </w:p>
        </w:tc>
        <w:tc>
          <w:tcPr>
            <w:tcW w:w="929" w:type="dxa"/>
          </w:tcPr>
          <w:p w14:paraId="36EE9739">
            <w:pPr>
              <w:pStyle w:val="9"/>
              <w:spacing w:line="360" w:lineRule="auto"/>
              <w:jc w:val="center"/>
              <w:rPr>
                <w:rFonts w:hAnsi="宋体" w:eastAsia="宋体" w:cs="宋体"/>
                <w:sz w:val="24"/>
                <w:szCs w:val="24"/>
              </w:rPr>
            </w:pPr>
          </w:p>
        </w:tc>
      </w:tr>
    </w:tbl>
    <w:p w14:paraId="417B4C01">
      <w:pPr>
        <w:pStyle w:val="9"/>
        <w:spacing w:line="240" w:lineRule="auto"/>
        <w:jc w:val="left"/>
        <w:rPr>
          <w:rFonts w:hAnsi="宋体" w:eastAsia="宋体" w:cs="宋体"/>
          <w:sz w:val="21"/>
          <w:szCs w:val="21"/>
        </w:rPr>
      </w:pPr>
      <w:r>
        <w:rPr>
          <w:rFonts w:hint="eastAsia" w:hAnsi="宋体" w:eastAsia="宋体" w:cs="宋体"/>
          <w:sz w:val="21"/>
          <w:szCs w:val="21"/>
        </w:rPr>
        <w:t>注：1. 每一项符合的打“√”，不符合的打“×”。</w:t>
      </w:r>
    </w:p>
    <w:p w14:paraId="3233BA2A">
      <w:pPr>
        <w:pStyle w:val="9"/>
        <w:spacing w:line="240" w:lineRule="auto"/>
        <w:ind w:firstLine="420" w:firstLineChars="200"/>
        <w:jc w:val="left"/>
        <w:rPr>
          <w:rFonts w:hAnsi="宋体" w:eastAsia="宋体" w:cs="宋体"/>
          <w:color w:val="FF0000"/>
          <w:sz w:val="24"/>
          <w:szCs w:val="24"/>
        </w:rPr>
        <w:sectPr>
          <w:pgSz w:w="11906" w:h="16838"/>
          <w:pgMar w:top="1213" w:right="1179" w:bottom="1213" w:left="1293" w:header="851" w:footer="992" w:gutter="0"/>
          <w:pgNumType w:fmt="decimal"/>
          <w:cols w:space="425" w:num="1"/>
          <w:docGrid w:type="lines" w:linePitch="312" w:charSpace="0"/>
        </w:sectPr>
      </w:pPr>
      <w:r>
        <w:rPr>
          <w:rFonts w:hint="eastAsia" w:hAnsi="宋体" w:eastAsia="宋体" w:cs="宋体"/>
          <w:sz w:val="21"/>
          <w:szCs w:val="21"/>
        </w:rPr>
        <w:t>2. “结论”一栏填写“通过”或“不通过”；任何一项出现“×”的，结论为不通过；不通过的为无效报价。</w:t>
      </w:r>
    </w:p>
    <w:p w14:paraId="066DAFB2">
      <w:pPr>
        <w:rPr>
          <w:rFonts w:hint="eastAsia" w:hAnsi="宋体" w:cs="宋体"/>
          <w:sz w:val="24"/>
          <w:szCs w:val="24"/>
          <w:lang w:eastAsia="zh-CN"/>
        </w:rPr>
      </w:pPr>
      <w:r>
        <w:rPr>
          <w:rFonts w:hint="eastAsia" w:hAnsi="宋体" w:cs="宋体"/>
          <w:sz w:val="24"/>
          <w:szCs w:val="24"/>
          <w:lang w:eastAsia="zh-CN"/>
        </w:rPr>
        <w:t>附件二</w:t>
      </w:r>
    </w:p>
    <w:p w14:paraId="4B0803C1">
      <w:pPr>
        <w:jc w:val="center"/>
        <w:rPr>
          <w:rFonts w:hint="eastAsia" w:hAnsi="宋体" w:cs="宋体"/>
          <w:b/>
          <w:bCs/>
          <w:sz w:val="28"/>
          <w:szCs w:val="28"/>
          <w:lang w:eastAsia="zh-CN"/>
        </w:rPr>
      </w:pPr>
      <w:r>
        <w:rPr>
          <w:rFonts w:hint="eastAsia" w:hAnsi="宋体" w:cs="宋体"/>
          <w:b/>
          <w:bCs/>
          <w:sz w:val="28"/>
          <w:szCs w:val="28"/>
          <w:lang w:eastAsia="zh-CN"/>
        </w:rPr>
        <w:t>综合评分表</w:t>
      </w:r>
    </w:p>
    <w:p w14:paraId="53267767">
      <w:pPr>
        <w:jc w:val="left"/>
        <w:rPr>
          <w:rFonts w:hint="default" w:hAnsi="宋体" w:cs="宋体"/>
          <w:sz w:val="24"/>
          <w:szCs w:val="24"/>
          <w:lang w:val="en-US" w:eastAsia="zh-CN"/>
        </w:rPr>
      </w:pPr>
      <w:r>
        <w:rPr>
          <w:rFonts w:hint="eastAsia" w:ascii="宋体" w:hAnsi="宋体" w:cs="宋体"/>
          <w:szCs w:val="21"/>
        </w:rPr>
        <w:t>项目名称：</w:t>
      </w:r>
      <w:r>
        <w:rPr>
          <w:rFonts w:hint="eastAsia" w:ascii="宋体" w:hAnsi="宋体" w:cs="宋体"/>
          <w:b w:val="0"/>
          <w:bCs w:val="0"/>
          <w:color w:val="000000"/>
          <w:sz w:val="21"/>
          <w:szCs w:val="21"/>
          <w:u w:val="single"/>
          <w:lang w:eastAsia="zh-CN"/>
        </w:rPr>
        <w:t>西湾和苑安置房修缮工程服务</w:t>
      </w:r>
    </w:p>
    <w:tbl>
      <w:tblPr>
        <w:tblStyle w:val="19"/>
        <w:tblW w:w="9835" w:type="dxa"/>
        <w:jc w:val="center"/>
        <w:tblLayout w:type="fixed"/>
        <w:tblCellMar>
          <w:top w:w="0" w:type="dxa"/>
          <w:left w:w="108" w:type="dxa"/>
          <w:bottom w:w="0" w:type="dxa"/>
          <w:right w:w="108" w:type="dxa"/>
        </w:tblCellMar>
      </w:tblPr>
      <w:tblGrid>
        <w:gridCol w:w="621"/>
        <w:gridCol w:w="1090"/>
        <w:gridCol w:w="752"/>
        <w:gridCol w:w="7372"/>
      </w:tblGrid>
      <w:tr w14:paraId="7CD8B1B1">
        <w:tblPrEx>
          <w:tblCellMar>
            <w:top w:w="0" w:type="dxa"/>
            <w:left w:w="108" w:type="dxa"/>
            <w:bottom w:w="0" w:type="dxa"/>
            <w:right w:w="108" w:type="dxa"/>
          </w:tblCellMar>
        </w:tblPrEx>
        <w:trPr>
          <w:trHeight w:val="753" w:hRule="atLeast"/>
          <w:tblHeader/>
          <w:jc w:val="center"/>
        </w:trPr>
        <w:tc>
          <w:tcPr>
            <w:tcW w:w="621" w:type="dxa"/>
            <w:tcBorders>
              <w:top w:val="single" w:color="auto" w:sz="4" w:space="0"/>
              <w:left w:val="single" w:color="auto" w:sz="4" w:space="0"/>
              <w:bottom w:val="single" w:color="auto" w:sz="4" w:space="0"/>
              <w:right w:val="single" w:color="auto" w:sz="4" w:space="0"/>
            </w:tcBorders>
            <w:noWrap w:val="0"/>
            <w:vAlign w:val="center"/>
          </w:tcPr>
          <w:p w14:paraId="285D4F59">
            <w:pPr>
              <w:snapToGrid w:val="0"/>
              <w:spacing w:line="300" w:lineRule="exact"/>
              <w:ind w:left="-55" w:leftChars="-26" w:right="-53" w:rightChars="-25"/>
              <w:jc w:val="center"/>
              <w:rPr>
                <w:rFonts w:hint="eastAsia" w:ascii="宋体" w:hAnsi="宋体" w:eastAsia="宋体" w:cs="宋体"/>
                <w:color w:val="000000"/>
                <w:sz w:val="24"/>
                <w:szCs w:val="24"/>
              </w:rPr>
            </w:pPr>
            <w:r>
              <w:rPr>
                <w:rFonts w:hint="eastAsia" w:ascii="宋体" w:hAnsi="宋体" w:eastAsia="宋体" w:cs="宋体"/>
                <w:b/>
                <w:color w:val="000000"/>
                <w:sz w:val="24"/>
                <w:szCs w:val="24"/>
              </w:rPr>
              <w:t>序号</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44657279">
            <w:pPr>
              <w:snapToGrid w:val="0"/>
              <w:spacing w:line="300" w:lineRule="exact"/>
              <w:ind w:left="-55" w:leftChars="-26" w:right="-53" w:rightChars="-25"/>
              <w:jc w:val="center"/>
              <w:rPr>
                <w:rFonts w:hint="eastAsia" w:ascii="宋体" w:hAnsi="宋体" w:eastAsia="宋体" w:cs="宋体"/>
                <w:color w:val="000000"/>
                <w:sz w:val="24"/>
                <w:szCs w:val="24"/>
              </w:rPr>
            </w:pPr>
            <w:r>
              <w:rPr>
                <w:rFonts w:hint="eastAsia" w:ascii="宋体" w:hAnsi="宋体" w:eastAsia="宋体" w:cs="宋体"/>
                <w:b/>
                <w:color w:val="000000"/>
                <w:sz w:val="24"/>
                <w:szCs w:val="24"/>
              </w:rPr>
              <w:t>评分项目</w:t>
            </w:r>
          </w:p>
        </w:tc>
        <w:tc>
          <w:tcPr>
            <w:tcW w:w="752" w:type="dxa"/>
            <w:tcBorders>
              <w:top w:val="single" w:color="auto" w:sz="4" w:space="0"/>
              <w:left w:val="single" w:color="auto" w:sz="4" w:space="0"/>
              <w:bottom w:val="single" w:color="auto" w:sz="4" w:space="0"/>
              <w:right w:val="single" w:color="auto" w:sz="4" w:space="0"/>
            </w:tcBorders>
            <w:noWrap w:val="0"/>
            <w:vAlign w:val="center"/>
          </w:tcPr>
          <w:p w14:paraId="1DA1BD3E">
            <w:pPr>
              <w:snapToGrid w:val="0"/>
              <w:spacing w:line="300" w:lineRule="exact"/>
              <w:ind w:left="-55" w:leftChars="-26" w:right="-53" w:rightChars="-25"/>
              <w:jc w:val="center"/>
              <w:rPr>
                <w:rFonts w:hint="eastAsia" w:ascii="宋体" w:hAnsi="宋体" w:eastAsia="宋体" w:cs="宋体"/>
                <w:color w:val="000000"/>
                <w:sz w:val="24"/>
                <w:szCs w:val="24"/>
              </w:rPr>
            </w:pPr>
            <w:r>
              <w:rPr>
                <w:rFonts w:hint="eastAsia" w:ascii="宋体" w:hAnsi="宋体" w:eastAsia="宋体" w:cs="宋体"/>
                <w:b/>
                <w:color w:val="000000"/>
                <w:sz w:val="24"/>
                <w:szCs w:val="24"/>
              </w:rPr>
              <w:t>分值</w:t>
            </w:r>
          </w:p>
        </w:tc>
        <w:tc>
          <w:tcPr>
            <w:tcW w:w="7372" w:type="dxa"/>
            <w:tcBorders>
              <w:top w:val="single" w:color="auto" w:sz="4" w:space="0"/>
              <w:left w:val="single" w:color="auto" w:sz="4" w:space="0"/>
              <w:bottom w:val="single" w:color="auto" w:sz="4" w:space="0"/>
              <w:right w:val="single" w:color="auto" w:sz="4" w:space="0"/>
            </w:tcBorders>
            <w:noWrap w:val="0"/>
            <w:vAlign w:val="center"/>
          </w:tcPr>
          <w:p w14:paraId="0ADC2A4C">
            <w:pPr>
              <w:snapToGrid w:val="0"/>
              <w:spacing w:line="300" w:lineRule="exact"/>
              <w:ind w:left="-55" w:leftChars="-26" w:right="-53" w:rightChars="-25"/>
              <w:jc w:val="center"/>
              <w:rPr>
                <w:rFonts w:hint="eastAsia" w:ascii="宋体" w:hAnsi="宋体" w:eastAsia="宋体" w:cs="宋体"/>
                <w:color w:val="000000"/>
                <w:sz w:val="24"/>
                <w:szCs w:val="24"/>
              </w:rPr>
            </w:pPr>
            <w:r>
              <w:rPr>
                <w:rFonts w:hint="eastAsia" w:ascii="宋体" w:hAnsi="宋体" w:eastAsia="宋体" w:cs="宋体"/>
                <w:b/>
                <w:color w:val="000000"/>
                <w:sz w:val="24"/>
                <w:szCs w:val="24"/>
              </w:rPr>
              <w:t>评分标准和办法</w:t>
            </w:r>
          </w:p>
        </w:tc>
      </w:tr>
      <w:tr w14:paraId="0E4F6346">
        <w:tblPrEx>
          <w:tblCellMar>
            <w:top w:w="0" w:type="dxa"/>
            <w:left w:w="108" w:type="dxa"/>
            <w:bottom w:w="0" w:type="dxa"/>
            <w:right w:w="108" w:type="dxa"/>
          </w:tblCellMar>
        </w:tblPrEx>
        <w:trPr>
          <w:trHeight w:val="1324" w:hRule="atLeast"/>
          <w:jc w:val="center"/>
        </w:trPr>
        <w:tc>
          <w:tcPr>
            <w:tcW w:w="621" w:type="dxa"/>
            <w:vMerge w:val="restart"/>
            <w:tcBorders>
              <w:top w:val="single" w:color="auto" w:sz="4" w:space="0"/>
              <w:left w:val="single" w:color="auto" w:sz="4" w:space="0"/>
              <w:right w:val="single" w:color="auto" w:sz="4" w:space="0"/>
            </w:tcBorders>
            <w:noWrap w:val="0"/>
            <w:vAlign w:val="center"/>
          </w:tcPr>
          <w:p w14:paraId="060BF836">
            <w:pPr>
              <w:snapToGrid w:val="0"/>
              <w:spacing w:line="300" w:lineRule="exact"/>
              <w:ind w:left="-55" w:leftChars="-26" w:right="-53" w:rightChars="-25"/>
              <w:jc w:val="center"/>
              <w:rPr>
                <w:rFonts w:hint="default" w:ascii="宋体" w:hAnsi="宋体" w:eastAsia="宋体" w:cs="宋体"/>
                <w:bCs/>
                <w:color w:val="000000"/>
                <w:sz w:val="21"/>
                <w:szCs w:val="21"/>
                <w:lang w:val="en-US" w:eastAsia="zh-CN"/>
              </w:rPr>
            </w:pPr>
            <w:r>
              <w:rPr>
                <w:rFonts w:hint="eastAsia" w:ascii="宋体" w:hAnsi="宋体" w:cs="宋体"/>
                <w:bCs/>
                <w:color w:val="000000"/>
                <w:sz w:val="21"/>
                <w:szCs w:val="21"/>
                <w:lang w:val="en-US" w:eastAsia="zh-CN"/>
              </w:rPr>
              <w:t>商务部分（40分）</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471B63E8">
            <w:pPr>
              <w:widowControl w:val="0"/>
              <w:jc w:val="center"/>
              <w:rPr>
                <w:rFonts w:hint="eastAsia" w:ascii="宋体" w:hAnsi="宋体" w:eastAsia="宋体" w:cs="宋体"/>
                <w:color w:val="000000"/>
                <w:kern w:val="0"/>
                <w:sz w:val="21"/>
                <w:szCs w:val="21"/>
                <w:lang w:val="en-US" w:eastAsia="en-US" w:bidi="ar-SA"/>
              </w:rPr>
            </w:pPr>
            <w:r>
              <w:rPr>
                <w:rFonts w:hint="eastAsia" w:ascii="宋体" w:hAnsi="宋体" w:eastAsia="宋体" w:cs="宋体"/>
                <w:b w:val="0"/>
                <w:bCs w:val="0"/>
                <w:color w:val="auto"/>
                <w:kern w:val="2"/>
                <w:sz w:val="21"/>
                <w:szCs w:val="21"/>
                <w:highlight w:val="none"/>
                <w:lang w:val="en-US" w:eastAsia="zh-CN" w:bidi="ar-SA"/>
              </w:rPr>
              <w:t>企业管理体系</w:t>
            </w:r>
          </w:p>
        </w:tc>
        <w:tc>
          <w:tcPr>
            <w:tcW w:w="752" w:type="dxa"/>
            <w:tcBorders>
              <w:top w:val="single" w:color="auto" w:sz="4" w:space="0"/>
              <w:left w:val="single" w:color="auto" w:sz="4" w:space="0"/>
              <w:bottom w:val="single" w:color="auto" w:sz="4" w:space="0"/>
              <w:right w:val="single" w:color="auto" w:sz="4" w:space="0"/>
            </w:tcBorders>
            <w:noWrap w:val="0"/>
            <w:vAlign w:val="center"/>
          </w:tcPr>
          <w:p w14:paraId="5B14EB4B">
            <w:pPr>
              <w:widowControl w:val="0"/>
              <w:jc w:val="center"/>
              <w:rPr>
                <w:rFonts w:hint="default" w:ascii="宋体" w:hAnsi="宋体" w:eastAsia="宋体" w:cs="宋体"/>
                <w:color w:val="000000"/>
                <w:kern w:val="0"/>
                <w:sz w:val="21"/>
                <w:szCs w:val="21"/>
                <w:lang w:val="en-US" w:eastAsia="zh-CN" w:bidi="ar-SA"/>
              </w:rPr>
            </w:pPr>
            <w:r>
              <w:rPr>
                <w:rFonts w:hint="eastAsia" w:ascii="宋体" w:hAnsi="宋体" w:cs="宋体"/>
                <w:b w:val="0"/>
                <w:bCs w:val="0"/>
                <w:color w:val="auto"/>
                <w:kern w:val="2"/>
                <w:sz w:val="21"/>
                <w:szCs w:val="21"/>
                <w:highlight w:val="none"/>
                <w:lang w:val="en-US" w:eastAsia="zh-CN" w:bidi="ar-SA"/>
              </w:rPr>
              <w:t>5分</w:t>
            </w:r>
          </w:p>
        </w:tc>
        <w:tc>
          <w:tcPr>
            <w:tcW w:w="7372" w:type="dxa"/>
            <w:tcBorders>
              <w:top w:val="single" w:color="auto" w:sz="4" w:space="0"/>
              <w:left w:val="single" w:color="auto" w:sz="4" w:space="0"/>
              <w:bottom w:val="single" w:color="auto" w:sz="4" w:space="0"/>
              <w:right w:val="single" w:color="auto" w:sz="4" w:space="0"/>
            </w:tcBorders>
            <w:noWrap w:val="0"/>
            <w:vAlign w:val="center"/>
          </w:tcPr>
          <w:p w14:paraId="166C6631">
            <w:pPr>
              <w:widowControl w:val="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报价人具有有效期内的质量管理体系、环境管理体系、职业健康安全管理体系、社会责任管理体系、企业诚信管理体系认证证书：每提供一项得</w:t>
            </w:r>
            <w:r>
              <w:rPr>
                <w:rFonts w:hint="eastAsia" w:ascii="宋体" w:hAnsi="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en-US" w:eastAsia="zh-CN" w:bidi="ar-SA"/>
              </w:rPr>
              <w:t>分，最高得</w:t>
            </w:r>
            <w:r>
              <w:rPr>
                <w:rFonts w:hint="eastAsia" w:ascii="宋体" w:hAnsi="宋体" w:cs="宋体"/>
                <w:b w:val="0"/>
                <w:bCs w:val="0"/>
                <w:color w:val="auto"/>
                <w:kern w:val="2"/>
                <w:sz w:val="21"/>
                <w:szCs w:val="21"/>
                <w:highlight w:val="none"/>
                <w:lang w:val="en-US" w:eastAsia="zh-CN" w:bidi="ar-SA"/>
              </w:rPr>
              <w:t>5</w:t>
            </w:r>
            <w:r>
              <w:rPr>
                <w:rFonts w:hint="eastAsia" w:ascii="宋体" w:hAnsi="宋体" w:eastAsia="宋体" w:cs="宋体"/>
                <w:b w:val="0"/>
                <w:bCs w:val="0"/>
                <w:color w:val="auto"/>
                <w:kern w:val="2"/>
                <w:sz w:val="21"/>
                <w:szCs w:val="21"/>
                <w:highlight w:val="none"/>
                <w:lang w:val="en-US" w:eastAsia="zh-CN" w:bidi="ar-SA"/>
              </w:rPr>
              <w:t>分。</w:t>
            </w:r>
          </w:p>
          <w:p w14:paraId="402C238F">
            <w:pPr>
              <w:widowControl w:val="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highlight w:val="none"/>
                <w:lang w:val="en-US" w:eastAsia="zh-CN" w:bidi="ar-SA"/>
              </w:rPr>
              <w:t>(提供证书复印件并提供中国合格评定国家认可委员会网站（www.cnca.gov.cn）查询截图且在有效期内，不提供的不得分。)</w:t>
            </w:r>
          </w:p>
        </w:tc>
      </w:tr>
      <w:tr w14:paraId="49203152">
        <w:tblPrEx>
          <w:tblCellMar>
            <w:top w:w="0" w:type="dxa"/>
            <w:left w:w="108" w:type="dxa"/>
            <w:bottom w:w="0" w:type="dxa"/>
            <w:right w:w="108" w:type="dxa"/>
          </w:tblCellMar>
        </w:tblPrEx>
        <w:trPr>
          <w:trHeight w:val="1107" w:hRule="atLeast"/>
          <w:jc w:val="center"/>
        </w:trPr>
        <w:tc>
          <w:tcPr>
            <w:tcW w:w="621" w:type="dxa"/>
            <w:vMerge w:val="continue"/>
            <w:tcBorders>
              <w:left w:val="single" w:color="auto" w:sz="4" w:space="0"/>
              <w:right w:val="single" w:color="auto" w:sz="4" w:space="0"/>
            </w:tcBorders>
            <w:noWrap w:val="0"/>
            <w:vAlign w:val="center"/>
          </w:tcPr>
          <w:p w14:paraId="711CBDF9">
            <w:pPr>
              <w:snapToGrid w:val="0"/>
              <w:spacing w:line="300" w:lineRule="exact"/>
              <w:jc w:val="center"/>
              <w:rPr>
                <w:rFonts w:hint="eastAsia" w:ascii="宋体" w:hAnsi="宋体" w:eastAsia="宋体" w:cs="宋体"/>
                <w:color w:val="000000"/>
                <w:sz w:val="21"/>
                <w:szCs w:val="21"/>
                <w:lang w:eastAsia="zh-CN"/>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14:paraId="341D9E9C">
            <w:pPr>
              <w:widowControl w:val="0"/>
              <w:jc w:val="center"/>
              <w:rPr>
                <w:rFonts w:hint="eastAsia" w:ascii="宋体" w:hAnsi="宋体" w:eastAsia="宋体" w:cs="宋体"/>
                <w:color w:val="000000"/>
                <w:kern w:val="0"/>
                <w:sz w:val="21"/>
                <w:szCs w:val="21"/>
              </w:rPr>
            </w:pPr>
            <w:r>
              <w:rPr>
                <w:rFonts w:hint="eastAsia" w:ascii="宋体" w:hAnsi="宋体" w:eastAsia="宋体" w:cs="宋体"/>
                <w:b w:val="0"/>
                <w:bCs w:val="0"/>
                <w:color w:val="auto"/>
                <w:kern w:val="2"/>
                <w:sz w:val="21"/>
                <w:szCs w:val="21"/>
                <w:highlight w:val="none"/>
                <w:lang w:val="en-US" w:eastAsia="zh-CN" w:bidi="ar-SA"/>
              </w:rPr>
              <w:t>类似项目业绩</w:t>
            </w:r>
          </w:p>
        </w:tc>
        <w:tc>
          <w:tcPr>
            <w:tcW w:w="752" w:type="dxa"/>
            <w:tcBorders>
              <w:top w:val="single" w:color="auto" w:sz="4" w:space="0"/>
              <w:left w:val="single" w:color="auto" w:sz="4" w:space="0"/>
              <w:bottom w:val="single" w:color="auto" w:sz="4" w:space="0"/>
              <w:right w:val="single" w:color="auto" w:sz="4" w:space="0"/>
            </w:tcBorders>
            <w:noWrap w:val="0"/>
            <w:vAlign w:val="center"/>
          </w:tcPr>
          <w:p w14:paraId="740B23E9">
            <w:pPr>
              <w:widowControl w:val="0"/>
              <w:jc w:val="center"/>
              <w:rPr>
                <w:rFonts w:hint="eastAsia" w:ascii="宋体" w:hAnsi="宋体" w:eastAsia="宋体" w:cs="宋体"/>
                <w:color w:val="000000"/>
                <w:kern w:val="0"/>
                <w:sz w:val="21"/>
                <w:szCs w:val="21"/>
                <w:lang w:val="en-US" w:eastAsia="zh-CN"/>
              </w:rPr>
            </w:pPr>
            <w:r>
              <w:rPr>
                <w:rFonts w:hint="eastAsia" w:ascii="宋体" w:hAnsi="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en-US" w:eastAsia="zh-CN" w:bidi="ar-SA"/>
              </w:rPr>
              <w:t>0</w:t>
            </w:r>
            <w:r>
              <w:rPr>
                <w:rFonts w:hint="eastAsia" w:ascii="宋体" w:hAnsi="宋体" w:cs="宋体"/>
                <w:b w:val="0"/>
                <w:bCs w:val="0"/>
                <w:color w:val="auto"/>
                <w:kern w:val="2"/>
                <w:sz w:val="21"/>
                <w:szCs w:val="21"/>
                <w:highlight w:val="none"/>
                <w:lang w:val="en-US" w:eastAsia="zh-CN" w:bidi="ar-SA"/>
              </w:rPr>
              <w:t>分</w:t>
            </w:r>
          </w:p>
        </w:tc>
        <w:tc>
          <w:tcPr>
            <w:tcW w:w="7372" w:type="dxa"/>
            <w:tcBorders>
              <w:top w:val="single" w:color="auto" w:sz="4" w:space="0"/>
              <w:left w:val="single" w:color="auto" w:sz="4" w:space="0"/>
              <w:bottom w:val="single" w:color="auto" w:sz="4" w:space="0"/>
              <w:right w:val="single" w:color="auto" w:sz="4" w:space="0"/>
            </w:tcBorders>
            <w:noWrap w:val="0"/>
            <w:vAlign w:val="center"/>
          </w:tcPr>
          <w:p w14:paraId="256D0DAF">
            <w:pPr>
              <w:widowControl w:val="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2021年1月1日至本项目报价截止之日，承接过同类型工程项目业绩的，每提供一个有效业绩得</w:t>
            </w:r>
            <w:r>
              <w:rPr>
                <w:rFonts w:hint="eastAsia" w:ascii="宋体" w:hAnsi="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CN" w:bidi="ar-SA"/>
              </w:rPr>
              <w:t>分，最高得</w:t>
            </w:r>
            <w:r>
              <w:rPr>
                <w:rFonts w:hint="eastAsia" w:ascii="宋体" w:hAnsi="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en-US" w:eastAsia="zh-CN" w:bidi="ar-SA"/>
              </w:rPr>
              <w:t>0分。</w:t>
            </w:r>
          </w:p>
          <w:p w14:paraId="7AB4A526">
            <w:pPr>
              <w:widowControl w:val="0"/>
              <w:jc w:val="both"/>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auto"/>
                <w:kern w:val="2"/>
                <w:sz w:val="21"/>
                <w:szCs w:val="21"/>
                <w:highlight w:val="none"/>
                <w:lang w:val="en-US" w:eastAsia="zh-CN" w:bidi="ar-SA"/>
              </w:rPr>
              <w:t>注：</w:t>
            </w:r>
            <w:r>
              <w:rPr>
                <w:rFonts w:hint="eastAsia" w:ascii="宋体" w:hAnsi="宋体" w:eastAsia="宋体" w:cs="宋体"/>
                <w:b w:val="0"/>
                <w:bCs w:val="0"/>
                <w:sz w:val="21"/>
                <w:szCs w:val="21"/>
                <w:lang w:eastAsia="zh-CN"/>
              </w:rPr>
              <w:t>需提供</w:t>
            </w:r>
            <w:r>
              <w:rPr>
                <w:rFonts w:hint="eastAsia" w:ascii="宋体" w:hAnsi="宋体" w:eastAsia="宋体" w:cs="宋体"/>
                <w:b w:val="0"/>
                <w:bCs w:val="0"/>
                <w:sz w:val="21"/>
                <w:szCs w:val="21"/>
              </w:rPr>
              <w:t>合同</w:t>
            </w:r>
            <w:r>
              <w:rPr>
                <w:rFonts w:hint="eastAsia" w:ascii="宋体" w:hAnsi="宋体" w:eastAsia="宋体" w:cs="宋体"/>
                <w:b w:val="0"/>
                <w:bCs w:val="0"/>
                <w:sz w:val="21"/>
                <w:szCs w:val="21"/>
                <w:lang w:eastAsia="zh-CN"/>
              </w:rPr>
              <w:t>复印件</w:t>
            </w:r>
            <w:r>
              <w:rPr>
                <w:rFonts w:hint="eastAsia" w:ascii="宋体" w:hAnsi="宋体" w:eastAsia="宋体" w:cs="宋体"/>
                <w:b w:val="0"/>
                <w:bCs w:val="0"/>
                <w:sz w:val="21"/>
                <w:szCs w:val="21"/>
              </w:rPr>
              <w:t>，不提供的不得分</w:t>
            </w:r>
            <w:r>
              <w:rPr>
                <w:rFonts w:hint="eastAsia" w:ascii="宋体" w:hAnsi="宋体" w:eastAsia="宋体" w:cs="宋体"/>
                <w:b w:val="0"/>
                <w:bCs w:val="0"/>
                <w:sz w:val="21"/>
                <w:szCs w:val="21"/>
                <w:lang w:eastAsia="zh-CN"/>
              </w:rPr>
              <w:t>，以合同的签订时间为准</w:t>
            </w:r>
            <w:r>
              <w:rPr>
                <w:rFonts w:hint="eastAsia" w:ascii="宋体" w:hAnsi="宋体" w:eastAsia="宋体" w:cs="宋体"/>
                <w:b w:val="0"/>
                <w:bCs w:val="0"/>
                <w:color w:val="auto"/>
                <w:kern w:val="2"/>
                <w:sz w:val="21"/>
                <w:szCs w:val="21"/>
                <w:highlight w:val="none"/>
                <w:lang w:val="en-US" w:eastAsia="zh-CN" w:bidi="ar-SA"/>
              </w:rPr>
              <w:t>。</w:t>
            </w:r>
          </w:p>
        </w:tc>
      </w:tr>
      <w:tr w14:paraId="5CA66A96">
        <w:tblPrEx>
          <w:tblCellMar>
            <w:top w:w="0" w:type="dxa"/>
            <w:left w:w="108" w:type="dxa"/>
            <w:bottom w:w="0" w:type="dxa"/>
            <w:right w:w="108" w:type="dxa"/>
          </w:tblCellMar>
        </w:tblPrEx>
        <w:trPr>
          <w:trHeight w:val="580" w:hRule="atLeast"/>
          <w:jc w:val="center"/>
        </w:trPr>
        <w:tc>
          <w:tcPr>
            <w:tcW w:w="621" w:type="dxa"/>
            <w:vMerge w:val="continue"/>
            <w:tcBorders>
              <w:left w:val="single" w:color="auto" w:sz="4" w:space="0"/>
              <w:right w:val="single" w:color="auto" w:sz="4" w:space="0"/>
            </w:tcBorders>
            <w:noWrap w:val="0"/>
            <w:vAlign w:val="center"/>
          </w:tcPr>
          <w:p w14:paraId="4E232BC3">
            <w:pPr>
              <w:snapToGrid w:val="0"/>
              <w:spacing w:line="300" w:lineRule="exact"/>
              <w:ind w:left="-55" w:leftChars="-26" w:right="-53" w:rightChars="-25"/>
              <w:jc w:val="center"/>
              <w:rPr>
                <w:rFonts w:hint="eastAsia" w:ascii="宋体" w:hAnsi="宋体" w:eastAsia="宋体" w:cs="宋体"/>
                <w:bCs/>
                <w:color w:val="000000"/>
                <w:sz w:val="21"/>
                <w:szCs w:val="21"/>
                <w:lang w:eastAsia="zh-CN"/>
              </w:rPr>
            </w:pPr>
          </w:p>
        </w:tc>
        <w:tc>
          <w:tcPr>
            <w:tcW w:w="1090" w:type="dxa"/>
            <w:vMerge w:val="restart"/>
            <w:tcBorders>
              <w:top w:val="single" w:color="auto" w:sz="4" w:space="0"/>
              <w:left w:val="single" w:color="auto" w:sz="4" w:space="0"/>
              <w:right w:val="single" w:color="auto" w:sz="4" w:space="0"/>
            </w:tcBorders>
            <w:noWrap w:val="0"/>
            <w:vAlign w:val="center"/>
          </w:tcPr>
          <w:p w14:paraId="45A86C3B">
            <w:pPr>
              <w:widowControl w:val="0"/>
              <w:jc w:val="center"/>
              <w:rPr>
                <w:rFonts w:hint="eastAsia" w:ascii="宋体" w:hAnsi="宋体" w:eastAsia="宋体" w:cs="宋体"/>
                <w:color w:val="000000"/>
                <w:sz w:val="21"/>
                <w:szCs w:val="21"/>
              </w:rPr>
            </w:pPr>
            <w:r>
              <w:rPr>
                <w:rFonts w:hint="eastAsia" w:ascii="宋体" w:hAnsi="宋体" w:eastAsia="宋体" w:cs="宋体"/>
                <w:b w:val="0"/>
                <w:bCs w:val="0"/>
                <w:color w:val="auto"/>
                <w:kern w:val="2"/>
                <w:sz w:val="21"/>
                <w:szCs w:val="21"/>
                <w:highlight w:val="none"/>
                <w:lang w:val="en-US" w:eastAsia="zh-CN" w:bidi="ar-SA"/>
              </w:rPr>
              <w:t>项目管理机构能力</w:t>
            </w:r>
          </w:p>
        </w:tc>
        <w:tc>
          <w:tcPr>
            <w:tcW w:w="752" w:type="dxa"/>
            <w:vMerge w:val="restart"/>
            <w:tcBorders>
              <w:top w:val="single" w:color="auto" w:sz="4" w:space="0"/>
              <w:left w:val="single" w:color="auto" w:sz="4" w:space="0"/>
              <w:right w:val="single" w:color="auto" w:sz="4" w:space="0"/>
            </w:tcBorders>
            <w:noWrap w:val="0"/>
            <w:vAlign w:val="center"/>
          </w:tcPr>
          <w:p w14:paraId="55DE7C2C">
            <w:pPr>
              <w:widowControl w:val="0"/>
              <w:jc w:val="center"/>
              <w:rPr>
                <w:rFonts w:hint="default" w:ascii="宋体" w:hAnsi="宋体" w:eastAsia="宋体" w:cs="宋体"/>
                <w:color w:val="000000"/>
                <w:kern w:val="0"/>
                <w:sz w:val="21"/>
                <w:szCs w:val="21"/>
                <w:lang w:val="en-US" w:eastAsia="zh-CN"/>
              </w:rPr>
            </w:pPr>
            <w:r>
              <w:rPr>
                <w:rFonts w:hint="eastAsia" w:ascii="宋体" w:hAnsi="宋体" w:cs="宋体"/>
                <w:b w:val="0"/>
                <w:bCs w:val="0"/>
                <w:color w:val="auto"/>
                <w:kern w:val="2"/>
                <w:sz w:val="21"/>
                <w:szCs w:val="21"/>
                <w:highlight w:val="none"/>
                <w:lang w:val="en-US" w:eastAsia="zh-CN" w:bidi="ar-SA"/>
              </w:rPr>
              <w:t>15分</w:t>
            </w:r>
          </w:p>
        </w:tc>
        <w:tc>
          <w:tcPr>
            <w:tcW w:w="7372" w:type="dxa"/>
            <w:tcBorders>
              <w:top w:val="single" w:color="auto" w:sz="4" w:space="0"/>
              <w:left w:val="single" w:color="auto" w:sz="4" w:space="0"/>
              <w:bottom w:val="single" w:color="auto" w:sz="4" w:space="0"/>
              <w:right w:val="single" w:color="auto" w:sz="4" w:space="0"/>
            </w:tcBorders>
            <w:noWrap w:val="0"/>
            <w:vAlign w:val="center"/>
          </w:tcPr>
          <w:p w14:paraId="5DA5B05F">
            <w:pPr>
              <w:widowControl w:val="0"/>
              <w:jc w:val="both"/>
              <w:rPr>
                <w:rFonts w:hint="default" w:ascii="宋体" w:hAnsi="宋体" w:eastAsia="宋体" w:cs="宋体"/>
                <w:color w:val="000000"/>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拟委派技术负责人具有建筑工程相关专业高级工程师或以上职称，得</w:t>
            </w:r>
            <w:r>
              <w:rPr>
                <w:rFonts w:hint="eastAsia" w:ascii="宋体" w:hAnsi="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US" w:eastAsia="zh-CN" w:bidi="ar-SA"/>
              </w:rPr>
              <w:t>分</w:t>
            </w:r>
            <w:r>
              <w:rPr>
                <w:rFonts w:hint="eastAsia" w:ascii="宋体" w:hAnsi="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具有建筑工程相关专业</w:t>
            </w:r>
            <w:r>
              <w:rPr>
                <w:rFonts w:hint="eastAsia" w:ascii="宋体" w:hAnsi="宋体" w:cs="宋体"/>
                <w:b w:val="0"/>
                <w:bCs w:val="0"/>
                <w:color w:val="auto"/>
                <w:kern w:val="2"/>
                <w:sz w:val="21"/>
                <w:szCs w:val="21"/>
                <w:highlight w:val="none"/>
                <w:lang w:val="en-US" w:eastAsia="zh-CN" w:bidi="ar-SA"/>
              </w:rPr>
              <w:t>中</w:t>
            </w:r>
            <w:r>
              <w:rPr>
                <w:rFonts w:hint="eastAsia" w:ascii="宋体" w:hAnsi="宋体" w:eastAsia="宋体" w:cs="宋体"/>
                <w:b w:val="0"/>
                <w:bCs w:val="0"/>
                <w:color w:val="auto"/>
                <w:kern w:val="2"/>
                <w:sz w:val="21"/>
                <w:szCs w:val="21"/>
                <w:highlight w:val="none"/>
                <w:lang w:val="en-US" w:eastAsia="zh-CN" w:bidi="ar-SA"/>
              </w:rPr>
              <w:t>级工程师职称，得</w:t>
            </w:r>
            <w:r>
              <w:rPr>
                <w:rFonts w:hint="eastAsia" w:ascii="宋体" w:hAnsi="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en-US" w:eastAsia="zh-CN" w:bidi="ar-SA"/>
              </w:rPr>
              <w:t>分；最高得3分。</w:t>
            </w:r>
          </w:p>
        </w:tc>
      </w:tr>
      <w:tr w14:paraId="6F4C2D23">
        <w:tblPrEx>
          <w:tblCellMar>
            <w:top w:w="0" w:type="dxa"/>
            <w:left w:w="108" w:type="dxa"/>
            <w:bottom w:w="0" w:type="dxa"/>
            <w:right w:w="108" w:type="dxa"/>
          </w:tblCellMar>
        </w:tblPrEx>
        <w:trPr>
          <w:trHeight w:val="2691" w:hRule="atLeast"/>
          <w:jc w:val="center"/>
        </w:trPr>
        <w:tc>
          <w:tcPr>
            <w:tcW w:w="621" w:type="dxa"/>
            <w:vMerge w:val="continue"/>
            <w:tcBorders>
              <w:left w:val="single" w:color="auto" w:sz="4" w:space="0"/>
              <w:right w:val="single" w:color="auto" w:sz="4" w:space="0"/>
            </w:tcBorders>
            <w:noWrap w:val="0"/>
            <w:vAlign w:val="center"/>
          </w:tcPr>
          <w:p w14:paraId="5A4EB90C">
            <w:pPr>
              <w:snapToGrid w:val="0"/>
              <w:spacing w:line="300" w:lineRule="exact"/>
              <w:ind w:left="-55" w:leftChars="-26" w:right="-53" w:rightChars="-25"/>
              <w:jc w:val="center"/>
              <w:rPr>
                <w:rFonts w:hint="eastAsia" w:ascii="宋体" w:hAnsi="宋体" w:eastAsia="宋体" w:cs="宋体"/>
                <w:bCs/>
                <w:color w:val="000000"/>
                <w:sz w:val="21"/>
                <w:szCs w:val="21"/>
                <w:lang w:val="en-US" w:eastAsia="zh-CN"/>
              </w:rPr>
            </w:pPr>
          </w:p>
        </w:tc>
        <w:tc>
          <w:tcPr>
            <w:tcW w:w="1090" w:type="dxa"/>
            <w:vMerge w:val="continue"/>
            <w:tcBorders>
              <w:left w:val="single" w:color="auto" w:sz="4" w:space="0"/>
              <w:bottom w:val="single" w:color="auto" w:sz="4" w:space="0"/>
              <w:right w:val="single" w:color="auto" w:sz="4" w:space="0"/>
            </w:tcBorders>
            <w:noWrap w:val="0"/>
            <w:vAlign w:val="center"/>
          </w:tcPr>
          <w:p w14:paraId="4973DF72">
            <w:pPr>
              <w:widowControl w:val="0"/>
              <w:jc w:val="center"/>
              <w:rPr>
                <w:rFonts w:hint="eastAsia" w:ascii="宋体" w:hAnsi="宋体" w:eastAsia="宋体" w:cs="宋体"/>
                <w:b w:val="0"/>
                <w:bCs w:val="0"/>
                <w:color w:val="auto"/>
                <w:kern w:val="2"/>
                <w:sz w:val="21"/>
                <w:szCs w:val="21"/>
                <w:highlight w:val="none"/>
                <w:lang w:val="en-US" w:eastAsia="zh-CN" w:bidi="ar-SA"/>
              </w:rPr>
            </w:pPr>
          </w:p>
        </w:tc>
        <w:tc>
          <w:tcPr>
            <w:tcW w:w="752" w:type="dxa"/>
            <w:vMerge w:val="continue"/>
            <w:tcBorders>
              <w:left w:val="single" w:color="auto" w:sz="4" w:space="0"/>
              <w:bottom w:val="single" w:color="auto" w:sz="4" w:space="0"/>
              <w:right w:val="single" w:color="auto" w:sz="4" w:space="0"/>
            </w:tcBorders>
            <w:noWrap w:val="0"/>
            <w:vAlign w:val="center"/>
          </w:tcPr>
          <w:p w14:paraId="4CD8AFD6">
            <w:pPr>
              <w:widowControl w:val="0"/>
              <w:jc w:val="center"/>
              <w:rPr>
                <w:rFonts w:hint="eastAsia" w:ascii="宋体" w:hAnsi="宋体" w:eastAsia="宋体" w:cs="宋体"/>
                <w:b w:val="0"/>
                <w:bCs w:val="0"/>
                <w:color w:val="auto"/>
                <w:kern w:val="2"/>
                <w:sz w:val="21"/>
                <w:szCs w:val="21"/>
                <w:highlight w:val="none"/>
                <w:lang w:val="en-US" w:eastAsia="zh-CN" w:bidi="ar-SA"/>
              </w:rPr>
            </w:pPr>
          </w:p>
        </w:tc>
        <w:tc>
          <w:tcPr>
            <w:tcW w:w="7372" w:type="dxa"/>
            <w:tcBorders>
              <w:top w:val="single" w:color="auto" w:sz="4" w:space="0"/>
              <w:left w:val="single" w:color="auto" w:sz="4" w:space="0"/>
              <w:bottom w:val="single" w:color="auto" w:sz="4" w:space="0"/>
              <w:right w:val="single" w:color="auto" w:sz="4" w:space="0"/>
            </w:tcBorders>
            <w:noWrap w:val="0"/>
            <w:vAlign w:val="center"/>
          </w:tcPr>
          <w:p w14:paraId="41C326CA">
            <w:pPr>
              <w:widowControl w:val="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拟委派的项目其他人员：</w:t>
            </w:r>
          </w:p>
          <w:p w14:paraId="0FA0B8B1">
            <w:pPr>
              <w:widowControl w:val="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1.拟委派安全负责人具有建筑施工安全注册资格证的，得</w:t>
            </w:r>
            <w:r>
              <w:rPr>
                <w:rFonts w:hint="eastAsia" w:ascii="宋体" w:hAnsi="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en-US" w:eastAsia="zh-CN" w:bidi="ar-SA"/>
              </w:rPr>
              <w:t>分；</w:t>
            </w:r>
          </w:p>
          <w:p w14:paraId="4507FE89">
            <w:pPr>
              <w:widowControl w:val="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2.拟委派造价负责人具有一级注册造价师资格证书的，得</w:t>
            </w:r>
            <w:r>
              <w:rPr>
                <w:rFonts w:hint="eastAsia" w:ascii="宋体" w:hAnsi="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en-US" w:eastAsia="zh-CN" w:bidi="ar-SA"/>
              </w:rPr>
              <w:t>分；</w:t>
            </w:r>
          </w:p>
          <w:p w14:paraId="0FA8A658">
            <w:pPr>
              <w:widowControl w:val="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3.拟委派施工负责人具有施工员资格证的，得</w:t>
            </w:r>
            <w:r>
              <w:rPr>
                <w:rFonts w:hint="eastAsia" w:ascii="宋体" w:hAnsi="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en-US" w:eastAsia="zh-CN" w:bidi="ar-SA"/>
              </w:rPr>
              <w:t>分；</w:t>
            </w:r>
          </w:p>
          <w:p w14:paraId="6ED77C66">
            <w:pPr>
              <w:widowControl w:val="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4.拟委派质量负责人具有质量员资格证的，得</w:t>
            </w:r>
            <w:r>
              <w:rPr>
                <w:rFonts w:hint="eastAsia" w:ascii="宋体" w:hAnsi="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en-US" w:eastAsia="zh-CN" w:bidi="ar-SA"/>
              </w:rPr>
              <w:t>分；</w:t>
            </w:r>
          </w:p>
          <w:p w14:paraId="657B3F3A">
            <w:pPr>
              <w:widowControl w:val="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5.拟委派材料负责人具有材料员资格证的，得</w:t>
            </w:r>
            <w:r>
              <w:rPr>
                <w:rFonts w:hint="eastAsia" w:ascii="宋体" w:hAnsi="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en-US" w:eastAsia="zh-CN" w:bidi="ar-SA"/>
              </w:rPr>
              <w:t>分；</w:t>
            </w:r>
          </w:p>
          <w:p w14:paraId="7E55BD03">
            <w:pPr>
              <w:widowControl w:val="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6.拟委派资料负责人具有资料员资格证的，得</w:t>
            </w:r>
            <w:r>
              <w:rPr>
                <w:rFonts w:hint="eastAsia" w:ascii="宋体" w:hAnsi="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en-US" w:eastAsia="zh-CN" w:bidi="ar-SA"/>
              </w:rPr>
              <w:t>分；</w:t>
            </w:r>
          </w:p>
          <w:p w14:paraId="6D565109">
            <w:pPr>
              <w:widowControl w:val="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7.以上拟委派人员具有中级工程师或以上职称的每个得1分；最高得</w:t>
            </w:r>
            <w:r>
              <w:rPr>
                <w:rFonts w:hint="eastAsia" w:ascii="宋体" w:hAnsi="宋体" w:cs="宋体"/>
                <w:b w:val="0"/>
                <w:bCs w:val="0"/>
                <w:color w:val="auto"/>
                <w:kern w:val="2"/>
                <w:sz w:val="21"/>
                <w:szCs w:val="21"/>
                <w:highlight w:val="none"/>
                <w:lang w:val="en-US" w:eastAsia="zh-CN" w:bidi="ar-SA"/>
              </w:rPr>
              <w:t>6</w:t>
            </w:r>
            <w:r>
              <w:rPr>
                <w:rFonts w:hint="eastAsia" w:ascii="宋体" w:hAnsi="宋体" w:eastAsia="宋体" w:cs="宋体"/>
                <w:b w:val="0"/>
                <w:bCs w:val="0"/>
                <w:color w:val="auto"/>
                <w:kern w:val="2"/>
                <w:sz w:val="21"/>
                <w:szCs w:val="21"/>
                <w:highlight w:val="none"/>
                <w:lang w:val="en-US" w:eastAsia="zh-CN" w:bidi="ar-SA"/>
              </w:rPr>
              <w:t>分。</w:t>
            </w:r>
          </w:p>
          <w:p w14:paraId="23511232">
            <w:pPr>
              <w:pStyle w:val="27"/>
              <w:rPr>
                <w:rFonts w:hint="default"/>
                <w:sz w:val="21"/>
                <w:szCs w:val="21"/>
                <w:lang w:val="en-US" w:eastAsia="zh-CN"/>
              </w:rPr>
            </w:pPr>
            <w:r>
              <w:rPr>
                <w:rFonts w:hint="eastAsia" w:ascii="宋体" w:hAnsi="宋体" w:eastAsia="宋体" w:cs="宋体"/>
                <w:b w:val="0"/>
                <w:bCs w:val="0"/>
                <w:color w:val="auto"/>
                <w:kern w:val="2"/>
                <w:sz w:val="21"/>
                <w:szCs w:val="21"/>
                <w:highlight w:val="none"/>
                <w:lang w:val="en-US" w:eastAsia="zh-CN" w:bidi="ar-SA"/>
              </w:rPr>
              <w:t>本项累计最高得</w:t>
            </w:r>
            <w:r>
              <w:rPr>
                <w:rFonts w:hint="eastAsia" w:ascii="宋体" w:hAnsi="宋体" w:cs="宋体"/>
                <w:b w:val="0"/>
                <w:bCs w:val="0"/>
                <w:color w:val="auto"/>
                <w:kern w:val="2"/>
                <w:sz w:val="21"/>
                <w:szCs w:val="21"/>
                <w:highlight w:val="none"/>
                <w:lang w:val="en-US" w:eastAsia="zh-CN" w:bidi="ar-SA"/>
              </w:rPr>
              <w:t>12</w:t>
            </w:r>
            <w:r>
              <w:rPr>
                <w:rFonts w:hint="eastAsia" w:ascii="宋体" w:hAnsi="宋体" w:eastAsia="宋体" w:cs="宋体"/>
                <w:b w:val="0"/>
                <w:bCs w:val="0"/>
                <w:color w:val="auto"/>
                <w:kern w:val="2"/>
                <w:sz w:val="21"/>
                <w:szCs w:val="21"/>
                <w:highlight w:val="none"/>
                <w:lang w:val="en-US" w:eastAsia="zh-CN" w:bidi="ar-SA"/>
              </w:rPr>
              <w:t>分。</w:t>
            </w:r>
          </w:p>
        </w:tc>
      </w:tr>
      <w:tr w14:paraId="681BC6D8">
        <w:tblPrEx>
          <w:tblCellMar>
            <w:top w:w="0" w:type="dxa"/>
            <w:left w:w="108" w:type="dxa"/>
            <w:bottom w:w="0" w:type="dxa"/>
            <w:right w:w="108" w:type="dxa"/>
          </w:tblCellMar>
        </w:tblPrEx>
        <w:trPr>
          <w:trHeight w:val="90" w:hRule="atLeast"/>
          <w:jc w:val="center"/>
        </w:trPr>
        <w:tc>
          <w:tcPr>
            <w:tcW w:w="621" w:type="dxa"/>
            <w:vMerge w:val="continue"/>
            <w:tcBorders>
              <w:left w:val="single" w:color="auto" w:sz="4" w:space="0"/>
              <w:bottom w:val="single" w:color="auto" w:sz="4" w:space="0"/>
              <w:right w:val="single" w:color="auto" w:sz="4" w:space="0"/>
            </w:tcBorders>
            <w:noWrap w:val="0"/>
            <w:vAlign w:val="center"/>
          </w:tcPr>
          <w:p w14:paraId="5CA5CFAA">
            <w:pPr>
              <w:snapToGrid w:val="0"/>
              <w:spacing w:line="300" w:lineRule="exact"/>
              <w:ind w:left="-55" w:leftChars="-26" w:right="-53" w:rightChars="-25"/>
              <w:jc w:val="center"/>
              <w:rPr>
                <w:rFonts w:hint="eastAsia" w:ascii="宋体" w:hAnsi="宋体" w:eastAsia="宋体" w:cs="宋体"/>
                <w:bCs/>
                <w:color w:val="000000"/>
                <w:sz w:val="21"/>
                <w:szCs w:val="21"/>
                <w:lang w:val="en-US" w:eastAsia="zh-CN"/>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14:paraId="537CF512">
            <w:pPr>
              <w:pStyle w:val="46"/>
              <w:spacing w:line="440" w:lineRule="exact"/>
              <w:jc w:val="center"/>
              <w:rPr>
                <w:rFonts w:hint="eastAsia" w:ascii="宋体" w:hAnsi="宋体" w:eastAsia="宋体" w:cs="宋体"/>
                <w:color w:val="000000"/>
                <w:sz w:val="21"/>
                <w:szCs w:val="21"/>
                <w:lang w:eastAsia="zh-CN"/>
              </w:rPr>
            </w:pPr>
            <w:r>
              <w:rPr>
                <w:rFonts w:hint="eastAsia" w:ascii="宋体" w:hAnsi="宋体" w:eastAsia="宋体" w:cs="宋体"/>
                <w:color w:val="auto"/>
                <w:sz w:val="21"/>
                <w:szCs w:val="21"/>
                <w:highlight w:val="none"/>
              </w:rPr>
              <w:t>企业获奖</w:t>
            </w:r>
          </w:p>
        </w:tc>
        <w:tc>
          <w:tcPr>
            <w:tcW w:w="752" w:type="dxa"/>
            <w:tcBorders>
              <w:top w:val="single" w:color="auto" w:sz="4" w:space="0"/>
              <w:left w:val="single" w:color="auto" w:sz="4" w:space="0"/>
              <w:bottom w:val="single" w:color="auto" w:sz="4" w:space="0"/>
              <w:right w:val="single" w:color="auto" w:sz="4" w:space="0"/>
            </w:tcBorders>
            <w:noWrap w:val="0"/>
            <w:vAlign w:val="center"/>
          </w:tcPr>
          <w:p w14:paraId="2919904C">
            <w:pPr>
              <w:pStyle w:val="46"/>
              <w:spacing w:line="440" w:lineRule="exact"/>
              <w:jc w:val="center"/>
              <w:rPr>
                <w:rFonts w:hint="default" w:ascii="宋体" w:hAnsi="宋体" w:eastAsia="宋体" w:cs="宋体"/>
                <w:color w:val="000000"/>
                <w:kern w:val="0"/>
                <w:sz w:val="21"/>
                <w:szCs w:val="21"/>
                <w:lang w:val="en-US" w:eastAsia="zh-CN"/>
              </w:rPr>
            </w:pPr>
            <w:r>
              <w:rPr>
                <w:rFonts w:hint="eastAsia" w:ascii="宋体" w:hAnsi="宋体" w:cs="宋体"/>
                <w:color w:val="auto"/>
                <w:sz w:val="21"/>
                <w:szCs w:val="21"/>
                <w:lang w:val="en-US" w:eastAsia="zh-CN"/>
              </w:rPr>
              <w:t>10分</w:t>
            </w:r>
          </w:p>
        </w:tc>
        <w:tc>
          <w:tcPr>
            <w:tcW w:w="7372" w:type="dxa"/>
            <w:tcBorders>
              <w:top w:val="single" w:color="auto" w:sz="4" w:space="0"/>
              <w:left w:val="single" w:color="auto" w:sz="4" w:space="0"/>
              <w:bottom w:val="single" w:color="auto" w:sz="4" w:space="0"/>
              <w:right w:val="single" w:color="auto" w:sz="4" w:space="0"/>
            </w:tcBorders>
            <w:noWrap w:val="0"/>
            <w:vAlign w:val="center"/>
          </w:tcPr>
          <w:p w14:paraId="36492B75">
            <w:pPr>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2021</w:t>
            </w:r>
            <w:r>
              <w:rPr>
                <w:rFonts w:hint="eastAsia" w:ascii="宋体" w:hAnsi="宋体" w:eastAsia="宋体" w:cs="宋体"/>
                <w:sz w:val="21"/>
                <w:szCs w:val="21"/>
                <w:highlight w:val="none"/>
              </w:rPr>
              <w:t>年1月1日以来，</w:t>
            </w:r>
            <w:r>
              <w:rPr>
                <w:rFonts w:hint="eastAsia" w:ascii="宋体" w:hAnsi="宋体" w:eastAsia="宋体" w:cs="宋体"/>
                <w:sz w:val="21"/>
                <w:szCs w:val="21"/>
                <w:highlight w:val="none"/>
                <w:lang w:eastAsia="zh-CN"/>
              </w:rPr>
              <w:t>报价</w:t>
            </w:r>
            <w:r>
              <w:rPr>
                <w:rFonts w:hint="eastAsia" w:ascii="宋体" w:hAnsi="宋体" w:cs="宋体"/>
                <w:sz w:val="21"/>
                <w:szCs w:val="21"/>
                <w:highlight w:val="none"/>
                <w:lang w:eastAsia="zh-CN"/>
              </w:rPr>
              <w:t>人</w:t>
            </w:r>
            <w:r>
              <w:rPr>
                <w:rFonts w:hint="eastAsia" w:ascii="宋体" w:hAnsi="宋体" w:eastAsia="宋体" w:cs="宋体"/>
                <w:sz w:val="21"/>
                <w:szCs w:val="21"/>
                <w:highlight w:val="none"/>
              </w:rPr>
              <w:t>承建</w:t>
            </w:r>
            <w:r>
              <w:rPr>
                <w:rFonts w:hint="eastAsia" w:ascii="宋体" w:hAnsi="宋体" w:cs="宋体"/>
                <w:sz w:val="21"/>
                <w:szCs w:val="21"/>
                <w:highlight w:val="none"/>
                <w:lang w:eastAsia="zh-CN"/>
              </w:rPr>
              <w:t>的</w:t>
            </w:r>
            <w:r>
              <w:rPr>
                <w:rFonts w:hint="eastAsia" w:ascii="宋体" w:hAnsi="宋体" w:eastAsia="宋体" w:cs="宋体"/>
                <w:sz w:val="21"/>
                <w:szCs w:val="21"/>
                <w:highlight w:val="none"/>
              </w:rPr>
              <w:t>建筑工程施工类项目</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获得</w:t>
            </w:r>
            <w:r>
              <w:rPr>
                <w:rFonts w:hint="eastAsia" w:ascii="宋体" w:hAnsi="宋体" w:eastAsia="宋体" w:cs="宋体"/>
                <w:sz w:val="21"/>
                <w:szCs w:val="21"/>
                <w:highlight w:val="none"/>
                <w:lang w:val="en-US" w:eastAsia="zh-CN"/>
              </w:rPr>
              <w:t>省</w:t>
            </w:r>
            <w:r>
              <w:rPr>
                <w:rFonts w:hint="eastAsia" w:ascii="宋体" w:hAnsi="宋体" w:eastAsia="宋体" w:cs="宋体"/>
                <w:sz w:val="21"/>
                <w:szCs w:val="21"/>
                <w:highlight w:val="none"/>
              </w:rPr>
              <w:t>级或以上工程质量奖项的，每提供1项得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分，获得</w:t>
            </w:r>
            <w:r>
              <w:rPr>
                <w:rFonts w:hint="eastAsia" w:ascii="宋体" w:hAnsi="宋体" w:eastAsia="宋体" w:cs="宋体"/>
                <w:sz w:val="21"/>
                <w:szCs w:val="21"/>
                <w:highlight w:val="none"/>
                <w:lang w:val="en-US" w:eastAsia="zh-CN"/>
              </w:rPr>
              <w:t>市</w:t>
            </w:r>
            <w:r>
              <w:rPr>
                <w:rFonts w:hint="eastAsia" w:ascii="宋体" w:hAnsi="宋体" w:eastAsia="宋体" w:cs="宋体"/>
                <w:sz w:val="21"/>
                <w:szCs w:val="21"/>
                <w:highlight w:val="none"/>
              </w:rPr>
              <w:t>级或以上工程质量奖项的</w:t>
            </w:r>
            <w:r>
              <w:rPr>
                <w:rFonts w:hint="eastAsia" w:ascii="宋体" w:hAnsi="宋体" w:eastAsia="宋体" w:cs="宋体"/>
                <w:sz w:val="21"/>
                <w:szCs w:val="21"/>
                <w:highlight w:val="none"/>
                <w:lang w:val="en-US" w:eastAsia="zh-CN"/>
              </w:rPr>
              <w:t>,每项得</w:t>
            </w:r>
            <w:r>
              <w:rPr>
                <w:rFonts w:hint="eastAsia" w:ascii="宋体" w:hAnsi="宋体" w:cs="宋体"/>
                <w:sz w:val="21"/>
                <w:szCs w:val="21"/>
                <w:highlight w:val="none"/>
                <w:lang w:val="en-US" w:eastAsia="zh-CN"/>
              </w:rPr>
              <w:t>1</w:t>
            </w:r>
            <w:r>
              <w:rPr>
                <w:rFonts w:hint="eastAsia" w:ascii="宋体" w:hAnsi="宋体" w:eastAsia="宋体" w:cs="宋体"/>
                <w:b w:val="0"/>
                <w:bCs w:val="0"/>
                <w:color w:val="auto"/>
                <w:kern w:val="2"/>
                <w:sz w:val="21"/>
                <w:szCs w:val="21"/>
                <w:highlight w:val="none"/>
                <w:lang w:val="en-US" w:eastAsia="zh-CN" w:bidi="ar-SA"/>
              </w:rPr>
              <w:t>分；累计最</w:t>
            </w:r>
            <w:r>
              <w:rPr>
                <w:rFonts w:hint="eastAsia" w:ascii="宋体" w:hAnsi="宋体" w:eastAsia="宋体" w:cs="宋体"/>
                <w:sz w:val="21"/>
                <w:szCs w:val="21"/>
                <w:highlight w:val="none"/>
              </w:rPr>
              <w:t>高得</w:t>
            </w: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rPr>
              <w:t>分。</w:t>
            </w:r>
          </w:p>
        </w:tc>
      </w:tr>
      <w:tr w14:paraId="257CFA71">
        <w:tblPrEx>
          <w:tblCellMar>
            <w:top w:w="0" w:type="dxa"/>
            <w:left w:w="108" w:type="dxa"/>
            <w:bottom w:w="0" w:type="dxa"/>
            <w:right w:w="108" w:type="dxa"/>
          </w:tblCellMar>
        </w:tblPrEx>
        <w:trPr>
          <w:trHeight w:val="90" w:hRule="atLeast"/>
          <w:jc w:val="center"/>
        </w:trPr>
        <w:tc>
          <w:tcPr>
            <w:tcW w:w="621" w:type="dxa"/>
            <w:vMerge w:val="restart"/>
            <w:tcBorders>
              <w:top w:val="single" w:color="auto" w:sz="4" w:space="0"/>
              <w:left w:val="single" w:color="auto" w:sz="4" w:space="0"/>
              <w:right w:val="single" w:color="auto" w:sz="4" w:space="0"/>
            </w:tcBorders>
            <w:noWrap w:val="0"/>
            <w:vAlign w:val="center"/>
          </w:tcPr>
          <w:p w14:paraId="21EA76A3">
            <w:pPr>
              <w:snapToGrid w:val="0"/>
              <w:spacing w:line="300" w:lineRule="exact"/>
              <w:ind w:left="-55" w:leftChars="-26" w:right="-53" w:rightChars="-25"/>
              <w:jc w:val="center"/>
              <w:rPr>
                <w:rFonts w:hint="default" w:ascii="宋体" w:hAnsi="宋体" w:eastAsia="宋体" w:cs="宋体"/>
                <w:bCs/>
                <w:color w:val="000000"/>
                <w:sz w:val="21"/>
                <w:szCs w:val="21"/>
                <w:lang w:val="en-US" w:eastAsia="zh-CN"/>
              </w:rPr>
            </w:pPr>
            <w:r>
              <w:rPr>
                <w:rFonts w:hint="eastAsia" w:ascii="宋体" w:hAnsi="宋体" w:cs="宋体"/>
                <w:bCs/>
                <w:color w:val="000000"/>
                <w:sz w:val="21"/>
                <w:szCs w:val="21"/>
                <w:lang w:val="en-US" w:eastAsia="zh-CN"/>
              </w:rPr>
              <w:t>技术部分（40分）</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3C166B6E">
            <w:pPr>
              <w:spacing w:line="240" w:lineRule="auto"/>
              <w:rPr>
                <w:rFonts w:hint="eastAsia" w:ascii="宋体" w:hAnsi="宋体" w:eastAsia="宋体" w:cs="宋体"/>
                <w:color w:val="000000"/>
                <w:sz w:val="21"/>
                <w:szCs w:val="21"/>
                <w:lang w:eastAsia="zh-CN"/>
              </w:rPr>
            </w:pPr>
            <w:r>
              <w:rPr>
                <w:rFonts w:hint="eastAsia" w:ascii="宋体" w:hAnsi="宋体" w:eastAsia="宋体" w:cs="宋体"/>
                <w:color w:val="auto"/>
                <w:sz w:val="21"/>
                <w:szCs w:val="21"/>
              </w:rPr>
              <w:t>对项目的理解及需求分析</w:t>
            </w:r>
          </w:p>
        </w:tc>
        <w:tc>
          <w:tcPr>
            <w:tcW w:w="752" w:type="dxa"/>
            <w:tcBorders>
              <w:top w:val="single" w:color="auto" w:sz="4" w:space="0"/>
              <w:left w:val="single" w:color="auto" w:sz="4" w:space="0"/>
              <w:bottom w:val="single" w:color="auto" w:sz="4" w:space="0"/>
              <w:right w:val="single" w:color="auto" w:sz="4" w:space="0"/>
            </w:tcBorders>
            <w:noWrap w:val="0"/>
            <w:vAlign w:val="center"/>
          </w:tcPr>
          <w:p w14:paraId="224AD4E3">
            <w:pPr>
              <w:spacing w:line="24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分</w:t>
            </w:r>
          </w:p>
        </w:tc>
        <w:tc>
          <w:tcPr>
            <w:tcW w:w="7372" w:type="dxa"/>
            <w:tcBorders>
              <w:top w:val="single" w:color="auto" w:sz="4" w:space="0"/>
              <w:left w:val="single" w:color="auto" w:sz="4" w:space="0"/>
              <w:bottom w:val="single" w:color="auto" w:sz="4" w:space="0"/>
              <w:right w:val="single" w:color="auto" w:sz="4" w:space="0"/>
            </w:tcBorders>
            <w:noWrap w:val="0"/>
            <w:vAlign w:val="center"/>
          </w:tcPr>
          <w:p w14:paraId="4DD9337D">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1、对项目的理解及需求理解深刻，完全符合项目需求的，得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分；</w:t>
            </w:r>
          </w:p>
          <w:p w14:paraId="66CEC41F">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2、对项目的理解及需求理解</w:t>
            </w:r>
            <w:r>
              <w:rPr>
                <w:rFonts w:hint="eastAsia" w:ascii="宋体" w:hAnsi="宋体" w:eastAsia="宋体" w:cs="宋体"/>
                <w:color w:val="auto"/>
                <w:sz w:val="21"/>
                <w:szCs w:val="21"/>
                <w:lang w:eastAsia="zh-CN"/>
              </w:rPr>
              <w:t>较好</w:t>
            </w:r>
            <w:r>
              <w:rPr>
                <w:rFonts w:hint="eastAsia" w:ascii="宋体" w:hAnsi="宋体" w:eastAsia="宋体" w:cs="宋体"/>
                <w:color w:val="auto"/>
                <w:sz w:val="21"/>
                <w:szCs w:val="21"/>
              </w:rPr>
              <w:t>，符合项目需求的，得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p>
          <w:p w14:paraId="728F78F5">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、对项目的理解及需求理解</w:t>
            </w:r>
            <w:r>
              <w:rPr>
                <w:rFonts w:hint="eastAsia" w:ascii="宋体" w:hAnsi="宋体" w:eastAsia="宋体" w:cs="宋体"/>
                <w:color w:val="auto"/>
                <w:sz w:val="21"/>
                <w:szCs w:val="21"/>
                <w:lang w:eastAsia="zh-CN"/>
              </w:rPr>
              <w:t>一般</w:t>
            </w:r>
            <w:r>
              <w:rPr>
                <w:rFonts w:hint="eastAsia" w:ascii="宋体" w:hAnsi="宋体" w:eastAsia="宋体" w:cs="宋体"/>
                <w:color w:val="auto"/>
                <w:sz w:val="21"/>
                <w:szCs w:val="21"/>
              </w:rPr>
              <w:t>，基本符合项目需求的，得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p>
          <w:p w14:paraId="7571F2F3">
            <w:pPr>
              <w:spacing w:line="240" w:lineRule="auto"/>
              <w:rPr>
                <w:rFonts w:hint="eastAsia" w:eastAsia="宋体"/>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、对项目的理解及需求理解不够</w:t>
            </w:r>
            <w:r>
              <w:rPr>
                <w:rFonts w:hint="eastAsia" w:ascii="宋体" w:hAnsi="宋体" w:eastAsia="宋体" w:cs="宋体"/>
                <w:color w:val="auto"/>
                <w:sz w:val="21"/>
                <w:szCs w:val="21"/>
                <w:lang w:eastAsia="zh-CN"/>
              </w:rPr>
              <w:t>透彻</w:t>
            </w:r>
            <w:r>
              <w:rPr>
                <w:rFonts w:hint="eastAsia" w:ascii="宋体" w:hAnsi="宋体" w:eastAsia="宋体" w:cs="宋体"/>
                <w:color w:val="auto"/>
                <w:sz w:val="21"/>
                <w:szCs w:val="21"/>
              </w:rPr>
              <w:t>，分析不够具体充分的，得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14:paraId="0155EA74">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、对项目的理解及需求理解不</w:t>
            </w:r>
            <w:r>
              <w:rPr>
                <w:rFonts w:hint="eastAsia" w:ascii="宋体" w:hAnsi="宋体" w:eastAsia="宋体" w:cs="宋体"/>
                <w:color w:val="auto"/>
                <w:sz w:val="21"/>
                <w:szCs w:val="21"/>
                <w:lang w:eastAsia="zh-CN"/>
              </w:rPr>
              <w:t>透彻</w:t>
            </w:r>
            <w:r>
              <w:rPr>
                <w:rFonts w:hint="eastAsia" w:ascii="宋体" w:hAnsi="宋体" w:eastAsia="宋体" w:cs="宋体"/>
                <w:color w:val="auto"/>
                <w:sz w:val="21"/>
                <w:szCs w:val="21"/>
              </w:rPr>
              <w:t>，分析不具体充分的，得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p>
          <w:p w14:paraId="2F196925">
            <w:pPr>
              <w:pStyle w:val="27"/>
              <w:spacing w:line="240" w:lineRule="auto"/>
              <w:rPr>
                <w:rFonts w:hint="eastAsia" w:ascii="宋体" w:hAnsi="宋体" w:eastAsia="宋体" w:cs="宋体"/>
                <w:sz w:val="21"/>
                <w:szCs w:val="21"/>
              </w:rPr>
            </w:pPr>
            <w:r>
              <w:rPr>
                <w:rFonts w:hint="eastAsia" w:ascii="宋体" w:hAnsi="宋体" w:eastAsia="宋体" w:cs="宋体"/>
                <w:bCs w:val="0"/>
                <w:color w:val="auto"/>
                <w:spacing w:val="0"/>
                <w:kern w:val="2"/>
                <w:sz w:val="21"/>
                <w:szCs w:val="21"/>
                <w:lang w:val="en-US" w:eastAsia="zh-CN" w:bidi="ar-SA"/>
              </w:rPr>
              <w:t>6、不提供不得分。</w:t>
            </w:r>
          </w:p>
        </w:tc>
      </w:tr>
      <w:tr w14:paraId="7FE58175">
        <w:tblPrEx>
          <w:tblCellMar>
            <w:top w:w="0" w:type="dxa"/>
            <w:left w:w="108" w:type="dxa"/>
            <w:bottom w:w="0" w:type="dxa"/>
            <w:right w:w="108" w:type="dxa"/>
          </w:tblCellMar>
        </w:tblPrEx>
        <w:trPr>
          <w:trHeight w:val="90" w:hRule="atLeast"/>
          <w:jc w:val="center"/>
        </w:trPr>
        <w:tc>
          <w:tcPr>
            <w:tcW w:w="621" w:type="dxa"/>
            <w:vMerge w:val="continue"/>
            <w:tcBorders>
              <w:left w:val="single" w:color="auto" w:sz="4" w:space="0"/>
              <w:right w:val="single" w:color="auto" w:sz="4" w:space="0"/>
            </w:tcBorders>
            <w:noWrap w:val="0"/>
            <w:vAlign w:val="center"/>
          </w:tcPr>
          <w:p w14:paraId="1938C278">
            <w:pPr>
              <w:snapToGrid w:val="0"/>
              <w:spacing w:line="300" w:lineRule="exact"/>
              <w:ind w:left="-55" w:leftChars="-26" w:right="-53" w:rightChars="-25"/>
              <w:jc w:val="center"/>
              <w:rPr>
                <w:rFonts w:hint="eastAsia" w:ascii="宋体" w:hAnsi="宋体" w:eastAsia="宋体" w:cs="宋体"/>
                <w:bCs/>
                <w:color w:val="000000"/>
                <w:sz w:val="21"/>
                <w:szCs w:val="21"/>
                <w:lang w:val="en-US" w:eastAsia="zh-CN"/>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14:paraId="7D0310E2">
            <w:pPr>
              <w:spacing w:line="240" w:lineRule="auto"/>
              <w:rPr>
                <w:rFonts w:hint="eastAsia" w:ascii="宋体" w:hAnsi="宋体" w:eastAsia="宋体" w:cs="宋体"/>
                <w:color w:val="000000"/>
                <w:sz w:val="21"/>
                <w:szCs w:val="21"/>
                <w:lang w:eastAsia="zh-CN"/>
              </w:rPr>
            </w:pPr>
            <w:r>
              <w:rPr>
                <w:rFonts w:hint="eastAsia" w:ascii="宋体" w:hAnsi="宋体" w:eastAsia="宋体" w:cs="宋体"/>
                <w:color w:val="auto"/>
                <w:sz w:val="21"/>
                <w:szCs w:val="21"/>
                <w:lang w:val="en-US" w:eastAsia="zh-CN"/>
              </w:rPr>
              <w:t>施工组织方案</w:t>
            </w:r>
          </w:p>
        </w:tc>
        <w:tc>
          <w:tcPr>
            <w:tcW w:w="752" w:type="dxa"/>
            <w:tcBorders>
              <w:top w:val="single" w:color="auto" w:sz="4" w:space="0"/>
              <w:left w:val="single" w:color="auto" w:sz="4" w:space="0"/>
              <w:bottom w:val="single" w:color="auto" w:sz="4" w:space="0"/>
              <w:right w:val="single" w:color="auto" w:sz="4" w:space="0"/>
            </w:tcBorders>
            <w:noWrap w:val="0"/>
            <w:vAlign w:val="center"/>
          </w:tcPr>
          <w:p w14:paraId="3651422D">
            <w:pPr>
              <w:spacing w:line="240" w:lineRule="auto"/>
              <w:jc w:val="center"/>
              <w:rPr>
                <w:rFonts w:hint="eastAsia" w:ascii="宋体" w:hAnsi="宋体" w:eastAsia="宋体" w:cs="宋体"/>
                <w:color w:val="000000"/>
                <w:kern w:val="0"/>
                <w:sz w:val="21"/>
                <w:szCs w:val="21"/>
                <w:lang w:val="en-US" w:eastAsia="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w:t>
            </w:r>
          </w:p>
        </w:tc>
        <w:tc>
          <w:tcPr>
            <w:tcW w:w="7372" w:type="dxa"/>
            <w:tcBorders>
              <w:top w:val="single" w:color="auto" w:sz="4" w:space="0"/>
              <w:left w:val="single" w:color="auto" w:sz="4" w:space="0"/>
              <w:bottom w:val="single" w:color="auto" w:sz="4" w:space="0"/>
              <w:right w:val="single" w:color="auto" w:sz="4" w:space="0"/>
            </w:tcBorders>
            <w:noWrap w:val="0"/>
            <w:vAlign w:val="center"/>
          </w:tcPr>
          <w:p w14:paraId="2215A3EA">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根据各</w:t>
            </w:r>
            <w:r>
              <w:rPr>
                <w:rFonts w:hint="eastAsia" w:ascii="宋体" w:hAnsi="宋体" w:eastAsia="宋体" w:cs="宋体"/>
                <w:color w:val="auto"/>
                <w:sz w:val="21"/>
                <w:szCs w:val="21"/>
                <w:lang w:eastAsia="zh-CN"/>
              </w:rPr>
              <w:t>报价单位</w:t>
            </w:r>
            <w:r>
              <w:rPr>
                <w:rFonts w:hint="eastAsia" w:ascii="宋体" w:hAnsi="宋体" w:eastAsia="宋体" w:cs="宋体"/>
                <w:color w:val="auto"/>
                <w:sz w:val="21"/>
                <w:szCs w:val="21"/>
              </w:rPr>
              <w:t>针对本项目的各项详细方案（包含安装、验收、调试等）的可行性、细致程度、具体程度等进行评价。</w:t>
            </w:r>
          </w:p>
          <w:p w14:paraId="5ABDD0FD">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1、方案科学、合理的，得</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w:t>
            </w:r>
          </w:p>
          <w:p w14:paraId="4EE8F824">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2、方案较科学、合理的，得</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w:t>
            </w:r>
          </w:p>
          <w:p w14:paraId="76AB96AF">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3、方案整体偏离实际要求、较差的，得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p w14:paraId="65EF7CD2">
            <w:pPr>
              <w:spacing w:line="240" w:lineRule="auto"/>
              <w:rPr>
                <w:rFonts w:hint="eastAsia" w:ascii="宋体" w:hAnsi="宋体" w:eastAsia="宋体" w:cs="宋体"/>
                <w:sz w:val="21"/>
                <w:szCs w:val="21"/>
              </w:rPr>
            </w:pPr>
            <w:r>
              <w:rPr>
                <w:rFonts w:hint="eastAsia" w:ascii="宋体" w:hAnsi="宋体" w:eastAsia="宋体" w:cs="宋体"/>
                <w:color w:val="auto"/>
                <w:sz w:val="21"/>
                <w:szCs w:val="21"/>
              </w:rPr>
              <w:t>4、无不得分。</w:t>
            </w:r>
          </w:p>
        </w:tc>
      </w:tr>
      <w:tr w14:paraId="3A441A23">
        <w:tblPrEx>
          <w:tblCellMar>
            <w:top w:w="0" w:type="dxa"/>
            <w:left w:w="108" w:type="dxa"/>
            <w:bottom w:w="0" w:type="dxa"/>
            <w:right w:w="108" w:type="dxa"/>
          </w:tblCellMar>
        </w:tblPrEx>
        <w:trPr>
          <w:trHeight w:val="90" w:hRule="atLeast"/>
          <w:jc w:val="center"/>
        </w:trPr>
        <w:tc>
          <w:tcPr>
            <w:tcW w:w="621" w:type="dxa"/>
            <w:vMerge w:val="continue"/>
            <w:tcBorders>
              <w:left w:val="single" w:color="auto" w:sz="4" w:space="0"/>
              <w:right w:val="single" w:color="auto" w:sz="4" w:space="0"/>
            </w:tcBorders>
            <w:noWrap w:val="0"/>
            <w:vAlign w:val="center"/>
          </w:tcPr>
          <w:p w14:paraId="48B7BE5F">
            <w:pPr>
              <w:snapToGrid w:val="0"/>
              <w:spacing w:line="300" w:lineRule="exact"/>
              <w:ind w:left="-55" w:leftChars="-26" w:right="-53" w:rightChars="-25"/>
              <w:jc w:val="center"/>
              <w:rPr>
                <w:rFonts w:hint="eastAsia" w:ascii="宋体" w:hAnsi="宋体" w:eastAsia="宋体" w:cs="宋体"/>
                <w:bCs/>
                <w:color w:val="000000"/>
                <w:sz w:val="21"/>
                <w:szCs w:val="21"/>
                <w:lang w:val="en-US" w:eastAsia="zh-CN"/>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14:paraId="26DCD303">
            <w:pPr>
              <w:spacing w:line="240" w:lineRule="auto"/>
              <w:rPr>
                <w:rFonts w:hint="eastAsia" w:ascii="宋体" w:hAnsi="宋体" w:eastAsia="宋体" w:cs="宋体"/>
                <w:color w:val="000000"/>
                <w:sz w:val="21"/>
                <w:szCs w:val="21"/>
                <w:lang w:eastAsia="zh-CN"/>
              </w:rPr>
            </w:pPr>
            <w:r>
              <w:rPr>
                <w:rFonts w:hint="eastAsia" w:ascii="宋体" w:hAnsi="宋体" w:eastAsia="宋体" w:cs="宋体"/>
                <w:color w:val="auto"/>
                <w:sz w:val="21"/>
                <w:szCs w:val="21"/>
                <w:lang w:val="en-US" w:eastAsia="zh-CN"/>
              </w:rPr>
              <w:t>施工进度计划</w:t>
            </w:r>
          </w:p>
        </w:tc>
        <w:tc>
          <w:tcPr>
            <w:tcW w:w="752" w:type="dxa"/>
            <w:tcBorders>
              <w:top w:val="single" w:color="auto" w:sz="4" w:space="0"/>
              <w:left w:val="single" w:color="auto" w:sz="4" w:space="0"/>
              <w:bottom w:val="single" w:color="auto" w:sz="4" w:space="0"/>
              <w:right w:val="single" w:color="auto" w:sz="4" w:space="0"/>
            </w:tcBorders>
            <w:noWrap w:val="0"/>
            <w:vAlign w:val="center"/>
          </w:tcPr>
          <w:p w14:paraId="33059F0D">
            <w:pPr>
              <w:spacing w:line="24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auto"/>
                <w:sz w:val="21"/>
                <w:szCs w:val="21"/>
                <w:lang w:val="en-US" w:eastAsia="zh-CN"/>
              </w:rPr>
              <w:t>6分</w:t>
            </w:r>
          </w:p>
        </w:tc>
        <w:tc>
          <w:tcPr>
            <w:tcW w:w="7372" w:type="dxa"/>
            <w:tcBorders>
              <w:top w:val="single" w:color="auto" w:sz="4" w:space="0"/>
              <w:left w:val="single" w:color="auto" w:sz="4" w:space="0"/>
              <w:bottom w:val="single" w:color="auto" w:sz="4" w:space="0"/>
              <w:right w:val="single" w:color="auto" w:sz="4" w:space="0"/>
            </w:tcBorders>
            <w:noWrap w:val="0"/>
            <w:vAlign w:val="center"/>
          </w:tcPr>
          <w:p w14:paraId="48E135DF">
            <w:p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针对本项目的使用进度计划，计划清楚明确，内容完整等进行评审： </w:t>
            </w:r>
          </w:p>
          <w:p w14:paraId="4FE3FD3D">
            <w:p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1、施工进度计划科学，符合实际，满足施工工期的要求，得6分； </w:t>
            </w:r>
          </w:p>
          <w:p w14:paraId="21DA1287">
            <w:p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2、施工进度计划科学，符合实际，较满足施工工期的要求，得4分； </w:t>
            </w:r>
          </w:p>
          <w:p w14:paraId="224635FF">
            <w:p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3、施工进度计划较科学，较符合实际，能够满足施工工期的要求，得2分； </w:t>
            </w:r>
          </w:p>
          <w:p w14:paraId="068801A7">
            <w:p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4、施工进度计划可行，基本满足施工要求，得1分； </w:t>
            </w:r>
          </w:p>
          <w:p w14:paraId="6D6009BE">
            <w:pPr>
              <w:spacing w:line="240" w:lineRule="auto"/>
              <w:rPr>
                <w:rFonts w:hint="eastAsia" w:ascii="宋体" w:hAnsi="宋体" w:eastAsia="宋体" w:cs="宋体"/>
                <w:sz w:val="21"/>
                <w:szCs w:val="21"/>
              </w:rPr>
            </w:pPr>
            <w:r>
              <w:rPr>
                <w:rFonts w:hint="eastAsia" w:ascii="宋体" w:hAnsi="宋体" w:eastAsia="宋体" w:cs="宋体"/>
                <w:color w:val="auto"/>
                <w:sz w:val="21"/>
                <w:szCs w:val="21"/>
                <w:lang w:val="en-US" w:eastAsia="zh-CN"/>
              </w:rPr>
              <w:t>5、不提供不得分。</w:t>
            </w:r>
          </w:p>
        </w:tc>
      </w:tr>
      <w:tr w14:paraId="1D3542EC">
        <w:tblPrEx>
          <w:tblCellMar>
            <w:top w:w="0" w:type="dxa"/>
            <w:left w:w="108" w:type="dxa"/>
            <w:bottom w:w="0" w:type="dxa"/>
            <w:right w:w="108" w:type="dxa"/>
          </w:tblCellMar>
        </w:tblPrEx>
        <w:trPr>
          <w:trHeight w:val="90" w:hRule="atLeast"/>
          <w:jc w:val="center"/>
        </w:trPr>
        <w:tc>
          <w:tcPr>
            <w:tcW w:w="621" w:type="dxa"/>
            <w:vMerge w:val="continue"/>
            <w:tcBorders>
              <w:left w:val="single" w:color="auto" w:sz="4" w:space="0"/>
              <w:right w:val="single" w:color="auto" w:sz="4" w:space="0"/>
            </w:tcBorders>
            <w:noWrap w:val="0"/>
            <w:vAlign w:val="center"/>
          </w:tcPr>
          <w:p w14:paraId="709D0138">
            <w:pPr>
              <w:snapToGrid w:val="0"/>
              <w:spacing w:line="300" w:lineRule="exact"/>
              <w:ind w:left="-55" w:leftChars="-26" w:right="-53" w:rightChars="-25"/>
              <w:jc w:val="center"/>
              <w:rPr>
                <w:rFonts w:hint="eastAsia" w:ascii="宋体" w:hAnsi="宋体" w:eastAsia="宋体" w:cs="宋体"/>
                <w:bCs/>
                <w:color w:val="000000"/>
                <w:sz w:val="21"/>
                <w:szCs w:val="21"/>
                <w:lang w:val="en-US" w:eastAsia="zh-CN"/>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14:paraId="6E8BC1FC">
            <w:pPr>
              <w:spacing w:line="240" w:lineRule="auto"/>
              <w:rPr>
                <w:rFonts w:hint="eastAsia" w:ascii="宋体" w:hAnsi="宋体" w:eastAsia="宋体" w:cs="宋体"/>
                <w:color w:val="000000"/>
                <w:sz w:val="21"/>
                <w:szCs w:val="21"/>
                <w:lang w:eastAsia="zh-CN"/>
              </w:rPr>
            </w:pPr>
            <w:r>
              <w:rPr>
                <w:rFonts w:hint="eastAsia" w:ascii="宋体" w:hAnsi="宋体" w:eastAsia="宋体" w:cs="宋体"/>
                <w:color w:val="auto"/>
                <w:sz w:val="21"/>
                <w:szCs w:val="21"/>
              </w:rPr>
              <w:t>施工安全及文明施工措施</w:t>
            </w:r>
          </w:p>
        </w:tc>
        <w:tc>
          <w:tcPr>
            <w:tcW w:w="752" w:type="dxa"/>
            <w:tcBorders>
              <w:top w:val="single" w:color="auto" w:sz="4" w:space="0"/>
              <w:left w:val="single" w:color="auto" w:sz="4" w:space="0"/>
              <w:bottom w:val="single" w:color="auto" w:sz="4" w:space="0"/>
              <w:right w:val="single" w:color="auto" w:sz="4" w:space="0"/>
            </w:tcBorders>
            <w:noWrap w:val="0"/>
            <w:vAlign w:val="center"/>
          </w:tcPr>
          <w:p w14:paraId="32BB1E57">
            <w:pPr>
              <w:spacing w:line="240" w:lineRule="auto"/>
              <w:jc w:val="center"/>
              <w:rPr>
                <w:rFonts w:hint="eastAsia" w:ascii="宋体" w:hAnsi="宋体" w:eastAsia="宋体" w:cs="宋体"/>
                <w:color w:val="000000"/>
                <w:kern w:val="0"/>
                <w:sz w:val="21"/>
                <w:szCs w:val="21"/>
                <w:lang w:val="en-US" w:eastAsia="zh-CN"/>
              </w:rPr>
            </w:pP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w:t>
            </w:r>
          </w:p>
        </w:tc>
        <w:tc>
          <w:tcPr>
            <w:tcW w:w="7372" w:type="dxa"/>
            <w:tcBorders>
              <w:top w:val="single" w:color="auto" w:sz="4" w:space="0"/>
              <w:left w:val="single" w:color="auto" w:sz="4" w:space="0"/>
              <w:bottom w:val="single" w:color="auto" w:sz="4" w:space="0"/>
              <w:right w:val="single" w:color="auto" w:sz="4" w:space="0"/>
            </w:tcBorders>
            <w:noWrap w:val="0"/>
            <w:vAlign w:val="center"/>
          </w:tcPr>
          <w:p w14:paraId="4D542C81">
            <w:p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根据提供的文明施工、施工扬尘防治、环保措施明确、具体可行、各项措施落实进行评审： </w:t>
            </w:r>
          </w:p>
          <w:p w14:paraId="68BB7BBF">
            <w:p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1、完整合理、切实可行，保障措施满足施工要求得</w:t>
            </w:r>
            <w:r>
              <w:rPr>
                <w:rFonts w:hint="eastAsia" w:ascii="宋体" w:hAnsi="宋体" w:cs="宋体"/>
                <w:color w:val="auto"/>
                <w:sz w:val="21"/>
                <w:szCs w:val="21"/>
                <w:lang w:val="en-US" w:eastAsia="zh-CN"/>
              </w:rPr>
              <w:t>10</w:t>
            </w:r>
            <w:r>
              <w:rPr>
                <w:rFonts w:hint="eastAsia" w:ascii="宋体" w:hAnsi="宋体" w:eastAsia="宋体" w:cs="宋体"/>
                <w:color w:val="auto"/>
                <w:sz w:val="21"/>
                <w:szCs w:val="21"/>
                <w:lang w:val="en-US" w:eastAsia="zh-CN"/>
              </w:rPr>
              <w:t xml:space="preserve">分； </w:t>
            </w:r>
          </w:p>
          <w:p w14:paraId="49E019FD">
            <w:p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2、较完整合理、较切实可行，有一定保障措施：</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 xml:space="preserve">分； </w:t>
            </w:r>
          </w:p>
          <w:p w14:paraId="6D13D2FF">
            <w:p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3、内容基本合理、基本切实可行，保障措施基本满足要求：</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 xml:space="preserve">分； </w:t>
            </w:r>
          </w:p>
          <w:p w14:paraId="1BF5095E">
            <w:p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4、不完整合理、可行一般，保障措施差：</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 xml:space="preserve">分； </w:t>
            </w:r>
          </w:p>
          <w:p w14:paraId="3C45D8AB">
            <w:pPr>
              <w:spacing w:line="240" w:lineRule="auto"/>
              <w:rPr>
                <w:rFonts w:hint="eastAsia" w:ascii="宋体" w:hAnsi="宋体" w:eastAsia="宋体" w:cs="宋体"/>
                <w:sz w:val="21"/>
                <w:szCs w:val="21"/>
              </w:rPr>
            </w:pPr>
            <w:r>
              <w:rPr>
                <w:rFonts w:hint="eastAsia" w:ascii="宋体" w:hAnsi="宋体" w:eastAsia="宋体" w:cs="宋体"/>
                <w:color w:val="auto"/>
                <w:sz w:val="21"/>
                <w:szCs w:val="21"/>
                <w:lang w:val="en-US" w:eastAsia="zh-CN"/>
              </w:rPr>
              <w:t>5、不提供不得分。</w:t>
            </w:r>
          </w:p>
        </w:tc>
      </w:tr>
      <w:tr w14:paraId="04612A9B">
        <w:tblPrEx>
          <w:tblCellMar>
            <w:top w:w="0" w:type="dxa"/>
            <w:left w:w="108" w:type="dxa"/>
            <w:bottom w:w="0" w:type="dxa"/>
            <w:right w:w="108" w:type="dxa"/>
          </w:tblCellMar>
        </w:tblPrEx>
        <w:trPr>
          <w:trHeight w:val="90" w:hRule="atLeast"/>
          <w:jc w:val="center"/>
        </w:trPr>
        <w:tc>
          <w:tcPr>
            <w:tcW w:w="621" w:type="dxa"/>
            <w:vMerge w:val="continue"/>
            <w:tcBorders>
              <w:left w:val="single" w:color="auto" w:sz="4" w:space="0"/>
              <w:bottom w:val="single" w:color="auto" w:sz="4" w:space="0"/>
              <w:right w:val="single" w:color="auto" w:sz="4" w:space="0"/>
            </w:tcBorders>
            <w:noWrap w:val="0"/>
            <w:vAlign w:val="center"/>
          </w:tcPr>
          <w:p w14:paraId="68C75903">
            <w:pPr>
              <w:snapToGrid w:val="0"/>
              <w:spacing w:line="300" w:lineRule="exact"/>
              <w:ind w:left="-55" w:leftChars="-26" w:right="-53" w:rightChars="-25"/>
              <w:jc w:val="center"/>
              <w:rPr>
                <w:rFonts w:hint="eastAsia" w:ascii="宋体" w:hAnsi="宋体" w:eastAsia="宋体" w:cs="宋体"/>
                <w:bCs/>
                <w:color w:val="000000"/>
                <w:sz w:val="21"/>
                <w:szCs w:val="21"/>
                <w:lang w:val="en-US" w:eastAsia="zh-CN"/>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14:paraId="173C408B">
            <w:pPr>
              <w:spacing w:line="240" w:lineRule="auto"/>
              <w:rPr>
                <w:rFonts w:hint="eastAsia" w:ascii="宋体" w:hAnsi="宋体" w:eastAsia="宋体" w:cs="宋体"/>
                <w:color w:val="000000"/>
                <w:sz w:val="21"/>
                <w:szCs w:val="21"/>
                <w:lang w:eastAsia="zh-CN"/>
              </w:rPr>
            </w:pPr>
            <w:r>
              <w:rPr>
                <w:rFonts w:hint="eastAsia" w:ascii="宋体" w:hAnsi="宋体" w:eastAsia="宋体" w:cs="宋体"/>
                <w:color w:val="auto"/>
                <w:sz w:val="21"/>
                <w:szCs w:val="21"/>
              </w:rPr>
              <w:t>施工质量保证措施</w:t>
            </w:r>
          </w:p>
        </w:tc>
        <w:tc>
          <w:tcPr>
            <w:tcW w:w="752" w:type="dxa"/>
            <w:tcBorders>
              <w:top w:val="single" w:color="auto" w:sz="4" w:space="0"/>
              <w:left w:val="single" w:color="auto" w:sz="4" w:space="0"/>
              <w:bottom w:val="single" w:color="auto" w:sz="4" w:space="0"/>
              <w:right w:val="single" w:color="auto" w:sz="4" w:space="0"/>
            </w:tcBorders>
            <w:noWrap w:val="0"/>
            <w:vAlign w:val="center"/>
          </w:tcPr>
          <w:p w14:paraId="42CEB4B9">
            <w:pPr>
              <w:spacing w:line="24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auto"/>
                <w:sz w:val="21"/>
                <w:szCs w:val="21"/>
                <w:lang w:val="en-US" w:eastAsia="zh-CN"/>
              </w:rPr>
              <w:t>8分</w:t>
            </w:r>
          </w:p>
        </w:tc>
        <w:tc>
          <w:tcPr>
            <w:tcW w:w="7372" w:type="dxa"/>
            <w:tcBorders>
              <w:top w:val="single" w:color="auto" w:sz="4" w:space="0"/>
              <w:left w:val="single" w:color="auto" w:sz="4" w:space="0"/>
              <w:bottom w:val="single" w:color="auto" w:sz="4" w:space="0"/>
              <w:right w:val="single" w:color="auto" w:sz="4" w:space="0"/>
            </w:tcBorders>
            <w:noWrap w:val="0"/>
            <w:vAlign w:val="center"/>
          </w:tcPr>
          <w:p w14:paraId="2E3934F4">
            <w:p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1、针对项目实际提出实际、可行、具体的保证措施，满足询比文件的质量要求及施工验收规范要求，得</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分；</w:t>
            </w:r>
          </w:p>
          <w:p w14:paraId="0ACB8349">
            <w:p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2、针对项目实际提出实际、可行、具体的保证措施，较好满足询比文件的质量要求及施工验收规范要求，得</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 xml:space="preserve">分； </w:t>
            </w:r>
          </w:p>
          <w:p w14:paraId="5525FE35">
            <w:p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3、针对项目实际提出较实际、较可行、较具体的保证措施，能够满足询比文件的质量要求及施工验收规范要求，得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 xml:space="preserve">分； </w:t>
            </w:r>
          </w:p>
          <w:p w14:paraId="458DB0E5">
            <w:p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4、针对项目实际提出的保证措施不具体，不可行，不能满足询比文件的质量要求及施工验收规范要求，得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 xml:space="preserve">分； </w:t>
            </w:r>
          </w:p>
          <w:p w14:paraId="5384CB40">
            <w:pPr>
              <w:spacing w:line="240" w:lineRule="auto"/>
              <w:rPr>
                <w:rFonts w:hint="eastAsia" w:ascii="宋体" w:hAnsi="宋体" w:eastAsia="宋体" w:cs="宋体"/>
                <w:sz w:val="21"/>
                <w:szCs w:val="21"/>
              </w:rPr>
            </w:pPr>
            <w:r>
              <w:rPr>
                <w:rFonts w:hint="eastAsia" w:ascii="宋体" w:hAnsi="宋体" w:eastAsia="宋体" w:cs="宋体"/>
                <w:color w:val="auto"/>
                <w:sz w:val="21"/>
                <w:szCs w:val="21"/>
                <w:lang w:val="en-US" w:eastAsia="zh-CN"/>
              </w:rPr>
              <w:t>5、不提供不得分。</w:t>
            </w:r>
          </w:p>
        </w:tc>
      </w:tr>
      <w:tr w14:paraId="2704B2F4">
        <w:tblPrEx>
          <w:tblCellMar>
            <w:top w:w="0" w:type="dxa"/>
            <w:left w:w="108" w:type="dxa"/>
            <w:bottom w:w="0" w:type="dxa"/>
            <w:right w:w="108" w:type="dxa"/>
          </w:tblCellMar>
        </w:tblPrEx>
        <w:trPr>
          <w:trHeight w:val="90" w:hRule="atLeast"/>
          <w:jc w:val="center"/>
        </w:trPr>
        <w:tc>
          <w:tcPr>
            <w:tcW w:w="621" w:type="dxa"/>
            <w:tcBorders>
              <w:top w:val="single" w:color="auto" w:sz="4" w:space="0"/>
              <w:left w:val="single" w:color="auto" w:sz="4" w:space="0"/>
              <w:bottom w:val="single" w:color="auto" w:sz="4" w:space="0"/>
              <w:right w:val="single" w:color="auto" w:sz="4" w:space="0"/>
            </w:tcBorders>
            <w:noWrap w:val="0"/>
            <w:vAlign w:val="center"/>
          </w:tcPr>
          <w:p w14:paraId="330BE2F1">
            <w:pPr>
              <w:snapToGrid w:val="0"/>
              <w:spacing w:line="300" w:lineRule="exact"/>
              <w:ind w:left="-55" w:leftChars="-26" w:right="-53" w:rightChars="-25"/>
              <w:jc w:val="center"/>
              <w:rPr>
                <w:rFonts w:hint="eastAsia" w:ascii="宋体" w:hAnsi="宋体" w:eastAsia="宋体" w:cs="宋体"/>
                <w:bCs/>
                <w:color w:val="000000"/>
                <w:sz w:val="21"/>
                <w:szCs w:val="21"/>
                <w:lang w:val="en-US" w:eastAsia="zh-CN"/>
              </w:rPr>
            </w:pPr>
            <w:r>
              <w:rPr>
                <w:rFonts w:hint="eastAsia" w:ascii="宋体" w:hAnsi="宋体" w:cs="宋体"/>
                <w:bCs/>
                <w:color w:val="000000"/>
                <w:sz w:val="21"/>
                <w:szCs w:val="21"/>
                <w:lang w:val="en-US" w:eastAsia="zh-CN"/>
              </w:rPr>
              <w:t>报价部分</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532117F5">
            <w:pPr>
              <w:pStyle w:val="42"/>
              <w:autoSpaceDE w:val="0"/>
              <w:autoSpaceDN w:val="0"/>
              <w:spacing w:line="300" w:lineRule="exact"/>
              <w:ind w:right="17" w:right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报价</w:t>
            </w:r>
          </w:p>
        </w:tc>
        <w:tc>
          <w:tcPr>
            <w:tcW w:w="752" w:type="dxa"/>
            <w:tcBorders>
              <w:top w:val="single" w:color="auto" w:sz="4" w:space="0"/>
              <w:left w:val="single" w:color="auto" w:sz="4" w:space="0"/>
              <w:bottom w:val="single" w:color="auto" w:sz="4" w:space="0"/>
              <w:right w:val="single" w:color="auto" w:sz="4" w:space="0"/>
            </w:tcBorders>
            <w:noWrap w:val="0"/>
            <w:vAlign w:val="center"/>
          </w:tcPr>
          <w:p w14:paraId="32D0C181">
            <w:pPr>
              <w:autoSpaceDE w:val="0"/>
              <w:autoSpaceDN w:val="0"/>
              <w:adjustRightInd w:val="0"/>
              <w:spacing w:line="3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w:t>
            </w:r>
            <w:r>
              <w:rPr>
                <w:rFonts w:hint="eastAsia" w:ascii="宋体" w:hAnsi="宋体" w:cs="宋体"/>
                <w:color w:val="000000"/>
                <w:kern w:val="0"/>
                <w:sz w:val="21"/>
                <w:szCs w:val="21"/>
                <w:lang w:val="en-US" w:eastAsia="zh-CN"/>
              </w:rPr>
              <w:t>分</w:t>
            </w:r>
          </w:p>
        </w:tc>
        <w:tc>
          <w:tcPr>
            <w:tcW w:w="7372" w:type="dxa"/>
            <w:tcBorders>
              <w:top w:val="single" w:color="auto" w:sz="4" w:space="0"/>
              <w:left w:val="single" w:color="auto" w:sz="4" w:space="0"/>
              <w:bottom w:val="single" w:color="auto" w:sz="4" w:space="0"/>
              <w:right w:val="single" w:color="auto" w:sz="4" w:space="0"/>
            </w:tcBorders>
            <w:noWrap w:val="0"/>
            <w:vAlign w:val="center"/>
          </w:tcPr>
          <w:p w14:paraId="1CF481E1">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cs="宋体"/>
                <w:sz w:val="21"/>
                <w:szCs w:val="21"/>
                <w:lang w:eastAsia="zh-CN"/>
              </w:rPr>
              <w:t>有效报价下浮率为</w:t>
            </w:r>
            <w:r>
              <w:rPr>
                <w:rFonts w:hint="eastAsia" w:ascii="宋体" w:hAnsi="宋体" w:cs="宋体"/>
                <w:sz w:val="21"/>
                <w:szCs w:val="21"/>
                <w:lang w:val="en-US" w:eastAsia="zh-CN"/>
              </w:rPr>
              <w:t>0.00%-10.00%；</w:t>
            </w:r>
            <w:r>
              <w:rPr>
                <w:rFonts w:hint="eastAsia" w:ascii="宋体" w:hAnsi="宋体" w:eastAsia="宋体" w:cs="宋体"/>
                <w:sz w:val="21"/>
                <w:szCs w:val="21"/>
              </w:rPr>
              <w:t>当有效报价等于报价基准价时，报价得分为20分；报价每高于报价基准价1%的，扣0.5分，每低于1%的，扣0.3分，扣至0分为止，计算出报价得分，精确到小数点后两位。</w:t>
            </w:r>
          </w:p>
          <w:p w14:paraId="38C755FD">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注：1、当有效报价人大于或等于5家时，去掉一个最高价和一个最低价，取余下有效报价的算术平均值作为报价基准价。当有效报价人小于5家时，取所有入围有效报价的算术平均值作为报价基准价。（保留小数点后两位，第三位小数四舍五入）</w:t>
            </w:r>
          </w:p>
        </w:tc>
      </w:tr>
      <w:tr w14:paraId="76F09FB9">
        <w:tblPrEx>
          <w:tblCellMar>
            <w:top w:w="0" w:type="dxa"/>
            <w:left w:w="108" w:type="dxa"/>
            <w:bottom w:w="0" w:type="dxa"/>
            <w:right w:w="108" w:type="dxa"/>
          </w:tblCellMar>
        </w:tblPrEx>
        <w:trPr>
          <w:trHeight w:val="548" w:hRule="atLeast"/>
          <w:jc w:val="center"/>
        </w:trPr>
        <w:tc>
          <w:tcPr>
            <w:tcW w:w="1711" w:type="dxa"/>
            <w:gridSpan w:val="2"/>
            <w:tcBorders>
              <w:top w:val="single" w:color="auto" w:sz="4" w:space="0"/>
              <w:left w:val="single" w:color="auto" w:sz="4" w:space="0"/>
              <w:bottom w:val="single" w:color="auto" w:sz="4" w:space="0"/>
              <w:right w:val="single" w:color="auto" w:sz="4" w:space="0"/>
            </w:tcBorders>
            <w:noWrap w:val="0"/>
            <w:vAlign w:val="center"/>
          </w:tcPr>
          <w:p w14:paraId="3ED175F5">
            <w:pPr>
              <w:snapToGrid w:val="0"/>
              <w:spacing w:line="300" w:lineRule="exact"/>
              <w:ind w:left="-55" w:leftChars="-26" w:right="-53" w:rightChars="-25"/>
              <w:jc w:val="center"/>
              <w:rPr>
                <w:rFonts w:hint="eastAsia" w:ascii="宋体" w:hAnsi="宋体" w:eastAsia="宋体" w:cs="宋体"/>
                <w:color w:val="000000"/>
                <w:sz w:val="18"/>
                <w:szCs w:val="18"/>
              </w:rPr>
            </w:pPr>
            <w:r>
              <w:rPr>
                <w:rFonts w:hint="eastAsia" w:ascii="宋体" w:hAnsi="宋体" w:eastAsia="宋体" w:cs="宋体"/>
                <w:color w:val="000000"/>
                <w:sz w:val="18"/>
                <w:szCs w:val="18"/>
              </w:rPr>
              <w:t>合计</w:t>
            </w:r>
          </w:p>
        </w:tc>
        <w:tc>
          <w:tcPr>
            <w:tcW w:w="8124" w:type="dxa"/>
            <w:gridSpan w:val="2"/>
            <w:tcBorders>
              <w:top w:val="single" w:color="auto" w:sz="4" w:space="0"/>
              <w:left w:val="single" w:color="auto" w:sz="4" w:space="0"/>
              <w:bottom w:val="single" w:color="auto" w:sz="4" w:space="0"/>
              <w:right w:val="single" w:color="auto" w:sz="4" w:space="0"/>
            </w:tcBorders>
            <w:noWrap w:val="0"/>
            <w:vAlign w:val="center"/>
          </w:tcPr>
          <w:p w14:paraId="7B6E5296">
            <w:pPr>
              <w:snapToGrid w:val="0"/>
              <w:spacing w:line="300" w:lineRule="exact"/>
              <w:ind w:left="-55" w:leftChars="-26" w:right="-53" w:rightChars="-25"/>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100</w:t>
            </w:r>
          </w:p>
        </w:tc>
      </w:tr>
    </w:tbl>
    <w:p w14:paraId="5A0B399D">
      <w:pPr>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注：</w:t>
      </w:r>
      <w:r>
        <w:rPr>
          <w:rFonts w:hint="eastAsia" w:ascii="宋体" w:hAnsi="宋体" w:eastAsia="宋体" w:cs="宋体"/>
          <w:sz w:val="21"/>
          <w:szCs w:val="21"/>
          <w:lang w:val="en-US" w:eastAsia="zh-CN"/>
        </w:rPr>
        <w:t>1.</w:t>
      </w:r>
      <w:r>
        <w:rPr>
          <w:rFonts w:hint="eastAsia" w:ascii="宋体" w:hAnsi="宋体" w:eastAsia="宋体" w:cs="宋体"/>
          <w:sz w:val="21"/>
          <w:szCs w:val="21"/>
        </w:rPr>
        <w:t>以上人员不得兼任，须按照要求提供人员的</w:t>
      </w:r>
      <w:r>
        <w:rPr>
          <w:rFonts w:hint="eastAsia" w:ascii="宋体" w:hAnsi="宋体" w:cs="宋体"/>
          <w:sz w:val="21"/>
          <w:szCs w:val="21"/>
          <w:lang w:val="en-US" w:eastAsia="zh-CN"/>
        </w:rPr>
        <w:t>职称证、注册证、</w:t>
      </w:r>
      <w:r>
        <w:rPr>
          <w:rFonts w:hint="eastAsia" w:ascii="宋体" w:hAnsi="宋体" w:eastAsia="宋体" w:cs="宋体"/>
          <w:sz w:val="21"/>
          <w:szCs w:val="21"/>
        </w:rPr>
        <w:t>资格证书、身份证复印件以及近</w:t>
      </w:r>
      <w:r>
        <w:rPr>
          <w:rFonts w:hint="eastAsia" w:ascii="宋体" w:hAnsi="宋体" w:eastAsia="宋体" w:cs="宋体"/>
          <w:sz w:val="21"/>
          <w:szCs w:val="21"/>
          <w:lang w:val="en-US" w:eastAsia="zh-CN"/>
        </w:rPr>
        <w:t>1</w:t>
      </w:r>
      <w:r>
        <w:rPr>
          <w:rFonts w:hint="eastAsia" w:ascii="宋体" w:hAnsi="宋体" w:eastAsia="宋体" w:cs="宋体"/>
          <w:sz w:val="21"/>
          <w:szCs w:val="21"/>
        </w:rPr>
        <w:t>个月社保缴纳证明资料，否则不得分</w:t>
      </w:r>
      <w:r>
        <w:rPr>
          <w:rFonts w:hint="eastAsia" w:ascii="宋体" w:hAnsi="宋体" w:eastAsia="宋体" w:cs="宋体"/>
          <w:sz w:val="21"/>
          <w:szCs w:val="21"/>
          <w:lang w:eastAsia="zh-CN"/>
        </w:rPr>
        <w:t>。</w:t>
      </w:r>
    </w:p>
    <w:p w14:paraId="2255A5CA">
      <w:pPr>
        <w:rPr>
          <w:rFonts w:hint="eastAsia" w:hAnsi="宋体" w:eastAsia="宋体" w:cs="宋体"/>
          <w:sz w:val="24"/>
          <w:szCs w:val="24"/>
        </w:rPr>
      </w:pPr>
      <w:r>
        <w:rPr>
          <w:rFonts w:hint="eastAsia" w:hAnsi="宋体" w:eastAsia="宋体" w:cs="宋体"/>
          <w:sz w:val="24"/>
          <w:szCs w:val="24"/>
        </w:rPr>
        <w:br w:type="page"/>
      </w:r>
    </w:p>
    <w:p w14:paraId="00C31C9A">
      <w:pPr>
        <w:pStyle w:val="9"/>
        <w:spacing w:line="240" w:lineRule="auto"/>
        <w:jc w:val="left"/>
        <w:rPr>
          <w:rFonts w:hint="eastAsia" w:hAnsi="宋体" w:eastAsia="宋体" w:cs="宋体"/>
          <w:color w:val="000000"/>
          <w:sz w:val="24"/>
          <w:szCs w:val="24"/>
          <w:lang w:eastAsia="zh-CN"/>
        </w:rPr>
      </w:pPr>
      <w:r>
        <w:rPr>
          <w:rFonts w:hint="eastAsia" w:hAnsi="宋体" w:eastAsia="宋体" w:cs="宋体"/>
          <w:sz w:val="24"/>
          <w:szCs w:val="24"/>
        </w:rPr>
        <w:t>附件</w:t>
      </w:r>
      <w:r>
        <w:rPr>
          <w:rFonts w:hint="eastAsia" w:hAnsi="宋体" w:eastAsia="宋体" w:cs="宋体"/>
          <w:sz w:val="24"/>
          <w:szCs w:val="24"/>
          <w:lang w:eastAsia="zh-CN"/>
        </w:rPr>
        <w:t>三</w:t>
      </w:r>
    </w:p>
    <w:p w14:paraId="6AF2BC56">
      <w:pPr>
        <w:pStyle w:val="9"/>
        <w:spacing w:line="360" w:lineRule="auto"/>
        <w:jc w:val="center"/>
        <w:rPr>
          <w:rFonts w:hAnsi="宋体" w:eastAsia="宋体" w:cs="宋体"/>
          <w:b/>
          <w:sz w:val="28"/>
          <w:szCs w:val="28"/>
        </w:rPr>
      </w:pPr>
      <w:r>
        <w:rPr>
          <w:rFonts w:hint="eastAsia" w:hAnsi="宋体" w:eastAsia="宋体" w:cs="宋体"/>
          <w:b/>
          <w:sz w:val="28"/>
          <w:szCs w:val="28"/>
        </w:rPr>
        <w:t>报价表</w:t>
      </w:r>
    </w:p>
    <w:p w14:paraId="332C2C84">
      <w:pPr>
        <w:pStyle w:val="38"/>
        <w:ind w:firstLine="0" w:firstLineChars="0"/>
        <w:jc w:val="center"/>
        <w:rPr>
          <w:rFonts w:ascii="宋体" w:hAnsi="宋体" w:cs="宋体"/>
        </w:rPr>
      </w:pPr>
    </w:p>
    <w:p w14:paraId="5854439E">
      <w:pPr>
        <w:pStyle w:val="38"/>
        <w:ind w:left="0" w:leftChars="0" w:firstLine="248" w:firstLineChars="100"/>
        <w:jc w:val="left"/>
        <w:rPr>
          <w:rFonts w:hint="default" w:ascii="宋体" w:hAnsi="宋体" w:cs="宋体"/>
          <w:b w:val="0"/>
          <w:bCs w:val="0"/>
          <w:color w:val="000000"/>
          <w:sz w:val="24"/>
          <w:szCs w:val="24"/>
          <w:u w:val="single"/>
          <w:lang w:val="en-US"/>
        </w:rPr>
      </w:pPr>
      <w:r>
        <w:rPr>
          <w:rFonts w:hint="eastAsia" w:ascii="宋体" w:hAnsi="宋体" w:cs="宋体"/>
        </w:rPr>
        <w:t>项目名称：</w:t>
      </w:r>
      <w:r>
        <w:rPr>
          <w:rFonts w:hint="eastAsia" w:ascii="宋体" w:hAnsi="宋体" w:cs="宋体"/>
          <w:b w:val="0"/>
          <w:bCs w:val="0"/>
          <w:color w:val="000000"/>
          <w:sz w:val="24"/>
          <w:szCs w:val="24"/>
          <w:u w:val="single"/>
          <w:lang w:eastAsia="zh-CN"/>
        </w:rPr>
        <w:t>西湾和苑安置房修缮工程服务</w:t>
      </w:r>
    </w:p>
    <w:tbl>
      <w:tblPr>
        <w:tblStyle w:val="19"/>
        <w:tblW w:w="93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7"/>
        <w:gridCol w:w="2145"/>
        <w:gridCol w:w="1575"/>
        <w:gridCol w:w="2053"/>
        <w:gridCol w:w="1343"/>
        <w:gridCol w:w="1494"/>
      </w:tblGrid>
      <w:tr w14:paraId="3CF69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707" w:type="dxa"/>
            <w:vAlign w:val="center"/>
          </w:tcPr>
          <w:p w14:paraId="2642579F">
            <w:pPr>
              <w:adjustRightInd w:val="0"/>
              <w:snapToGrid w:val="0"/>
              <w:spacing w:line="240" w:lineRule="auto"/>
              <w:jc w:val="center"/>
              <w:rPr>
                <w:rFonts w:asciiTheme="minorEastAsia" w:hAnsiTheme="minorEastAsia" w:cstheme="minorEastAsia"/>
                <w:bCs/>
                <w:sz w:val="24"/>
                <w:szCs w:val="24"/>
              </w:rPr>
            </w:pPr>
            <w:r>
              <w:rPr>
                <w:rFonts w:hint="eastAsia" w:asciiTheme="minorEastAsia" w:hAnsiTheme="minorEastAsia" w:cstheme="minorEastAsia"/>
                <w:bCs/>
                <w:sz w:val="24"/>
                <w:szCs w:val="24"/>
              </w:rPr>
              <w:t>序号</w:t>
            </w:r>
          </w:p>
        </w:tc>
        <w:tc>
          <w:tcPr>
            <w:tcW w:w="2145" w:type="dxa"/>
            <w:vAlign w:val="center"/>
          </w:tcPr>
          <w:p w14:paraId="78B4090A">
            <w:pPr>
              <w:adjustRightInd w:val="0"/>
              <w:snapToGrid w:val="0"/>
              <w:spacing w:line="240" w:lineRule="auto"/>
              <w:jc w:val="center"/>
              <w:rPr>
                <w:rFonts w:asciiTheme="minorEastAsia" w:hAnsiTheme="minorEastAsia" w:cstheme="minorEastAsia"/>
                <w:bCs/>
                <w:sz w:val="24"/>
                <w:szCs w:val="24"/>
              </w:rPr>
            </w:pPr>
            <w:r>
              <w:rPr>
                <w:rFonts w:hint="eastAsia" w:asciiTheme="minorEastAsia" w:hAnsiTheme="minorEastAsia" w:cstheme="minorEastAsia"/>
                <w:bCs/>
                <w:sz w:val="24"/>
                <w:szCs w:val="24"/>
              </w:rPr>
              <w:t>内容</w:t>
            </w:r>
          </w:p>
        </w:tc>
        <w:tc>
          <w:tcPr>
            <w:tcW w:w="1575" w:type="dxa"/>
            <w:vAlign w:val="center"/>
          </w:tcPr>
          <w:p w14:paraId="763C3553">
            <w:pPr>
              <w:adjustRightInd w:val="0"/>
              <w:snapToGrid w:val="0"/>
              <w:spacing w:line="240" w:lineRule="auto"/>
              <w:jc w:val="center"/>
              <w:rPr>
                <w:rFonts w:asciiTheme="minorEastAsia" w:hAnsiTheme="minorEastAsia" w:cstheme="minorEastAsia"/>
                <w:bCs/>
                <w:sz w:val="24"/>
                <w:szCs w:val="24"/>
              </w:rPr>
            </w:pPr>
            <w:r>
              <w:rPr>
                <w:rFonts w:hint="eastAsia" w:asciiTheme="minorEastAsia" w:hAnsiTheme="minorEastAsia" w:cstheme="minorEastAsia"/>
                <w:bCs/>
                <w:sz w:val="24"/>
                <w:szCs w:val="24"/>
              </w:rPr>
              <w:t>最高限价(元)</w:t>
            </w:r>
          </w:p>
        </w:tc>
        <w:tc>
          <w:tcPr>
            <w:tcW w:w="2053" w:type="dxa"/>
            <w:vAlign w:val="center"/>
          </w:tcPr>
          <w:p w14:paraId="12AC7B09">
            <w:pPr>
              <w:adjustRightInd w:val="0"/>
              <w:snapToGrid w:val="0"/>
              <w:spacing w:line="240" w:lineRule="auto"/>
              <w:jc w:val="center"/>
              <w:rPr>
                <w:rFonts w:asciiTheme="minorEastAsia" w:hAnsiTheme="minorEastAsia" w:cstheme="minorEastAsia"/>
                <w:bCs/>
                <w:sz w:val="24"/>
                <w:szCs w:val="24"/>
              </w:rPr>
            </w:pPr>
            <w:r>
              <w:rPr>
                <w:rFonts w:hint="eastAsia" w:asciiTheme="minorEastAsia" w:hAnsiTheme="minorEastAsia" w:cstheme="minorEastAsia"/>
                <w:bCs/>
                <w:sz w:val="24"/>
                <w:szCs w:val="24"/>
              </w:rPr>
              <w:t>报价（元）</w:t>
            </w:r>
          </w:p>
        </w:tc>
        <w:tc>
          <w:tcPr>
            <w:tcW w:w="1343" w:type="dxa"/>
            <w:tcBorders>
              <w:bottom w:val="single" w:color="auto" w:sz="4" w:space="0"/>
            </w:tcBorders>
            <w:vAlign w:val="center"/>
          </w:tcPr>
          <w:p w14:paraId="1FB0D69A">
            <w:pPr>
              <w:adjustRightInd w:val="0"/>
              <w:snapToGrid w:val="0"/>
              <w:spacing w:line="240" w:lineRule="auto"/>
              <w:jc w:val="center"/>
              <w:rPr>
                <w:rFonts w:asciiTheme="minorEastAsia" w:hAnsiTheme="minorEastAsia" w:cstheme="minorEastAsia"/>
                <w:bCs/>
                <w:sz w:val="24"/>
                <w:szCs w:val="24"/>
              </w:rPr>
            </w:pPr>
            <w:r>
              <w:rPr>
                <w:rFonts w:hint="eastAsia" w:asciiTheme="minorEastAsia" w:hAnsiTheme="minorEastAsia" w:cstheme="minorEastAsia"/>
                <w:bCs/>
                <w:sz w:val="24"/>
                <w:szCs w:val="24"/>
              </w:rPr>
              <w:t>报价下浮率（%）</w:t>
            </w:r>
          </w:p>
        </w:tc>
        <w:tc>
          <w:tcPr>
            <w:tcW w:w="1494" w:type="dxa"/>
            <w:tcBorders>
              <w:bottom w:val="single" w:color="auto" w:sz="4" w:space="0"/>
            </w:tcBorders>
            <w:vAlign w:val="center"/>
          </w:tcPr>
          <w:p w14:paraId="49689C10">
            <w:pPr>
              <w:adjustRightInd w:val="0"/>
              <w:snapToGrid w:val="0"/>
              <w:spacing w:line="240" w:lineRule="auto"/>
              <w:jc w:val="center"/>
              <w:rPr>
                <w:rFonts w:asciiTheme="minorEastAsia" w:hAnsiTheme="minorEastAsia" w:cstheme="minorEastAsia"/>
                <w:bCs/>
                <w:sz w:val="24"/>
                <w:szCs w:val="24"/>
              </w:rPr>
            </w:pPr>
            <w:r>
              <w:rPr>
                <w:rFonts w:hint="eastAsia" w:asciiTheme="minorEastAsia" w:hAnsiTheme="minorEastAsia" w:cstheme="minorEastAsia"/>
                <w:bCs/>
                <w:sz w:val="24"/>
                <w:szCs w:val="24"/>
              </w:rPr>
              <w:t>备注</w:t>
            </w:r>
          </w:p>
        </w:tc>
      </w:tr>
      <w:tr w14:paraId="4CF4A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2" w:hRule="exact"/>
          <w:jc w:val="center"/>
        </w:trPr>
        <w:tc>
          <w:tcPr>
            <w:tcW w:w="707" w:type="dxa"/>
            <w:vAlign w:val="center"/>
          </w:tcPr>
          <w:p w14:paraId="3D711697">
            <w:pPr>
              <w:adjustRightInd w:val="0"/>
              <w:snapToGrid w:val="0"/>
              <w:spacing w:line="360" w:lineRule="auto"/>
              <w:jc w:val="center"/>
              <w:rPr>
                <w:rFonts w:asciiTheme="minorEastAsia" w:hAnsiTheme="minorEastAsia" w:cstheme="minorEastAsia"/>
                <w:bCs/>
                <w:sz w:val="24"/>
                <w:szCs w:val="24"/>
              </w:rPr>
            </w:pPr>
            <w:r>
              <w:rPr>
                <w:rFonts w:hint="eastAsia" w:asciiTheme="minorEastAsia" w:hAnsiTheme="minorEastAsia" w:cstheme="minorEastAsia"/>
                <w:bCs/>
                <w:sz w:val="24"/>
                <w:szCs w:val="24"/>
              </w:rPr>
              <w:t>一</w:t>
            </w:r>
          </w:p>
        </w:tc>
        <w:tc>
          <w:tcPr>
            <w:tcW w:w="2145" w:type="dxa"/>
            <w:vAlign w:val="center"/>
          </w:tcPr>
          <w:p w14:paraId="4927C944">
            <w:pPr>
              <w:adjustRightInd w:val="0"/>
              <w:snapToGrid w:val="0"/>
              <w:jc w:val="left"/>
              <w:rPr>
                <w:rFonts w:hint="default" w:asciiTheme="minorEastAsia" w:hAnsiTheme="minorEastAsia" w:cstheme="minorEastAsia"/>
                <w:bCs/>
                <w:sz w:val="24"/>
                <w:szCs w:val="24"/>
                <w:lang w:val="en-US"/>
              </w:rPr>
            </w:pPr>
            <w:r>
              <w:rPr>
                <w:rFonts w:hint="eastAsia" w:ascii="宋体" w:hAnsi="宋体" w:cs="宋体"/>
                <w:b w:val="0"/>
                <w:bCs w:val="0"/>
                <w:color w:val="000000"/>
                <w:sz w:val="24"/>
                <w:szCs w:val="24"/>
                <w:u w:val="single"/>
                <w:lang w:eastAsia="zh-CN"/>
              </w:rPr>
              <w:t>西湾和苑安置房修缮工程服务</w:t>
            </w:r>
          </w:p>
        </w:tc>
        <w:tc>
          <w:tcPr>
            <w:tcW w:w="1575" w:type="dxa"/>
            <w:vAlign w:val="center"/>
          </w:tcPr>
          <w:p w14:paraId="5DF6DFA3">
            <w:pPr>
              <w:adjustRightInd w:val="0"/>
              <w:snapToGrid w:val="0"/>
              <w:spacing w:after="120" w:line="24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900000.00</w:t>
            </w:r>
          </w:p>
        </w:tc>
        <w:tc>
          <w:tcPr>
            <w:tcW w:w="2053" w:type="dxa"/>
            <w:tcBorders>
              <w:right w:val="single" w:color="auto" w:sz="4" w:space="0"/>
            </w:tcBorders>
            <w:vAlign w:val="center"/>
          </w:tcPr>
          <w:p w14:paraId="35665C5C">
            <w:pPr>
              <w:pStyle w:val="13"/>
              <w:adjustRightInd w:val="0"/>
              <w:snapToGrid w:val="0"/>
              <w:spacing w:after="156" w:afterLines="5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大写：</w:t>
            </w:r>
          </w:p>
          <w:p w14:paraId="348C1C0C">
            <w:pPr>
              <w:keepNext/>
              <w:keepLines/>
              <w:spacing w:before="340" w:after="330" w:line="360" w:lineRule="auto"/>
              <w:jc w:val="both"/>
              <w:outlineLvl w:val="0"/>
              <w:rPr>
                <w:rFonts w:asciiTheme="minorEastAsia" w:hAnsiTheme="minorEastAsia" w:cstheme="minorEastAsia"/>
                <w:sz w:val="24"/>
                <w:szCs w:val="24"/>
              </w:rPr>
            </w:pPr>
            <w:r>
              <w:rPr>
                <w:rFonts w:hint="eastAsia" w:asciiTheme="minorEastAsia" w:hAnsiTheme="minorEastAsia" w:cstheme="minorEastAsia"/>
                <w:sz w:val="24"/>
                <w:szCs w:val="24"/>
              </w:rPr>
              <w:t>小写：</w:t>
            </w:r>
          </w:p>
        </w:tc>
        <w:tc>
          <w:tcPr>
            <w:tcW w:w="1343" w:type="dxa"/>
            <w:tcBorders>
              <w:top w:val="single" w:color="auto" w:sz="4" w:space="0"/>
              <w:left w:val="single" w:color="auto" w:sz="4" w:space="0"/>
              <w:bottom w:val="single" w:color="auto" w:sz="4" w:space="0"/>
              <w:right w:val="single" w:color="auto" w:sz="4" w:space="0"/>
            </w:tcBorders>
            <w:vAlign w:val="center"/>
          </w:tcPr>
          <w:p w14:paraId="67E5B130">
            <w:pPr>
              <w:adjustRightInd w:val="0"/>
              <w:snapToGrid w:val="0"/>
              <w:spacing w:after="120" w:line="360" w:lineRule="auto"/>
              <w:jc w:val="center"/>
              <w:rPr>
                <w:rFonts w:asciiTheme="minorEastAsia" w:hAnsiTheme="minorEastAsia" w:cstheme="minorEastAsia"/>
                <w:sz w:val="24"/>
                <w:szCs w:val="24"/>
              </w:rPr>
            </w:pPr>
          </w:p>
        </w:tc>
        <w:tc>
          <w:tcPr>
            <w:tcW w:w="1494" w:type="dxa"/>
            <w:tcBorders>
              <w:top w:val="single" w:color="auto" w:sz="4" w:space="0"/>
              <w:left w:val="single" w:color="auto" w:sz="4" w:space="0"/>
              <w:bottom w:val="single" w:color="auto" w:sz="4" w:space="0"/>
              <w:right w:val="single" w:color="auto" w:sz="4" w:space="0"/>
            </w:tcBorders>
            <w:vAlign w:val="center"/>
          </w:tcPr>
          <w:p w14:paraId="170AC8AD">
            <w:pPr>
              <w:adjustRightInd w:val="0"/>
              <w:snapToGrid w:val="0"/>
              <w:spacing w:after="120" w:line="360" w:lineRule="auto"/>
              <w:jc w:val="left"/>
              <w:rPr>
                <w:rFonts w:asciiTheme="minorEastAsia" w:hAnsiTheme="minorEastAsia" w:cstheme="minorEastAsia"/>
                <w:sz w:val="18"/>
                <w:szCs w:val="18"/>
              </w:rPr>
            </w:pPr>
          </w:p>
        </w:tc>
      </w:tr>
    </w:tbl>
    <w:p w14:paraId="442F0C05">
      <w:pPr>
        <w:adjustRightInd w:val="0"/>
        <w:snapToGrid w:val="0"/>
        <w:ind w:firstLine="210" w:firstLineChars="100"/>
        <w:jc w:val="left"/>
        <w:rPr>
          <w:rFonts w:hint="eastAsia" w:ascii="宋体" w:hAnsi="宋体" w:eastAsia="宋体" w:cs="宋体"/>
          <w:sz w:val="21"/>
          <w:szCs w:val="21"/>
        </w:rPr>
      </w:pPr>
      <w:r>
        <w:rPr>
          <w:rFonts w:hint="eastAsia" w:ascii="宋体" w:hAnsi="宋体" w:eastAsia="宋体" w:cs="宋体"/>
          <w:sz w:val="21"/>
          <w:szCs w:val="21"/>
        </w:rPr>
        <w:t>注：1.该报价金额</w:t>
      </w:r>
      <w:r>
        <w:rPr>
          <w:rFonts w:hint="eastAsia" w:ascii="宋体" w:hAnsi="宋体" w:eastAsia="宋体" w:cs="宋体"/>
          <w:color w:val="333333"/>
          <w:kern w:val="0"/>
          <w:sz w:val="21"/>
          <w:szCs w:val="21"/>
        </w:rPr>
        <w:t>保留小数点后两位，第三位四舍五入</w:t>
      </w:r>
      <w:r>
        <w:rPr>
          <w:rFonts w:hint="eastAsia" w:ascii="宋体" w:hAnsi="宋体" w:eastAsia="宋体" w:cs="宋体"/>
          <w:sz w:val="21"/>
          <w:szCs w:val="21"/>
        </w:rPr>
        <w:t>。以上报价均为人民币。</w:t>
      </w:r>
    </w:p>
    <w:p w14:paraId="70A8B160">
      <w:pPr>
        <w:pStyle w:val="29"/>
        <w:rPr>
          <w:rFonts w:hint="eastAsia" w:ascii="宋体" w:hAnsi="宋体" w:eastAsia="宋体" w:cs="宋体"/>
          <w:sz w:val="21"/>
          <w:szCs w:val="21"/>
        </w:rPr>
      </w:pPr>
      <w:r>
        <w:rPr>
          <w:rFonts w:hint="eastAsia" w:ascii="宋体" w:hAnsi="宋体" w:eastAsia="宋体" w:cs="宋体"/>
          <w:sz w:val="21"/>
          <w:szCs w:val="21"/>
        </w:rPr>
        <w:t xml:space="preserve">      2.若报价金额与报价下浮率不一致时，以报价金额为准，并修改报价下浮率。</w:t>
      </w:r>
    </w:p>
    <w:p w14:paraId="38B78951">
      <w:pPr>
        <w:pStyle w:val="29"/>
        <w:ind w:left="720" w:hanging="630" w:hangingChars="300"/>
        <w:rPr>
          <w:rFonts w:hint="eastAsia" w:ascii="宋体" w:hAnsi="宋体" w:eastAsia="宋体" w:cs="宋体"/>
          <w:sz w:val="21"/>
          <w:szCs w:val="21"/>
        </w:rPr>
      </w:pPr>
      <w:r>
        <w:rPr>
          <w:rFonts w:hint="eastAsia" w:ascii="宋体" w:hAnsi="宋体" w:eastAsia="宋体" w:cs="宋体"/>
          <w:sz w:val="21"/>
          <w:szCs w:val="21"/>
        </w:rPr>
        <w:t xml:space="preserve">      </w:t>
      </w:r>
    </w:p>
    <w:p w14:paraId="3C2BC820">
      <w:pPr>
        <w:tabs>
          <w:tab w:val="left" w:pos="8364"/>
        </w:tabs>
        <w:snapToGrid w:val="0"/>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w:t>
      </w:r>
    </w:p>
    <w:p w14:paraId="057E2560">
      <w:pPr>
        <w:tabs>
          <w:tab w:val="left" w:pos="13320"/>
        </w:tabs>
        <w:snapToGrid w:val="0"/>
        <w:spacing w:line="360" w:lineRule="auto"/>
        <w:ind w:left="718" w:leftChars="342" w:right="-52" w:firstLine="2872" w:firstLineChars="1197"/>
        <w:rPr>
          <w:rFonts w:asciiTheme="minorEastAsia" w:hAnsiTheme="minorEastAsia" w:eastAsiaTheme="minorEastAsia" w:cstheme="minorEastAsia"/>
          <w:sz w:val="24"/>
          <w:szCs w:val="24"/>
        </w:rPr>
      </w:pPr>
    </w:p>
    <w:p w14:paraId="79173764">
      <w:pPr>
        <w:tabs>
          <w:tab w:val="left" w:pos="13320"/>
        </w:tabs>
        <w:snapToGrid w:val="0"/>
        <w:spacing w:line="360" w:lineRule="auto"/>
        <w:ind w:left="718" w:leftChars="342" w:right="-52" w:firstLine="2872" w:firstLineChars="1197"/>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报价人（公章）：</w:t>
      </w:r>
      <w:r>
        <w:rPr>
          <w:rFonts w:hint="eastAsia" w:asciiTheme="minorEastAsia" w:hAnsiTheme="minorEastAsia" w:eastAsiaTheme="minorEastAsia" w:cstheme="minorEastAsia"/>
          <w:sz w:val="24"/>
          <w:szCs w:val="24"/>
          <w:u w:val="single"/>
        </w:rPr>
        <w:t xml:space="preserve">                        </w:t>
      </w:r>
    </w:p>
    <w:p w14:paraId="567F5215">
      <w:pPr>
        <w:tabs>
          <w:tab w:val="left" w:pos="13320"/>
        </w:tabs>
        <w:snapToGrid w:val="0"/>
        <w:spacing w:line="360" w:lineRule="auto"/>
        <w:ind w:left="718" w:leftChars="342" w:right="-52" w:firstLine="2872" w:firstLineChars="1197"/>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法定代表人或授权代表（签字或盖章）：</w:t>
      </w:r>
      <w:r>
        <w:rPr>
          <w:rFonts w:hint="eastAsia" w:asciiTheme="minorEastAsia" w:hAnsiTheme="minorEastAsia" w:eastAsiaTheme="minorEastAsia" w:cstheme="minorEastAsia"/>
          <w:sz w:val="24"/>
          <w:szCs w:val="24"/>
          <w:u w:val="single"/>
        </w:rPr>
        <w:t xml:space="preserve">        </w:t>
      </w:r>
    </w:p>
    <w:p w14:paraId="2141CB3A">
      <w:pPr>
        <w:pStyle w:val="9"/>
        <w:adjustRightInd w:val="0"/>
        <w:snapToGrid w:val="0"/>
        <w:spacing w:line="360" w:lineRule="auto"/>
        <w:jc w:val="center"/>
        <w:rPr>
          <w:rFonts w:asciiTheme="minorEastAsia" w:hAnsiTheme="minorEastAsia" w:eastAsiaTheme="minorEastAsia" w:cstheme="minorEastAsia"/>
          <w:sz w:val="24"/>
          <w:szCs w:val="24"/>
        </w:rPr>
        <w:sectPr>
          <w:pgSz w:w="11906" w:h="16838"/>
          <w:pgMar w:top="1213" w:right="1066" w:bottom="1213" w:left="1293" w:header="851" w:footer="992" w:gutter="0"/>
          <w:pgNumType w:fmt="decimal"/>
          <w:cols w:space="425" w:num="1"/>
          <w:docGrid w:type="lines" w:linePitch="312" w:charSpace="0"/>
        </w:sectPr>
      </w:pPr>
      <w:r>
        <w:rPr>
          <w:rFonts w:hint="eastAsia" w:asciiTheme="minorEastAsia" w:hAnsiTheme="minorEastAsia" w:eastAsiaTheme="minorEastAsia" w:cstheme="minorEastAsia"/>
          <w:sz w:val="24"/>
          <w:szCs w:val="24"/>
        </w:rPr>
        <w:t xml:space="preserve">      日期：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10550419">
      <w:pPr>
        <w:pStyle w:val="9"/>
        <w:spacing w:line="360" w:lineRule="auto"/>
        <w:jc w:val="left"/>
        <w:rPr>
          <w:rFonts w:hint="eastAsia" w:hAnsi="宋体" w:eastAsia="宋体" w:cs="宋体"/>
          <w:b/>
          <w:bCs/>
          <w:color w:val="000000"/>
          <w:sz w:val="24"/>
          <w:szCs w:val="24"/>
          <w:lang w:eastAsia="zh-CN"/>
        </w:rPr>
      </w:pPr>
      <w:r>
        <w:rPr>
          <w:rFonts w:hint="eastAsia" w:hAnsi="宋体" w:eastAsia="宋体" w:cs="宋体"/>
          <w:color w:val="000000"/>
          <w:sz w:val="24"/>
          <w:szCs w:val="24"/>
        </w:rPr>
        <w:t>附件</w:t>
      </w:r>
      <w:r>
        <w:rPr>
          <w:rFonts w:hint="eastAsia" w:hAnsi="宋体" w:eastAsia="宋体" w:cs="宋体"/>
          <w:color w:val="000000"/>
          <w:sz w:val="24"/>
          <w:szCs w:val="24"/>
          <w:lang w:eastAsia="zh-CN"/>
        </w:rPr>
        <w:t>四</w:t>
      </w:r>
    </w:p>
    <w:p w14:paraId="5023952F">
      <w:pPr>
        <w:pStyle w:val="9"/>
        <w:adjustRightInd w:val="0"/>
        <w:snapToGrid w:val="0"/>
        <w:spacing w:line="360" w:lineRule="auto"/>
        <w:jc w:val="center"/>
        <w:rPr>
          <w:rFonts w:hint="eastAsia" w:hAnsi="宋体" w:eastAsia="宋体" w:cs="宋体"/>
          <w:b/>
          <w:sz w:val="28"/>
          <w:szCs w:val="28"/>
          <w:lang w:eastAsia="zh-CN"/>
        </w:rPr>
      </w:pPr>
      <w:r>
        <w:rPr>
          <w:rFonts w:hint="eastAsia" w:hAnsi="宋体" w:eastAsia="宋体" w:cs="宋体"/>
          <w:b/>
          <w:bCs/>
          <w:color w:val="000000"/>
          <w:sz w:val="28"/>
          <w:szCs w:val="28"/>
        </w:rPr>
        <w:t>业绩</w:t>
      </w:r>
      <w:r>
        <w:rPr>
          <w:rFonts w:hint="eastAsia" w:hAnsi="宋体" w:eastAsia="宋体" w:cs="宋体"/>
          <w:b/>
          <w:sz w:val="28"/>
          <w:szCs w:val="28"/>
        </w:rPr>
        <w:t>情况汇总表</w:t>
      </w:r>
    </w:p>
    <w:p w14:paraId="7F13F8CA">
      <w:pPr>
        <w:pStyle w:val="9"/>
        <w:adjustRightInd w:val="0"/>
        <w:snapToGrid w:val="0"/>
        <w:spacing w:line="360" w:lineRule="auto"/>
        <w:jc w:val="center"/>
        <w:rPr>
          <w:rFonts w:hAnsi="宋体" w:eastAsia="宋体" w:cs="宋体"/>
          <w:b/>
          <w:sz w:val="24"/>
          <w:szCs w:val="24"/>
        </w:rPr>
      </w:pPr>
      <w:r>
        <w:rPr>
          <w:rFonts w:hint="eastAsia" w:hAnsi="宋体" w:eastAsia="宋体" w:cs="宋体"/>
          <w:b/>
          <w:sz w:val="24"/>
          <w:szCs w:val="24"/>
        </w:rPr>
        <w:t>（2</w:t>
      </w:r>
      <w:r>
        <w:rPr>
          <w:rFonts w:hint="eastAsia" w:hAnsi="宋体" w:eastAsia="宋体" w:cs="宋体"/>
          <w:b/>
          <w:sz w:val="24"/>
          <w:szCs w:val="24"/>
          <w:u w:val="none"/>
        </w:rPr>
        <w:t>0</w:t>
      </w:r>
      <w:r>
        <w:rPr>
          <w:rFonts w:hint="eastAsia" w:hAnsi="宋体" w:eastAsia="宋体" w:cs="宋体"/>
          <w:b/>
          <w:sz w:val="24"/>
          <w:szCs w:val="24"/>
          <w:u w:val="none"/>
          <w:lang w:val="en-US" w:eastAsia="zh-CN"/>
        </w:rPr>
        <w:t>21</w:t>
      </w:r>
      <w:r>
        <w:rPr>
          <w:rFonts w:hint="eastAsia" w:hAnsi="宋体" w:eastAsia="宋体" w:cs="宋体"/>
          <w:b/>
          <w:sz w:val="24"/>
          <w:szCs w:val="24"/>
        </w:rPr>
        <w:t>年1月1日至今）</w:t>
      </w:r>
    </w:p>
    <w:p w14:paraId="133EF89D">
      <w:pPr>
        <w:widowControl/>
        <w:spacing w:beforeAutospacing="0" w:afterAutospacing="0"/>
        <w:ind w:firstLine="0" w:firstLineChars="0"/>
        <w:jc w:val="left"/>
        <w:rPr>
          <w:rFonts w:hint="default" w:ascii="宋体" w:hAnsi="宋体" w:cs="宋体"/>
          <w:b/>
          <w:sz w:val="24"/>
          <w:szCs w:val="24"/>
          <w:lang w:val="en-US"/>
        </w:rPr>
      </w:pPr>
      <w:r>
        <w:rPr>
          <w:rFonts w:hint="eastAsia" w:ascii="宋体" w:hAnsi="宋体" w:cs="宋体"/>
          <w:kern w:val="0"/>
          <w:sz w:val="24"/>
          <w:szCs w:val="24"/>
        </w:rPr>
        <w:t>项目名称：</w:t>
      </w:r>
      <w:r>
        <w:rPr>
          <w:rFonts w:hint="eastAsia" w:ascii="宋体" w:hAnsi="宋体" w:cs="宋体"/>
          <w:b w:val="0"/>
          <w:bCs w:val="0"/>
          <w:color w:val="000000"/>
          <w:sz w:val="24"/>
          <w:szCs w:val="24"/>
          <w:u w:val="single"/>
          <w:lang w:eastAsia="zh-CN"/>
        </w:rPr>
        <w:t>西湾和苑安置房修缮工程服务</w:t>
      </w:r>
    </w:p>
    <w:tbl>
      <w:tblPr>
        <w:tblStyle w:val="19"/>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04"/>
        <w:gridCol w:w="1247"/>
        <w:gridCol w:w="1559"/>
        <w:gridCol w:w="2268"/>
        <w:gridCol w:w="1616"/>
      </w:tblGrid>
      <w:tr w14:paraId="3E9D7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14:paraId="32DC9B92">
            <w:pPr>
              <w:spacing w:line="240" w:lineRule="auto"/>
              <w:jc w:val="center"/>
              <w:rPr>
                <w:rFonts w:ascii="宋体" w:hAnsi="宋体" w:cs="宋体"/>
                <w:b/>
                <w:bCs/>
                <w:sz w:val="24"/>
                <w:szCs w:val="24"/>
              </w:rPr>
            </w:pPr>
            <w:r>
              <w:rPr>
                <w:rFonts w:hint="eastAsia" w:ascii="宋体" w:hAnsi="宋体" w:cs="宋体"/>
                <w:b/>
                <w:bCs/>
                <w:sz w:val="24"/>
                <w:szCs w:val="24"/>
              </w:rPr>
              <w:t>序号</w:t>
            </w:r>
          </w:p>
        </w:tc>
        <w:tc>
          <w:tcPr>
            <w:tcW w:w="1304" w:type="dxa"/>
            <w:vAlign w:val="center"/>
          </w:tcPr>
          <w:p w14:paraId="09329D52">
            <w:pPr>
              <w:spacing w:line="240" w:lineRule="auto"/>
              <w:jc w:val="center"/>
              <w:rPr>
                <w:rFonts w:ascii="宋体" w:hAnsi="宋体" w:cs="宋体"/>
                <w:b/>
                <w:bCs/>
                <w:sz w:val="24"/>
                <w:szCs w:val="24"/>
              </w:rPr>
            </w:pPr>
            <w:r>
              <w:rPr>
                <w:rFonts w:hint="eastAsia" w:ascii="宋体" w:hAnsi="宋体" w:cs="宋体"/>
                <w:b/>
                <w:bCs/>
                <w:sz w:val="24"/>
                <w:szCs w:val="24"/>
              </w:rPr>
              <w:t>项目名称</w:t>
            </w:r>
          </w:p>
        </w:tc>
        <w:tc>
          <w:tcPr>
            <w:tcW w:w="1247" w:type="dxa"/>
            <w:vAlign w:val="center"/>
          </w:tcPr>
          <w:p w14:paraId="05DC05EF">
            <w:pPr>
              <w:spacing w:line="240" w:lineRule="auto"/>
              <w:jc w:val="center"/>
              <w:rPr>
                <w:rFonts w:ascii="宋体" w:hAnsi="宋体" w:cs="宋体"/>
                <w:b/>
                <w:bCs/>
                <w:sz w:val="24"/>
                <w:szCs w:val="24"/>
              </w:rPr>
            </w:pPr>
            <w:r>
              <w:rPr>
                <w:rFonts w:hint="eastAsia" w:ascii="宋体" w:hAnsi="宋体" w:cs="宋体"/>
                <w:b/>
                <w:bCs/>
                <w:sz w:val="24"/>
                <w:szCs w:val="24"/>
              </w:rPr>
              <w:t>项目业主</w:t>
            </w:r>
          </w:p>
        </w:tc>
        <w:tc>
          <w:tcPr>
            <w:tcW w:w="1559" w:type="dxa"/>
            <w:vAlign w:val="center"/>
          </w:tcPr>
          <w:p w14:paraId="556225AD">
            <w:pPr>
              <w:spacing w:line="240" w:lineRule="auto"/>
              <w:jc w:val="center"/>
              <w:rPr>
                <w:rFonts w:ascii="宋体" w:hAnsi="宋体" w:cs="宋体"/>
                <w:b/>
                <w:bCs/>
                <w:sz w:val="24"/>
                <w:szCs w:val="24"/>
              </w:rPr>
            </w:pPr>
            <w:r>
              <w:rPr>
                <w:rFonts w:hint="eastAsia" w:ascii="宋体" w:hAnsi="宋体" w:cs="宋体"/>
                <w:b/>
                <w:bCs/>
                <w:sz w:val="24"/>
                <w:szCs w:val="24"/>
              </w:rPr>
              <w:t>合同价</w:t>
            </w:r>
          </w:p>
          <w:p w14:paraId="01943649">
            <w:pPr>
              <w:spacing w:line="240" w:lineRule="auto"/>
              <w:jc w:val="center"/>
              <w:rPr>
                <w:rFonts w:ascii="宋体" w:hAnsi="宋体" w:cs="宋体"/>
                <w:b/>
                <w:bCs/>
                <w:sz w:val="24"/>
                <w:szCs w:val="24"/>
              </w:rPr>
            </w:pPr>
            <w:r>
              <w:rPr>
                <w:rFonts w:hint="eastAsia" w:ascii="宋体" w:hAnsi="宋体" w:cs="宋体"/>
                <w:b/>
                <w:bCs/>
                <w:sz w:val="24"/>
                <w:szCs w:val="24"/>
              </w:rPr>
              <w:t>（万元）</w:t>
            </w:r>
          </w:p>
        </w:tc>
        <w:tc>
          <w:tcPr>
            <w:tcW w:w="2268" w:type="dxa"/>
            <w:vAlign w:val="center"/>
          </w:tcPr>
          <w:p w14:paraId="61D7C6AF">
            <w:pPr>
              <w:spacing w:line="240" w:lineRule="auto"/>
              <w:jc w:val="center"/>
              <w:rPr>
                <w:rFonts w:ascii="宋体" w:hAnsi="宋体" w:cs="宋体"/>
                <w:b/>
                <w:bCs/>
                <w:sz w:val="24"/>
                <w:szCs w:val="24"/>
              </w:rPr>
            </w:pPr>
            <w:r>
              <w:rPr>
                <w:rFonts w:hint="eastAsia" w:ascii="宋体" w:hAnsi="宋体" w:cs="宋体"/>
                <w:b/>
                <w:bCs/>
                <w:sz w:val="24"/>
                <w:szCs w:val="24"/>
                <w:lang w:eastAsia="zh-CN"/>
              </w:rPr>
              <w:t>项目</w:t>
            </w:r>
            <w:r>
              <w:rPr>
                <w:rFonts w:hint="eastAsia" w:ascii="宋体" w:hAnsi="宋体" w:cs="宋体"/>
                <w:b/>
                <w:bCs/>
                <w:sz w:val="24"/>
                <w:szCs w:val="24"/>
              </w:rPr>
              <w:t>类型</w:t>
            </w:r>
          </w:p>
        </w:tc>
        <w:tc>
          <w:tcPr>
            <w:tcW w:w="1616" w:type="dxa"/>
            <w:vAlign w:val="center"/>
          </w:tcPr>
          <w:p w14:paraId="4BDEA6EC">
            <w:pPr>
              <w:spacing w:line="240" w:lineRule="auto"/>
              <w:jc w:val="center"/>
              <w:rPr>
                <w:rFonts w:ascii="宋体" w:hAnsi="宋体" w:cs="宋体"/>
                <w:b/>
                <w:bCs/>
                <w:sz w:val="24"/>
                <w:szCs w:val="24"/>
              </w:rPr>
            </w:pPr>
            <w:r>
              <w:rPr>
                <w:rFonts w:hint="eastAsia" w:ascii="宋体" w:hAnsi="宋体" w:cs="宋体"/>
                <w:b/>
                <w:sz w:val="24"/>
                <w:szCs w:val="24"/>
              </w:rPr>
              <w:t>建设单位联系人及电话</w:t>
            </w:r>
          </w:p>
        </w:tc>
      </w:tr>
      <w:tr w14:paraId="3FEC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14:paraId="7B09CDA4">
            <w:pPr>
              <w:spacing w:line="360" w:lineRule="auto"/>
              <w:jc w:val="center"/>
              <w:rPr>
                <w:rFonts w:ascii="宋体" w:hAnsi="宋体" w:cs="宋体"/>
                <w:bCs/>
                <w:sz w:val="24"/>
                <w:szCs w:val="24"/>
              </w:rPr>
            </w:pPr>
            <w:r>
              <w:rPr>
                <w:rFonts w:hint="eastAsia" w:ascii="宋体" w:hAnsi="宋体" w:cs="宋体"/>
                <w:bCs/>
                <w:sz w:val="24"/>
                <w:szCs w:val="24"/>
              </w:rPr>
              <w:t>1</w:t>
            </w:r>
          </w:p>
        </w:tc>
        <w:tc>
          <w:tcPr>
            <w:tcW w:w="1304" w:type="dxa"/>
            <w:vAlign w:val="center"/>
          </w:tcPr>
          <w:p w14:paraId="0C48CEE7">
            <w:pPr>
              <w:spacing w:line="360" w:lineRule="auto"/>
              <w:jc w:val="center"/>
              <w:rPr>
                <w:rFonts w:ascii="宋体" w:hAnsi="宋体" w:cs="宋体"/>
                <w:bCs/>
                <w:sz w:val="24"/>
                <w:szCs w:val="24"/>
              </w:rPr>
            </w:pPr>
          </w:p>
        </w:tc>
        <w:tc>
          <w:tcPr>
            <w:tcW w:w="1247" w:type="dxa"/>
            <w:vAlign w:val="center"/>
          </w:tcPr>
          <w:p w14:paraId="060E3929">
            <w:pPr>
              <w:spacing w:line="360" w:lineRule="auto"/>
              <w:jc w:val="center"/>
              <w:rPr>
                <w:rFonts w:ascii="宋体" w:hAnsi="宋体" w:cs="宋体"/>
                <w:bCs/>
                <w:sz w:val="24"/>
                <w:szCs w:val="24"/>
              </w:rPr>
            </w:pPr>
          </w:p>
        </w:tc>
        <w:tc>
          <w:tcPr>
            <w:tcW w:w="1559" w:type="dxa"/>
            <w:vAlign w:val="center"/>
          </w:tcPr>
          <w:p w14:paraId="7793F748">
            <w:pPr>
              <w:spacing w:line="360" w:lineRule="auto"/>
              <w:jc w:val="center"/>
              <w:rPr>
                <w:rFonts w:ascii="宋体" w:hAnsi="宋体" w:cs="宋体"/>
                <w:bCs/>
                <w:sz w:val="24"/>
                <w:szCs w:val="24"/>
              </w:rPr>
            </w:pPr>
          </w:p>
        </w:tc>
        <w:tc>
          <w:tcPr>
            <w:tcW w:w="2268" w:type="dxa"/>
            <w:vAlign w:val="center"/>
          </w:tcPr>
          <w:p w14:paraId="274F3EDB">
            <w:pPr>
              <w:spacing w:line="360" w:lineRule="auto"/>
              <w:jc w:val="center"/>
              <w:rPr>
                <w:rFonts w:ascii="宋体" w:hAnsi="宋体" w:cs="宋体"/>
                <w:bCs/>
                <w:sz w:val="24"/>
                <w:szCs w:val="24"/>
              </w:rPr>
            </w:pPr>
          </w:p>
        </w:tc>
        <w:tc>
          <w:tcPr>
            <w:tcW w:w="1616" w:type="dxa"/>
            <w:vAlign w:val="center"/>
          </w:tcPr>
          <w:p w14:paraId="1C6A9800">
            <w:pPr>
              <w:spacing w:line="360" w:lineRule="auto"/>
              <w:jc w:val="center"/>
              <w:rPr>
                <w:rFonts w:ascii="宋体" w:hAnsi="宋体" w:cs="宋体"/>
                <w:bCs/>
                <w:sz w:val="24"/>
                <w:szCs w:val="24"/>
              </w:rPr>
            </w:pPr>
          </w:p>
        </w:tc>
      </w:tr>
      <w:tr w14:paraId="01E2B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14:paraId="523C5154">
            <w:pPr>
              <w:spacing w:line="360" w:lineRule="auto"/>
              <w:jc w:val="center"/>
              <w:rPr>
                <w:rFonts w:ascii="宋体" w:hAnsi="宋体" w:cs="宋体"/>
                <w:bCs/>
                <w:sz w:val="24"/>
                <w:szCs w:val="24"/>
              </w:rPr>
            </w:pPr>
            <w:r>
              <w:rPr>
                <w:rFonts w:hint="eastAsia" w:ascii="宋体" w:hAnsi="宋体" w:cs="宋体"/>
                <w:bCs/>
                <w:sz w:val="24"/>
                <w:szCs w:val="24"/>
              </w:rPr>
              <w:t>2</w:t>
            </w:r>
          </w:p>
        </w:tc>
        <w:tc>
          <w:tcPr>
            <w:tcW w:w="1304" w:type="dxa"/>
            <w:vAlign w:val="center"/>
          </w:tcPr>
          <w:p w14:paraId="0A6E1B5F">
            <w:pPr>
              <w:spacing w:line="360" w:lineRule="auto"/>
              <w:jc w:val="center"/>
              <w:rPr>
                <w:rFonts w:ascii="宋体" w:hAnsi="宋体" w:cs="宋体"/>
                <w:bCs/>
                <w:sz w:val="24"/>
                <w:szCs w:val="24"/>
              </w:rPr>
            </w:pPr>
          </w:p>
        </w:tc>
        <w:tc>
          <w:tcPr>
            <w:tcW w:w="1247" w:type="dxa"/>
            <w:vAlign w:val="center"/>
          </w:tcPr>
          <w:p w14:paraId="71991EEF">
            <w:pPr>
              <w:spacing w:line="360" w:lineRule="auto"/>
              <w:jc w:val="center"/>
              <w:rPr>
                <w:rFonts w:ascii="宋体" w:hAnsi="宋体" w:cs="宋体"/>
                <w:bCs/>
                <w:sz w:val="24"/>
                <w:szCs w:val="24"/>
              </w:rPr>
            </w:pPr>
          </w:p>
        </w:tc>
        <w:tc>
          <w:tcPr>
            <w:tcW w:w="1559" w:type="dxa"/>
            <w:vAlign w:val="center"/>
          </w:tcPr>
          <w:p w14:paraId="65AB2C1C">
            <w:pPr>
              <w:spacing w:line="360" w:lineRule="auto"/>
              <w:jc w:val="center"/>
              <w:rPr>
                <w:rFonts w:ascii="宋体" w:hAnsi="宋体" w:cs="宋体"/>
                <w:bCs/>
                <w:sz w:val="24"/>
                <w:szCs w:val="24"/>
              </w:rPr>
            </w:pPr>
          </w:p>
        </w:tc>
        <w:tc>
          <w:tcPr>
            <w:tcW w:w="2268" w:type="dxa"/>
            <w:vAlign w:val="center"/>
          </w:tcPr>
          <w:p w14:paraId="5F36A5FB">
            <w:pPr>
              <w:spacing w:line="360" w:lineRule="auto"/>
              <w:jc w:val="center"/>
              <w:rPr>
                <w:rFonts w:ascii="宋体" w:hAnsi="宋体" w:cs="宋体"/>
                <w:bCs/>
                <w:sz w:val="24"/>
                <w:szCs w:val="24"/>
              </w:rPr>
            </w:pPr>
          </w:p>
        </w:tc>
        <w:tc>
          <w:tcPr>
            <w:tcW w:w="1616" w:type="dxa"/>
            <w:vAlign w:val="center"/>
          </w:tcPr>
          <w:p w14:paraId="03FB0145">
            <w:pPr>
              <w:spacing w:line="360" w:lineRule="auto"/>
              <w:jc w:val="center"/>
              <w:rPr>
                <w:rFonts w:ascii="宋体" w:hAnsi="宋体" w:cs="宋体"/>
                <w:bCs/>
                <w:sz w:val="24"/>
                <w:szCs w:val="24"/>
              </w:rPr>
            </w:pPr>
          </w:p>
        </w:tc>
      </w:tr>
      <w:tr w14:paraId="0D16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14:paraId="4C65E033">
            <w:pPr>
              <w:spacing w:line="360" w:lineRule="auto"/>
              <w:jc w:val="center"/>
              <w:rPr>
                <w:rFonts w:ascii="宋体" w:hAnsi="宋体" w:cs="宋体"/>
                <w:bCs/>
                <w:sz w:val="24"/>
                <w:szCs w:val="24"/>
              </w:rPr>
            </w:pPr>
            <w:r>
              <w:rPr>
                <w:rFonts w:hint="eastAsia" w:ascii="宋体" w:hAnsi="宋体" w:eastAsia="宋体" w:cs="宋体"/>
                <w:bCs/>
                <w:sz w:val="24"/>
                <w:szCs w:val="24"/>
              </w:rPr>
              <w:t>…</w:t>
            </w:r>
          </w:p>
        </w:tc>
        <w:tc>
          <w:tcPr>
            <w:tcW w:w="1304" w:type="dxa"/>
            <w:vAlign w:val="center"/>
          </w:tcPr>
          <w:p w14:paraId="57F872C5">
            <w:pPr>
              <w:spacing w:line="360" w:lineRule="auto"/>
              <w:jc w:val="center"/>
              <w:rPr>
                <w:rFonts w:ascii="宋体" w:hAnsi="宋体" w:cs="宋体"/>
                <w:bCs/>
                <w:sz w:val="24"/>
                <w:szCs w:val="24"/>
              </w:rPr>
            </w:pPr>
          </w:p>
        </w:tc>
        <w:tc>
          <w:tcPr>
            <w:tcW w:w="1247" w:type="dxa"/>
            <w:vAlign w:val="center"/>
          </w:tcPr>
          <w:p w14:paraId="6C99B9E8">
            <w:pPr>
              <w:spacing w:line="360" w:lineRule="auto"/>
              <w:jc w:val="center"/>
              <w:rPr>
                <w:rFonts w:ascii="宋体" w:hAnsi="宋体" w:cs="宋体"/>
                <w:bCs/>
                <w:sz w:val="24"/>
                <w:szCs w:val="24"/>
              </w:rPr>
            </w:pPr>
          </w:p>
        </w:tc>
        <w:tc>
          <w:tcPr>
            <w:tcW w:w="1559" w:type="dxa"/>
            <w:vAlign w:val="center"/>
          </w:tcPr>
          <w:p w14:paraId="04E37B77">
            <w:pPr>
              <w:spacing w:line="360" w:lineRule="auto"/>
              <w:jc w:val="center"/>
              <w:rPr>
                <w:rFonts w:ascii="宋体" w:hAnsi="宋体" w:cs="宋体"/>
                <w:bCs/>
                <w:sz w:val="24"/>
                <w:szCs w:val="24"/>
              </w:rPr>
            </w:pPr>
          </w:p>
        </w:tc>
        <w:tc>
          <w:tcPr>
            <w:tcW w:w="2268" w:type="dxa"/>
            <w:vAlign w:val="center"/>
          </w:tcPr>
          <w:p w14:paraId="660E4803">
            <w:pPr>
              <w:spacing w:line="360" w:lineRule="auto"/>
              <w:jc w:val="center"/>
              <w:rPr>
                <w:rFonts w:ascii="宋体" w:hAnsi="宋体" w:cs="宋体"/>
                <w:bCs/>
                <w:sz w:val="24"/>
                <w:szCs w:val="24"/>
              </w:rPr>
            </w:pPr>
          </w:p>
        </w:tc>
        <w:tc>
          <w:tcPr>
            <w:tcW w:w="1616" w:type="dxa"/>
            <w:vAlign w:val="center"/>
          </w:tcPr>
          <w:p w14:paraId="52107067">
            <w:pPr>
              <w:spacing w:line="360" w:lineRule="auto"/>
              <w:jc w:val="center"/>
              <w:rPr>
                <w:rFonts w:ascii="宋体" w:hAnsi="宋体" w:cs="宋体"/>
                <w:bCs/>
                <w:sz w:val="24"/>
                <w:szCs w:val="24"/>
              </w:rPr>
            </w:pPr>
          </w:p>
        </w:tc>
      </w:tr>
    </w:tbl>
    <w:p w14:paraId="1CB027A6">
      <w:pPr>
        <w:adjustRightInd w:val="0"/>
        <w:snapToGrid w:val="0"/>
        <w:spacing w:line="360" w:lineRule="auto"/>
        <w:rPr>
          <w:rFonts w:ascii="宋体" w:hAnsi="宋体" w:cs="宋体"/>
          <w:sz w:val="24"/>
          <w:szCs w:val="24"/>
        </w:rPr>
      </w:pPr>
      <w:r>
        <w:rPr>
          <w:rFonts w:hint="eastAsia" w:ascii="宋体" w:hAnsi="宋体" w:cs="宋体"/>
          <w:bCs/>
          <w:sz w:val="24"/>
          <w:szCs w:val="24"/>
        </w:rPr>
        <w:t>注：</w:t>
      </w:r>
      <w:r>
        <w:rPr>
          <w:rFonts w:hint="eastAsia" w:ascii="宋体" w:hAnsi="宋体" w:cs="宋体"/>
          <w:sz w:val="24"/>
          <w:szCs w:val="24"/>
        </w:rPr>
        <w:t>本表后应按要求附业绩证明材料。</w:t>
      </w:r>
    </w:p>
    <w:p w14:paraId="36288162">
      <w:pPr>
        <w:tabs>
          <w:tab w:val="left" w:pos="13320"/>
        </w:tabs>
        <w:snapToGrid w:val="0"/>
        <w:spacing w:line="360" w:lineRule="auto"/>
        <w:ind w:left="718" w:leftChars="342" w:right="-52" w:firstLine="2397" w:firstLineChars="999"/>
        <w:rPr>
          <w:rFonts w:ascii="宋体" w:hAnsi="宋体" w:cs="宋体"/>
          <w:sz w:val="24"/>
          <w:szCs w:val="24"/>
        </w:rPr>
      </w:pPr>
    </w:p>
    <w:p w14:paraId="1A93C01B">
      <w:pPr>
        <w:tabs>
          <w:tab w:val="left" w:pos="13320"/>
        </w:tabs>
        <w:snapToGrid w:val="0"/>
        <w:spacing w:line="360" w:lineRule="auto"/>
        <w:ind w:left="718" w:leftChars="342" w:right="-52" w:firstLine="2397" w:firstLineChars="999"/>
        <w:rPr>
          <w:rFonts w:ascii="宋体" w:hAnsi="宋体" w:cs="宋体"/>
          <w:sz w:val="24"/>
          <w:szCs w:val="24"/>
        </w:rPr>
      </w:pPr>
    </w:p>
    <w:p w14:paraId="3A2327B8">
      <w:pPr>
        <w:tabs>
          <w:tab w:val="left" w:pos="13320"/>
        </w:tabs>
        <w:snapToGrid w:val="0"/>
        <w:spacing w:line="360" w:lineRule="auto"/>
        <w:ind w:left="718" w:leftChars="342" w:right="-52" w:firstLine="2397" w:firstLineChars="999"/>
        <w:rPr>
          <w:rFonts w:ascii="宋体" w:hAnsi="宋体" w:cs="宋体"/>
          <w:sz w:val="24"/>
          <w:szCs w:val="24"/>
        </w:rPr>
      </w:pPr>
    </w:p>
    <w:p w14:paraId="141BB848">
      <w:pPr>
        <w:tabs>
          <w:tab w:val="left" w:pos="13320"/>
        </w:tabs>
        <w:snapToGrid w:val="0"/>
        <w:spacing w:line="360" w:lineRule="auto"/>
        <w:ind w:left="718" w:leftChars="342" w:right="-52" w:firstLine="2397" w:firstLineChars="999"/>
        <w:rPr>
          <w:rFonts w:ascii="宋体" w:hAnsi="宋体" w:cs="宋体"/>
          <w:sz w:val="24"/>
          <w:szCs w:val="24"/>
          <w:u w:val="single"/>
        </w:rPr>
      </w:pPr>
      <w:r>
        <w:rPr>
          <w:rFonts w:hint="eastAsia" w:ascii="宋体" w:hAnsi="宋体" w:cs="宋体"/>
          <w:sz w:val="24"/>
          <w:szCs w:val="24"/>
        </w:rPr>
        <w:t>报价人（公章）：</w:t>
      </w:r>
      <w:r>
        <w:rPr>
          <w:rFonts w:hint="eastAsia" w:ascii="宋体" w:hAnsi="宋体" w:cs="宋体"/>
          <w:sz w:val="24"/>
          <w:szCs w:val="24"/>
          <w:u w:val="single"/>
        </w:rPr>
        <w:t xml:space="preserve">                        </w:t>
      </w:r>
    </w:p>
    <w:p w14:paraId="0580F21D">
      <w:pPr>
        <w:tabs>
          <w:tab w:val="left" w:pos="13320"/>
        </w:tabs>
        <w:snapToGrid w:val="0"/>
        <w:spacing w:line="360" w:lineRule="auto"/>
        <w:ind w:left="718" w:leftChars="342" w:right="-52" w:firstLine="2397" w:firstLineChars="999"/>
        <w:rPr>
          <w:rFonts w:ascii="宋体" w:hAnsi="宋体" w:cs="宋体"/>
          <w:sz w:val="24"/>
          <w:szCs w:val="24"/>
          <w:u w:val="single"/>
        </w:rPr>
      </w:pPr>
      <w:r>
        <w:rPr>
          <w:rFonts w:hint="eastAsia" w:ascii="宋体" w:hAnsi="宋体" w:cs="宋体"/>
          <w:sz w:val="24"/>
          <w:szCs w:val="24"/>
        </w:rPr>
        <w:t>法定代表人或授权代表（签字或盖章）：</w:t>
      </w:r>
      <w:r>
        <w:rPr>
          <w:rFonts w:hint="eastAsia" w:ascii="宋体" w:hAnsi="宋体" w:cs="宋体"/>
          <w:sz w:val="24"/>
          <w:szCs w:val="24"/>
          <w:u w:val="single"/>
        </w:rPr>
        <w:t xml:space="preserve">        </w:t>
      </w:r>
    </w:p>
    <w:p w14:paraId="6134D15B">
      <w:pPr>
        <w:pStyle w:val="9"/>
        <w:adjustRightInd w:val="0"/>
        <w:snapToGrid w:val="0"/>
        <w:spacing w:line="360" w:lineRule="auto"/>
        <w:jc w:val="center"/>
        <w:rPr>
          <w:rFonts w:hAnsi="宋体" w:eastAsia="宋体" w:cs="宋体"/>
          <w:sz w:val="24"/>
          <w:szCs w:val="24"/>
        </w:rPr>
      </w:pPr>
      <w:r>
        <w:rPr>
          <w:rFonts w:hint="eastAsia" w:hAnsi="宋体" w:eastAsia="宋体" w:cs="宋体"/>
          <w:sz w:val="24"/>
          <w:szCs w:val="24"/>
        </w:rPr>
        <w:t xml:space="preserve">     </w:t>
      </w: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4C0BF269">
      <w:pPr>
        <w:pStyle w:val="9"/>
        <w:adjustRightInd w:val="0"/>
        <w:snapToGrid w:val="0"/>
        <w:spacing w:line="360" w:lineRule="auto"/>
        <w:jc w:val="center"/>
        <w:rPr>
          <w:rFonts w:hAnsi="宋体" w:eastAsia="宋体" w:cs="宋体"/>
          <w:sz w:val="24"/>
          <w:szCs w:val="24"/>
        </w:rPr>
      </w:pPr>
    </w:p>
    <w:p w14:paraId="5F0E2650">
      <w:pPr>
        <w:pStyle w:val="9"/>
        <w:adjustRightInd w:val="0"/>
        <w:snapToGrid w:val="0"/>
        <w:spacing w:line="360" w:lineRule="auto"/>
        <w:jc w:val="center"/>
        <w:rPr>
          <w:rFonts w:hAnsi="宋体" w:eastAsia="宋体" w:cs="宋体"/>
          <w:sz w:val="24"/>
          <w:szCs w:val="24"/>
        </w:rPr>
      </w:pPr>
    </w:p>
    <w:p w14:paraId="7E83A786">
      <w:pPr>
        <w:pStyle w:val="9"/>
        <w:adjustRightInd w:val="0"/>
        <w:snapToGrid w:val="0"/>
        <w:spacing w:line="360" w:lineRule="auto"/>
        <w:jc w:val="center"/>
        <w:rPr>
          <w:rFonts w:hAnsi="宋体" w:eastAsia="宋体" w:cs="宋体"/>
          <w:sz w:val="24"/>
          <w:szCs w:val="24"/>
        </w:rPr>
      </w:pPr>
    </w:p>
    <w:p w14:paraId="10A6EADB">
      <w:pPr>
        <w:pStyle w:val="9"/>
        <w:adjustRightInd w:val="0"/>
        <w:snapToGrid w:val="0"/>
        <w:spacing w:line="360" w:lineRule="auto"/>
        <w:jc w:val="center"/>
        <w:rPr>
          <w:rFonts w:hAnsi="宋体" w:eastAsia="宋体" w:cs="宋体"/>
          <w:sz w:val="24"/>
          <w:szCs w:val="24"/>
        </w:rPr>
      </w:pPr>
    </w:p>
    <w:p w14:paraId="650137E4">
      <w:pPr>
        <w:pStyle w:val="9"/>
        <w:adjustRightInd w:val="0"/>
        <w:snapToGrid w:val="0"/>
        <w:spacing w:line="360" w:lineRule="auto"/>
        <w:jc w:val="center"/>
        <w:rPr>
          <w:rFonts w:hAnsi="宋体" w:eastAsia="宋体" w:cs="宋体"/>
          <w:sz w:val="24"/>
          <w:szCs w:val="24"/>
        </w:rPr>
      </w:pPr>
    </w:p>
    <w:p w14:paraId="2574D19E">
      <w:pPr>
        <w:pStyle w:val="9"/>
        <w:adjustRightInd w:val="0"/>
        <w:snapToGrid w:val="0"/>
        <w:spacing w:line="360" w:lineRule="auto"/>
        <w:jc w:val="center"/>
        <w:rPr>
          <w:rFonts w:hAnsi="宋体" w:eastAsia="宋体" w:cs="宋体"/>
          <w:sz w:val="24"/>
          <w:szCs w:val="24"/>
        </w:rPr>
      </w:pPr>
    </w:p>
    <w:p w14:paraId="17D57DBE">
      <w:pPr>
        <w:pStyle w:val="9"/>
        <w:adjustRightInd w:val="0"/>
        <w:snapToGrid w:val="0"/>
        <w:spacing w:line="360" w:lineRule="auto"/>
        <w:jc w:val="center"/>
        <w:rPr>
          <w:rFonts w:hAnsi="宋体" w:eastAsia="宋体" w:cs="宋体"/>
          <w:sz w:val="24"/>
          <w:szCs w:val="24"/>
        </w:rPr>
      </w:pPr>
    </w:p>
    <w:p w14:paraId="5907AC4F">
      <w:pPr>
        <w:pStyle w:val="9"/>
        <w:spacing w:line="360" w:lineRule="auto"/>
        <w:jc w:val="left"/>
        <w:rPr>
          <w:rFonts w:hAnsi="宋体" w:eastAsia="宋体" w:cs="宋体"/>
          <w:sz w:val="24"/>
          <w:szCs w:val="24"/>
        </w:rPr>
      </w:pPr>
    </w:p>
    <w:p w14:paraId="138A4638">
      <w:pPr>
        <w:pStyle w:val="9"/>
        <w:spacing w:line="360" w:lineRule="auto"/>
        <w:jc w:val="left"/>
        <w:rPr>
          <w:rFonts w:hAnsi="宋体" w:eastAsia="宋体" w:cs="宋体"/>
          <w:sz w:val="24"/>
          <w:szCs w:val="24"/>
        </w:rPr>
      </w:pPr>
    </w:p>
    <w:p w14:paraId="6814B302">
      <w:pPr>
        <w:pStyle w:val="9"/>
        <w:spacing w:line="360" w:lineRule="auto"/>
        <w:jc w:val="left"/>
        <w:rPr>
          <w:rFonts w:hAnsi="宋体" w:eastAsia="宋体" w:cs="宋体"/>
          <w:sz w:val="24"/>
          <w:szCs w:val="24"/>
        </w:rPr>
      </w:pPr>
    </w:p>
    <w:p w14:paraId="6D296067">
      <w:pPr>
        <w:pStyle w:val="9"/>
        <w:spacing w:line="360" w:lineRule="auto"/>
        <w:jc w:val="left"/>
        <w:rPr>
          <w:rFonts w:hAnsi="宋体" w:eastAsia="宋体" w:cs="宋体"/>
          <w:sz w:val="24"/>
          <w:szCs w:val="24"/>
        </w:rPr>
      </w:pPr>
    </w:p>
    <w:p w14:paraId="186DF764">
      <w:pPr>
        <w:pStyle w:val="9"/>
        <w:spacing w:line="360" w:lineRule="auto"/>
        <w:jc w:val="left"/>
        <w:rPr>
          <w:rFonts w:hAnsi="宋体" w:eastAsia="宋体" w:cs="宋体"/>
          <w:sz w:val="24"/>
          <w:szCs w:val="24"/>
        </w:rPr>
        <w:sectPr>
          <w:headerReference r:id="rId6" w:type="default"/>
          <w:footerReference r:id="rId7" w:type="default"/>
          <w:footerReference r:id="rId8" w:type="even"/>
          <w:pgSz w:w="11906" w:h="16838"/>
          <w:pgMar w:top="1304" w:right="1418" w:bottom="1304" w:left="1701" w:header="851" w:footer="992" w:gutter="0"/>
          <w:pgNumType w:fmt="decimal"/>
          <w:cols w:space="720" w:num="1"/>
          <w:docGrid w:type="lines" w:linePitch="312" w:charSpace="0"/>
        </w:sectPr>
      </w:pPr>
    </w:p>
    <w:p w14:paraId="31B73404">
      <w:pPr>
        <w:pStyle w:val="9"/>
        <w:spacing w:line="360" w:lineRule="auto"/>
        <w:jc w:val="left"/>
        <w:rPr>
          <w:rFonts w:hint="eastAsia" w:hAnsi="宋体" w:eastAsia="宋体" w:cs="宋体"/>
          <w:b/>
          <w:bCs/>
          <w:sz w:val="24"/>
          <w:szCs w:val="24"/>
          <w:lang w:eastAsia="zh-CN"/>
        </w:rPr>
      </w:pPr>
      <w:r>
        <w:rPr>
          <w:rFonts w:hint="eastAsia" w:hAnsi="宋体" w:eastAsia="宋体" w:cs="宋体"/>
          <w:sz w:val="24"/>
          <w:szCs w:val="24"/>
        </w:rPr>
        <w:t>附件</w:t>
      </w:r>
      <w:r>
        <w:rPr>
          <w:rFonts w:hint="eastAsia" w:hAnsi="宋体" w:eastAsia="宋体" w:cs="宋体"/>
          <w:sz w:val="24"/>
          <w:szCs w:val="24"/>
          <w:lang w:eastAsia="zh-CN"/>
        </w:rPr>
        <w:t>五</w:t>
      </w:r>
    </w:p>
    <w:p w14:paraId="000490F8">
      <w:pPr>
        <w:pStyle w:val="9"/>
        <w:adjustRightInd w:val="0"/>
        <w:snapToGrid w:val="0"/>
        <w:spacing w:line="360" w:lineRule="auto"/>
        <w:jc w:val="center"/>
        <w:rPr>
          <w:rFonts w:hAnsi="宋体" w:eastAsia="宋体" w:cs="宋体"/>
          <w:b/>
          <w:sz w:val="30"/>
          <w:szCs w:val="30"/>
        </w:rPr>
      </w:pPr>
      <w:r>
        <w:rPr>
          <w:rFonts w:hint="eastAsia" w:hAnsi="宋体" w:eastAsia="宋体" w:cs="宋体"/>
          <w:b/>
          <w:sz w:val="28"/>
          <w:szCs w:val="28"/>
        </w:rPr>
        <w:t>项目负责人及其他人员配备情况表</w:t>
      </w:r>
    </w:p>
    <w:p w14:paraId="4006C722">
      <w:pPr>
        <w:widowControl/>
        <w:spacing w:beforeAutospacing="0" w:afterAutospacing="0"/>
        <w:rPr>
          <w:rFonts w:hint="default" w:ascii="宋体" w:hAnsi="宋体" w:eastAsia="宋体" w:cs="宋体"/>
          <w:b/>
          <w:sz w:val="24"/>
          <w:szCs w:val="24"/>
          <w:lang w:val="en-US" w:eastAsia="zh-CN"/>
        </w:rPr>
      </w:pPr>
      <w:r>
        <w:rPr>
          <w:rFonts w:hint="eastAsia" w:ascii="宋体" w:hAnsi="宋体" w:cs="宋体"/>
          <w:kern w:val="0"/>
          <w:sz w:val="24"/>
          <w:szCs w:val="24"/>
        </w:rPr>
        <w:t>项目名称：</w:t>
      </w:r>
      <w:r>
        <w:rPr>
          <w:rFonts w:hint="eastAsia" w:ascii="宋体" w:hAnsi="宋体" w:cs="宋体"/>
          <w:b w:val="0"/>
          <w:bCs w:val="0"/>
          <w:color w:val="000000"/>
          <w:sz w:val="24"/>
          <w:szCs w:val="24"/>
          <w:u w:val="single"/>
          <w:lang w:eastAsia="zh-CN"/>
        </w:rPr>
        <w:t>西湾和苑安置房修缮工程服务</w:t>
      </w:r>
    </w:p>
    <w:tbl>
      <w:tblPr>
        <w:tblStyle w:val="19"/>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518"/>
        <w:gridCol w:w="1620"/>
        <w:gridCol w:w="1424"/>
        <w:gridCol w:w="1399"/>
        <w:gridCol w:w="2269"/>
      </w:tblGrid>
      <w:tr w14:paraId="4C9A9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44" w:type="dxa"/>
            <w:vAlign w:val="center"/>
          </w:tcPr>
          <w:p w14:paraId="43607D77">
            <w:pPr>
              <w:autoSpaceDE w:val="0"/>
              <w:autoSpaceDN w:val="0"/>
              <w:adjustRightInd w:val="0"/>
              <w:spacing w:line="240" w:lineRule="auto"/>
              <w:jc w:val="center"/>
              <w:rPr>
                <w:rFonts w:ascii="宋体" w:hAnsi="宋体" w:cs="宋体"/>
                <w:b/>
                <w:bCs/>
                <w:kern w:val="0"/>
                <w:sz w:val="24"/>
                <w:szCs w:val="24"/>
              </w:rPr>
            </w:pPr>
            <w:r>
              <w:rPr>
                <w:rFonts w:hint="eastAsia" w:ascii="宋体" w:hAnsi="宋体" w:cs="宋体"/>
                <w:b/>
                <w:bCs/>
                <w:kern w:val="0"/>
                <w:sz w:val="24"/>
                <w:szCs w:val="24"/>
              </w:rPr>
              <w:t>序号</w:t>
            </w:r>
          </w:p>
        </w:tc>
        <w:tc>
          <w:tcPr>
            <w:tcW w:w="1518" w:type="dxa"/>
            <w:vAlign w:val="center"/>
          </w:tcPr>
          <w:p w14:paraId="173335D7">
            <w:pPr>
              <w:autoSpaceDE w:val="0"/>
              <w:autoSpaceDN w:val="0"/>
              <w:adjustRightInd w:val="0"/>
              <w:spacing w:line="240" w:lineRule="auto"/>
              <w:jc w:val="center"/>
              <w:rPr>
                <w:rFonts w:ascii="宋体" w:hAnsi="宋体" w:cs="宋体"/>
                <w:b/>
                <w:bCs/>
                <w:kern w:val="0"/>
                <w:sz w:val="24"/>
                <w:szCs w:val="24"/>
              </w:rPr>
            </w:pPr>
            <w:r>
              <w:rPr>
                <w:rFonts w:hint="eastAsia" w:ascii="宋体" w:hAnsi="宋体" w:cs="宋体"/>
                <w:b/>
                <w:bCs/>
                <w:kern w:val="0"/>
                <w:sz w:val="24"/>
                <w:szCs w:val="24"/>
              </w:rPr>
              <w:t>职责</w:t>
            </w:r>
          </w:p>
          <w:p w14:paraId="3B504F40">
            <w:pPr>
              <w:tabs>
                <w:tab w:val="left" w:pos="1322"/>
              </w:tabs>
              <w:spacing w:line="240" w:lineRule="auto"/>
              <w:jc w:val="center"/>
              <w:rPr>
                <w:rFonts w:ascii="宋体" w:hAnsi="宋体" w:cs="宋体"/>
                <w:sz w:val="24"/>
                <w:szCs w:val="24"/>
                <w:lang w:val="en-GB"/>
              </w:rPr>
            </w:pPr>
            <w:r>
              <w:rPr>
                <w:rFonts w:hint="eastAsia" w:ascii="宋体" w:hAnsi="宋体" w:cs="宋体"/>
                <w:b/>
                <w:bCs/>
                <w:kern w:val="0"/>
                <w:sz w:val="24"/>
                <w:szCs w:val="24"/>
              </w:rPr>
              <w:t>分工</w:t>
            </w:r>
          </w:p>
        </w:tc>
        <w:tc>
          <w:tcPr>
            <w:tcW w:w="1620" w:type="dxa"/>
            <w:vAlign w:val="center"/>
          </w:tcPr>
          <w:p w14:paraId="410A5871">
            <w:pPr>
              <w:tabs>
                <w:tab w:val="left" w:pos="1322"/>
              </w:tabs>
              <w:spacing w:line="240" w:lineRule="auto"/>
              <w:jc w:val="center"/>
              <w:rPr>
                <w:rFonts w:ascii="宋体" w:hAnsi="宋体" w:cs="宋体"/>
                <w:sz w:val="24"/>
                <w:szCs w:val="24"/>
                <w:lang w:val="en-GB"/>
              </w:rPr>
            </w:pPr>
            <w:r>
              <w:rPr>
                <w:rFonts w:hint="eastAsia" w:ascii="宋体" w:hAnsi="宋体" w:cs="宋体"/>
                <w:b/>
                <w:bCs/>
                <w:kern w:val="0"/>
                <w:sz w:val="24"/>
                <w:szCs w:val="24"/>
              </w:rPr>
              <w:t>姓名</w:t>
            </w:r>
          </w:p>
        </w:tc>
        <w:tc>
          <w:tcPr>
            <w:tcW w:w="1424" w:type="dxa"/>
            <w:vAlign w:val="center"/>
          </w:tcPr>
          <w:p w14:paraId="10A0CE57">
            <w:pPr>
              <w:tabs>
                <w:tab w:val="left" w:pos="1322"/>
              </w:tabs>
              <w:spacing w:line="240" w:lineRule="auto"/>
              <w:jc w:val="center"/>
              <w:rPr>
                <w:rFonts w:ascii="宋体" w:hAnsi="宋体" w:cs="宋体"/>
                <w:b/>
                <w:bCs/>
                <w:kern w:val="0"/>
                <w:sz w:val="24"/>
                <w:szCs w:val="24"/>
              </w:rPr>
            </w:pPr>
            <w:r>
              <w:rPr>
                <w:rFonts w:hint="eastAsia" w:ascii="宋体" w:hAnsi="宋体" w:cs="宋体"/>
                <w:b/>
                <w:bCs/>
                <w:kern w:val="0"/>
                <w:sz w:val="24"/>
                <w:szCs w:val="24"/>
              </w:rPr>
              <w:t>学历</w:t>
            </w:r>
          </w:p>
        </w:tc>
        <w:tc>
          <w:tcPr>
            <w:tcW w:w="1399" w:type="dxa"/>
            <w:vAlign w:val="center"/>
          </w:tcPr>
          <w:p w14:paraId="4C37B23A">
            <w:pPr>
              <w:tabs>
                <w:tab w:val="left" w:pos="1322"/>
              </w:tabs>
              <w:spacing w:line="240" w:lineRule="auto"/>
              <w:jc w:val="center"/>
              <w:rPr>
                <w:rFonts w:ascii="宋体" w:hAnsi="宋体" w:cs="宋体"/>
                <w:b/>
                <w:bCs/>
                <w:kern w:val="0"/>
                <w:sz w:val="24"/>
                <w:szCs w:val="24"/>
              </w:rPr>
            </w:pPr>
            <w:r>
              <w:rPr>
                <w:rFonts w:hint="eastAsia" w:ascii="宋体" w:hAnsi="宋体" w:cs="宋体"/>
                <w:b/>
                <w:bCs/>
                <w:kern w:val="0"/>
                <w:sz w:val="24"/>
                <w:szCs w:val="24"/>
              </w:rPr>
              <w:t>职称/注册执业资格</w:t>
            </w:r>
          </w:p>
        </w:tc>
        <w:tc>
          <w:tcPr>
            <w:tcW w:w="2269" w:type="dxa"/>
            <w:vAlign w:val="center"/>
          </w:tcPr>
          <w:p w14:paraId="096262AD">
            <w:pPr>
              <w:tabs>
                <w:tab w:val="left" w:pos="1322"/>
              </w:tabs>
              <w:spacing w:line="240" w:lineRule="auto"/>
              <w:jc w:val="center"/>
              <w:rPr>
                <w:rFonts w:ascii="宋体" w:hAnsi="宋体" w:cs="宋体"/>
                <w:sz w:val="24"/>
                <w:szCs w:val="24"/>
                <w:lang w:val="en-GB"/>
              </w:rPr>
            </w:pPr>
            <w:r>
              <w:rPr>
                <w:rFonts w:hint="eastAsia" w:ascii="宋体" w:hAnsi="宋体" w:cs="宋体"/>
                <w:b/>
                <w:bCs/>
                <w:kern w:val="0"/>
                <w:sz w:val="24"/>
                <w:szCs w:val="24"/>
              </w:rPr>
              <w:t>证书编号（如有）</w:t>
            </w:r>
          </w:p>
        </w:tc>
      </w:tr>
      <w:tr w14:paraId="7856D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44" w:type="dxa"/>
            <w:vAlign w:val="center"/>
          </w:tcPr>
          <w:p w14:paraId="71B3C9EC">
            <w:pPr>
              <w:tabs>
                <w:tab w:val="left" w:pos="1322"/>
              </w:tabs>
              <w:spacing w:line="360" w:lineRule="auto"/>
              <w:jc w:val="center"/>
              <w:rPr>
                <w:rFonts w:ascii="宋体" w:hAnsi="宋体" w:cs="宋体"/>
                <w:sz w:val="24"/>
                <w:szCs w:val="24"/>
              </w:rPr>
            </w:pPr>
            <w:r>
              <w:rPr>
                <w:rFonts w:hint="eastAsia" w:ascii="宋体" w:hAnsi="宋体" w:cs="宋体"/>
                <w:kern w:val="0"/>
                <w:sz w:val="24"/>
                <w:szCs w:val="24"/>
              </w:rPr>
              <w:t>1</w:t>
            </w:r>
          </w:p>
        </w:tc>
        <w:tc>
          <w:tcPr>
            <w:tcW w:w="1518" w:type="dxa"/>
            <w:vAlign w:val="center"/>
          </w:tcPr>
          <w:p w14:paraId="6FFE12EB">
            <w:pPr>
              <w:tabs>
                <w:tab w:val="left" w:pos="1322"/>
              </w:tabs>
              <w:spacing w:line="360" w:lineRule="auto"/>
              <w:jc w:val="center"/>
              <w:rPr>
                <w:rFonts w:ascii="宋体" w:hAnsi="宋体" w:cs="宋体"/>
                <w:sz w:val="24"/>
                <w:szCs w:val="24"/>
                <w:lang w:val="en-GB"/>
              </w:rPr>
            </w:pPr>
            <w:r>
              <w:rPr>
                <w:rFonts w:hint="eastAsia" w:ascii="宋体" w:hAnsi="宋体" w:cs="宋体"/>
                <w:kern w:val="0"/>
                <w:sz w:val="24"/>
                <w:szCs w:val="24"/>
              </w:rPr>
              <w:t>项目负责人</w:t>
            </w:r>
          </w:p>
        </w:tc>
        <w:tc>
          <w:tcPr>
            <w:tcW w:w="1620" w:type="dxa"/>
            <w:vAlign w:val="center"/>
          </w:tcPr>
          <w:p w14:paraId="29DD1F69">
            <w:pPr>
              <w:tabs>
                <w:tab w:val="left" w:pos="1322"/>
              </w:tabs>
              <w:spacing w:line="360" w:lineRule="auto"/>
              <w:jc w:val="center"/>
              <w:rPr>
                <w:rFonts w:ascii="宋体" w:hAnsi="宋体" w:cs="宋体"/>
                <w:sz w:val="24"/>
                <w:szCs w:val="24"/>
                <w:lang w:val="en-GB"/>
              </w:rPr>
            </w:pPr>
          </w:p>
        </w:tc>
        <w:tc>
          <w:tcPr>
            <w:tcW w:w="1424" w:type="dxa"/>
            <w:vAlign w:val="center"/>
          </w:tcPr>
          <w:p w14:paraId="715D44FE">
            <w:pPr>
              <w:tabs>
                <w:tab w:val="left" w:pos="1322"/>
              </w:tabs>
              <w:spacing w:line="360" w:lineRule="auto"/>
              <w:jc w:val="center"/>
              <w:rPr>
                <w:rFonts w:ascii="宋体" w:hAnsi="宋体" w:cs="宋体"/>
                <w:sz w:val="24"/>
                <w:szCs w:val="24"/>
                <w:lang w:val="en-GB"/>
              </w:rPr>
            </w:pPr>
          </w:p>
        </w:tc>
        <w:tc>
          <w:tcPr>
            <w:tcW w:w="1399" w:type="dxa"/>
            <w:vAlign w:val="center"/>
          </w:tcPr>
          <w:p w14:paraId="0C9315E3">
            <w:pPr>
              <w:tabs>
                <w:tab w:val="left" w:pos="1322"/>
              </w:tabs>
              <w:spacing w:line="360" w:lineRule="auto"/>
              <w:jc w:val="center"/>
              <w:rPr>
                <w:rFonts w:ascii="宋体" w:hAnsi="宋体" w:cs="宋体"/>
                <w:sz w:val="24"/>
                <w:szCs w:val="24"/>
                <w:lang w:val="en-GB"/>
              </w:rPr>
            </w:pPr>
          </w:p>
        </w:tc>
        <w:tc>
          <w:tcPr>
            <w:tcW w:w="2269" w:type="dxa"/>
            <w:vAlign w:val="center"/>
          </w:tcPr>
          <w:p w14:paraId="19345D9E">
            <w:pPr>
              <w:tabs>
                <w:tab w:val="left" w:pos="1322"/>
              </w:tabs>
              <w:spacing w:line="360" w:lineRule="auto"/>
              <w:jc w:val="center"/>
              <w:rPr>
                <w:rFonts w:ascii="宋体" w:hAnsi="宋体" w:cs="宋体"/>
                <w:sz w:val="24"/>
                <w:szCs w:val="24"/>
                <w:lang w:val="en-GB"/>
              </w:rPr>
            </w:pPr>
          </w:p>
        </w:tc>
      </w:tr>
      <w:tr w14:paraId="01AF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44" w:type="dxa"/>
            <w:vAlign w:val="center"/>
          </w:tcPr>
          <w:p w14:paraId="227EC285">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2</w:t>
            </w:r>
          </w:p>
        </w:tc>
        <w:tc>
          <w:tcPr>
            <w:tcW w:w="1518" w:type="dxa"/>
            <w:vMerge w:val="restart"/>
            <w:vAlign w:val="center"/>
          </w:tcPr>
          <w:p w14:paraId="67C5CECF">
            <w:pPr>
              <w:tabs>
                <w:tab w:val="left" w:pos="1322"/>
              </w:tabs>
              <w:spacing w:line="360" w:lineRule="auto"/>
              <w:jc w:val="center"/>
              <w:rPr>
                <w:rFonts w:ascii="宋体" w:hAnsi="宋体" w:cs="宋体"/>
                <w:sz w:val="24"/>
                <w:szCs w:val="24"/>
                <w:lang w:val="en-GB"/>
              </w:rPr>
            </w:pPr>
            <w:r>
              <w:rPr>
                <w:rFonts w:hint="eastAsia" w:ascii="宋体" w:hAnsi="宋体" w:cs="宋体"/>
                <w:kern w:val="0"/>
                <w:sz w:val="24"/>
                <w:szCs w:val="24"/>
              </w:rPr>
              <w:t>主要经办人员及其他人员配备情况</w:t>
            </w:r>
          </w:p>
        </w:tc>
        <w:tc>
          <w:tcPr>
            <w:tcW w:w="1620" w:type="dxa"/>
            <w:vAlign w:val="center"/>
          </w:tcPr>
          <w:p w14:paraId="789F7DB5">
            <w:pPr>
              <w:tabs>
                <w:tab w:val="left" w:pos="1322"/>
              </w:tabs>
              <w:spacing w:line="360" w:lineRule="auto"/>
              <w:jc w:val="center"/>
              <w:rPr>
                <w:rFonts w:ascii="宋体" w:hAnsi="宋体" w:cs="宋体"/>
                <w:sz w:val="24"/>
                <w:szCs w:val="24"/>
                <w:lang w:val="en-GB"/>
              </w:rPr>
            </w:pPr>
          </w:p>
        </w:tc>
        <w:tc>
          <w:tcPr>
            <w:tcW w:w="1424" w:type="dxa"/>
            <w:vAlign w:val="center"/>
          </w:tcPr>
          <w:p w14:paraId="65EE790B">
            <w:pPr>
              <w:tabs>
                <w:tab w:val="left" w:pos="1322"/>
              </w:tabs>
              <w:spacing w:line="360" w:lineRule="auto"/>
              <w:jc w:val="center"/>
              <w:rPr>
                <w:rFonts w:ascii="宋体" w:hAnsi="宋体" w:cs="宋体"/>
                <w:sz w:val="24"/>
                <w:szCs w:val="24"/>
                <w:lang w:val="en-GB"/>
              </w:rPr>
            </w:pPr>
          </w:p>
        </w:tc>
        <w:tc>
          <w:tcPr>
            <w:tcW w:w="1399" w:type="dxa"/>
            <w:vAlign w:val="center"/>
          </w:tcPr>
          <w:p w14:paraId="051238CE">
            <w:pPr>
              <w:tabs>
                <w:tab w:val="left" w:pos="1322"/>
              </w:tabs>
              <w:spacing w:line="360" w:lineRule="auto"/>
              <w:jc w:val="center"/>
              <w:rPr>
                <w:rFonts w:ascii="宋体" w:hAnsi="宋体" w:cs="宋体"/>
                <w:sz w:val="24"/>
                <w:szCs w:val="24"/>
                <w:lang w:val="en-GB"/>
              </w:rPr>
            </w:pPr>
          </w:p>
        </w:tc>
        <w:tc>
          <w:tcPr>
            <w:tcW w:w="2269" w:type="dxa"/>
            <w:vAlign w:val="center"/>
          </w:tcPr>
          <w:p w14:paraId="639E5BA7">
            <w:pPr>
              <w:tabs>
                <w:tab w:val="left" w:pos="1322"/>
              </w:tabs>
              <w:spacing w:line="360" w:lineRule="auto"/>
              <w:jc w:val="center"/>
              <w:rPr>
                <w:rFonts w:ascii="宋体" w:hAnsi="宋体" w:cs="宋体"/>
                <w:sz w:val="24"/>
                <w:szCs w:val="24"/>
                <w:lang w:val="en-GB"/>
              </w:rPr>
            </w:pPr>
          </w:p>
        </w:tc>
      </w:tr>
      <w:tr w14:paraId="5A87B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44" w:type="dxa"/>
            <w:vAlign w:val="center"/>
          </w:tcPr>
          <w:p w14:paraId="29008866">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3</w:t>
            </w:r>
          </w:p>
        </w:tc>
        <w:tc>
          <w:tcPr>
            <w:tcW w:w="1518" w:type="dxa"/>
            <w:vMerge w:val="continue"/>
            <w:vAlign w:val="center"/>
          </w:tcPr>
          <w:p w14:paraId="77008CF3">
            <w:pPr>
              <w:tabs>
                <w:tab w:val="left" w:pos="1322"/>
              </w:tabs>
              <w:spacing w:line="360" w:lineRule="auto"/>
              <w:jc w:val="center"/>
              <w:rPr>
                <w:rFonts w:ascii="宋体" w:hAnsi="宋体" w:cs="宋体"/>
                <w:kern w:val="0"/>
                <w:sz w:val="24"/>
                <w:szCs w:val="24"/>
              </w:rPr>
            </w:pPr>
          </w:p>
        </w:tc>
        <w:tc>
          <w:tcPr>
            <w:tcW w:w="1620" w:type="dxa"/>
            <w:vAlign w:val="center"/>
          </w:tcPr>
          <w:p w14:paraId="2C2F722C">
            <w:pPr>
              <w:tabs>
                <w:tab w:val="left" w:pos="1322"/>
              </w:tabs>
              <w:spacing w:line="360" w:lineRule="auto"/>
              <w:jc w:val="center"/>
              <w:rPr>
                <w:rFonts w:ascii="宋体" w:hAnsi="宋体" w:cs="宋体"/>
                <w:sz w:val="24"/>
                <w:szCs w:val="24"/>
                <w:lang w:val="en-GB"/>
              </w:rPr>
            </w:pPr>
          </w:p>
        </w:tc>
        <w:tc>
          <w:tcPr>
            <w:tcW w:w="1424" w:type="dxa"/>
            <w:vAlign w:val="center"/>
          </w:tcPr>
          <w:p w14:paraId="290FC3AC">
            <w:pPr>
              <w:tabs>
                <w:tab w:val="left" w:pos="1322"/>
              </w:tabs>
              <w:spacing w:line="360" w:lineRule="auto"/>
              <w:jc w:val="center"/>
              <w:rPr>
                <w:rFonts w:ascii="宋体" w:hAnsi="宋体" w:cs="宋体"/>
                <w:sz w:val="24"/>
                <w:szCs w:val="24"/>
                <w:lang w:val="en-GB"/>
              </w:rPr>
            </w:pPr>
          </w:p>
        </w:tc>
        <w:tc>
          <w:tcPr>
            <w:tcW w:w="1399" w:type="dxa"/>
            <w:vAlign w:val="center"/>
          </w:tcPr>
          <w:p w14:paraId="47029ED0">
            <w:pPr>
              <w:tabs>
                <w:tab w:val="left" w:pos="1322"/>
              </w:tabs>
              <w:spacing w:line="360" w:lineRule="auto"/>
              <w:jc w:val="center"/>
              <w:rPr>
                <w:rFonts w:ascii="宋体" w:hAnsi="宋体" w:cs="宋体"/>
                <w:sz w:val="24"/>
                <w:szCs w:val="24"/>
                <w:lang w:val="en-GB"/>
              </w:rPr>
            </w:pPr>
          </w:p>
        </w:tc>
        <w:tc>
          <w:tcPr>
            <w:tcW w:w="2269" w:type="dxa"/>
            <w:vAlign w:val="center"/>
          </w:tcPr>
          <w:p w14:paraId="43A34987">
            <w:pPr>
              <w:tabs>
                <w:tab w:val="left" w:pos="1322"/>
              </w:tabs>
              <w:spacing w:line="360" w:lineRule="auto"/>
              <w:jc w:val="center"/>
              <w:rPr>
                <w:rFonts w:ascii="宋体" w:hAnsi="宋体" w:cs="宋体"/>
                <w:sz w:val="24"/>
                <w:szCs w:val="24"/>
                <w:lang w:val="en-GB"/>
              </w:rPr>
            </w:pPr>
          </w:p>
        </w:tc>
      </w:tr>
      <w:tr w14:paraId="16327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44" w:type="dxa"/>
            <w:vAlign w:val="center"/>
          </w:tcPr>
          <w:p w14:paraId="390232F4">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4</w:t>
            </w:r>
          </w:p>
        </w:tc>
        <w:tc>
          <w:tcPr>
            <w:tcW w:w="1518" w:type="dxa"/>
            <w:vMerge w:val="continue"/>
            <w:vAlign w:val="center"/>
          </w:tcPr>
          <w:p w14:paraId="1763DC8A">
            <w:pPr>
              <w:tabs>
                <w:tab w:val="left" w:pos="1322"/>
              </w:tabs>
              <w:spacing w:line="360" w:lineRule="auto"/>
              <w:jc w:val="center"/>
              <w:rPr>
                <w:rFonts w:ascii="宋体" w:hAnsi="宋体" w:cs="宋体"/>
                <w:kern w:val="0"/>
                <w:sz w:val="24"/>
                <w:szCs w:val="24"/>
              </w:rPr>
            </w:pPr>
          </w:p>
        </w:tc>
        <w:tc>
          <w:tcPr>
            <w:tcW w:w="1620" w:type="dxa"/>
            <w:vAlign w:val="center"/>
          </w:tcPr>
          <w:p w14:paraId="425945C4">
            <w:pPr>
              <w:tabs>
                <w:tab w:val="left" w:pos="1322"/>
              </w:tabs>
              <w:spacing w:line="360" w:lineRule="auto"/>
              <w:jc w:val="center"/>
              <w:rPr>
                <w:rFonts w:ascii="宋体" w:hAnsi="宋体" w:cs="宋体"/>
                <w:sz w:val="24"/>
                <w:szCs w:val="24"/>
                <w:lang w:val="en-GB"/>
              </w:rPr>
            </w:pPr>
          </w:p>
        </w:tc>
        <w:tc>
          <w:tcPr>
            <w:tcW w:w="1424" w:type="dxa"/>
            <w:vAlign w:val="center"/>
          </w:tcPr>
          <w:p w14:paraId="72EFD855">
            <w:pPr>
              <w:tabs>
                <w:tab w:val="left" w:pos="1322"/>
              </w:tabs>
              <w:spacing w:line="360" w:lineRule="auto"/>
              <w:jc w:val="center"/>
              <w:rPr>
                <w:rFonts w:ascii="宋体" w:hAnsi="宋体" w:cs="宋体"/>
                <w:sz w:val="24"/>
                <w:szCs w:val="24"/>
                <w:lang w:val="en-GB"/>
              </w:rPr>
            </w:pPr>
          </w:p>
        </w:tc>
        <w:tc>
          <w:tcPr>
            <w:tcW w:w="1399" w:type="dxa"/>
            <w:vAlign w:val="center"/>
          </w:tcPr>
          <w:p w14:paraId="338AECF0">
            <w:pPr>
              <w:tabs>
                <w:tab w:val="left" w:pos="1322"/>
              </w:tabs>
              <w:spacing w:line="360" w:lineRule="auto"/>
              <w:jc w:val="center"/>
              <w:rPr>
                <w:rFonts w:ascii="宋体" w:hAnsi="宋体" w:cs="宋体"/>
                <w:sz w:val="24"/>
                <w:szCs w:val="24"/>
                <w:lang w:val="en-GB"/>
              </w:rPr>
            </w:pPr>
          </w:p>
        </w:tc>
        <w:tc>
          <w:tcPr>
            <w:tcW w:w="2269" w:type="dxa"/>
            <w:vAlign w:val="center"/>
          </w:tcPr>
          <w:p w14:paraId="69121909">
            <w:pPr>
              <w:tabs>
                <w:tab w:val="left" w:pos="1322"/>
              </w:tabs>
              <w:spacing w:line="360" w:lineRule="auto"/>
              <w:jc w:val="center"/>
              <w:rPr>
                <w:rFonts w:ascii="宋体" w:hAnsi="宋体" w:cs="宋体"/>
                <w:sz w:val="24"/>
                <w:szCs w:val="24"/>
                <w:lang w:val="en-GB"/>
              </w:rPr>
            </w:pPr>
          </w:p>
        </w:tc>
      </w:tr>
      <w:tr w14:paraId="53852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44" w:type="dxa"/>
            <w:vAlign w:val="center"/>
          </w:tcPr>
          <w:p w14:paraId="532FF43B">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w:t>
            </w:r>
          </w:p>
        </w:tc>
        <w:tc>
          <w:tcPr>
            <w:tcW w:w="1518" w:type="dxa"/>
            <w:vMerge w:val="continue"/>
            <w:vAlign w:val="center"/>
          </w:tcPr>
          <w:p w14:paraId="2C6EAE49">
            <w:pPr>
              <w:tabs>
                <w:tab w:val="left" w:pos="1322"/>
              </w:tabs>
              <w:spacing w:line="360" w:lineRule="auto"/>
              <w:jc w:val="center"/>
              <w:rPr>
                <w:rFonts w:ascii="宋体" w:hAnsi="宋体" w:cs="宋体"/>
                <w:kern w:val="0"/>
                <w:sz w:val="24"/>
                <w:szCs w:val="24"/>
              </w:rPr>
            </w:pPr>
          </w:p>
        </w:tc>
        <w:tc>
          <w:tcPr>
            <w:tcW w:w="1620" w:type="dxa"/>
            <w:vAlign w:val="center"/>
          </w:tcPr>
          <w:p w14:paraId="3257FAA2">
            <w:pPr>
              <w:tabs>
                <w:tab w:val="left" w:pos="1322"/>
              </w:tabs>
              <w:spacing w:line="360" w:lineRule="auto"/>
              <w:jc w:val="center"/>
              <w:rPr>
                <w:rFonts w:ascii="宋体" w:hAnsi="宋体" w:cs="宋体"/>
                <w:sz w:val="24"/>
                <w:szCs w:val="24"/>
                <w:lang w:val="en-GB"/>
              </w:rPr>
            </w:pPr>
          </w:p>
        </w:tc>
        <w:tc>
          <w:tcPr>
            <w:tcW w:w="1424" w:type="dxa"/>
            <w:vAlign w:val="center"/>
          </w:tcPr>
          <w:p w14:paraId="517E9102">
            <w:pPr>
              <w:tabs>
                <w:tab w:val="left" w:pos="1322"/>
              </w:tabs>
              <w:spacing w:line="360" w:lineRule="auto"/>
              <w:jc w:val="center"/>
              <w:rPr>
                <w:rFonts w:ascii="宋体" w:hAnsi="宋体" w:cs="宋体"/>
                <w:sz w:val="24"/>
                <w:szCs w:val="24"/>
                <w:lang w:val="en-GB"/>
              </w:rPr>
            </w:pPr>
          </w:p>
        </w:tc>
        <w:tc>
          <w:tcPr>
            <w:tcW w:w="1399" w:type="dxa"/>
            <w:vAlign w:val="center"/>
          </w:tcPr>
          <w:p w14:paraId="22381DED">
            <w:pPr>
              <w:tabs>
                <w:tab w:val="left" w:pos="1322"/>
              </w:tabs>
              <w:spacing w:line="360" w:lineRule="auto"/>
              <w:jc w:val="center"/>
              <w:rPr>
                <w:rFonts w:ascii="宋体" w:hAnsi="宋体" w:cs="宋体"/>
                <w:sz w:val="24"/>
                <w:szCs w:val="24"/>
                <w:lang w:val="en-GB"/>
              </w:rPr>
            </w:pPr>
          </w:p>
        </w:tc>
        <w:tc>
          <w:tcPr>
            <w:tcW w:w="2269" w:type="dxa"/>
            <w:vAlign w:val="center"/>
          </w:tcPr>
          <w:p w14:paraId="054C30FF">
            <w:pPr>
              <w:tabs>
                <w:tab w:val="left" w:pos="1322"/>
              </w:tabs>
              <w:spacing w:line="360" w:lineRule="auto"/>
              <w:jc w:val="center"/>
              <w:rPr>
                <w:rFonts w:ascii="宋体" w:hAnsi="宋体" w:cs="宋体"/>
                <w:sz w:val="24"/>
                <w:szCs w:val="24"/>
                <w:lang w:val="en-GB"/>
              </w:rPr>
            </w:pPr>
          </w:p>
        </w:tc>
      </w:tr>
    </w:tbl>
    <w:p w14:paraId="2F2AD782">
      <w:pPr>
        <w:adjustRightInd w:val="0"/>
        <w:snapToGrid w:val="0"/>
        <w:spacing w:line="360" w:lineRule="auto"/>
        <w:rPr>
          <w:rFonts w:ascii="宋体" w:hAnsi="宋体" w:cs="宋体"/>
          <w:bCs/>
          <w:kern w:val="0"/>
          <w:sz w:val="24"/>
          <w:szCs w:val="24"/>
        </w:rPr>
      </w:pPr>
      <w:r>
        <w:rPr>
          <w:rFonts w:hint="eastAsia" w:ascii="宋体" w:hAnsi="宋体" w:cs="宋体"/>
          <w:bCs/>
          <w:kern w:val="0"/>
          <w:sz w:val="24"/>
          <w:szCs w:val="24"/>
        </w:rPr>
        <w:t>注：</w:t>
      </w:r>
      <w:r>
        <w:rPr>
          <w:rFonts w:hint="eastAsia" w:ascii="宋体" w:hAnsi="宋体" w:cs="宋体"/>
          <w:sz w:val="24"/>
          <w:szCs w:val="24"/>
        </w:rPr>
        <w:t>本表后应按要求附相关人员的资格证书证明材料及近</w:t>
      </w:r>
      <w:r>
        <w:rPr>
          <w:rFonts w:hint="eastAsia" w:ascii="宋体" w:hAnsi="宋体" w:cs="宋体"/>
          <w:sz w:val="24"/>
          <w:szCs w:val="24"/>
          <w:lang w:val="en-US" w:eastAsia="zh-CN"/>
        </w:rPr>
        <w:t>1</w:t>
      </w:r>
      <w:r>
        <w:rPr>
          <w:rFonts w:hint="eastAsia" w:ascii="宋体" w:hAnsi="宋体" w:cs="宋体"/>
          <w:sz w:val="24"/>
          <w:szCs w:val="24"/>
        </w:rPr>
        <w:t>个月个人社保证明页。</w:t>
      </w:r>
    </w:p>
    <w:p w14:paraId="250D30FA">
      <w:pPr>
        <w:tabs>
          <w:tab w:val="left" w:pos="1260"/>
        </w:tabs>
        <w:adjustRightInd w:val="0"/>
        <w:snapToGrid w:val="0"/>
        <w:spacing w:line="360" w:lineRule="auto"/>
        <w:rPr>
          <w:rFonts w:ascii="宋体" w:hAnsi="宋体" w:cs="宋体"/>
          <w:b/>
          <w:sz w:val="24"/>
          <w:szCs w:val="24"/>
        </w:rPr>
      </w:pPr>
    </w:p>
    <w:p w14:paraId="0F176A97">
      <w:pPr>
        <w:tabs>
          <w:tab w:val="left" w:pos="13320"/>
        </w:tabs>
        <w:snapToGrid w:val="0"/>
        <w:spacing w:line="360" w:lineRule="auto"/>
        <w:ind w:left="718" w:leftChars="342" w:right="-52" w:firstLine="2397" w:firstLineChars="999"/>
        <w:rPr>
          <w:rFonts w:ascii="宋体" w:hAnsi="宋体" w:cs="宋体"/>
          <w:sz w:val="24"/>
          <w:szCs w:val="24"/>
          <w:u w:val="single"/>
        </w:rPr>
      </w:pPr>
      <w:r>
        <w:rPr>
          <w:rFonts w:hint="eastAsia" w:ascii="宋体" w:hAnsi="宋体" w:cs="宋体"/>
          <w:sz w:val="24"/>
          <w:szCs w:val="24"/>
        </w:rPr>
        <w:t>报价人（公章）：</w:t>
      </w:r>
      <w:r>
        <w:rPr>
          <w:rFonts w:hint="eastAsia" w:ascii="宋体" w:hAnsi="宋体" w:cs="宋体"/>
          <w:sz w:val="24"/>
          <w:szCs w:val="24"/>
          <w:u w:val="single"/>
        </w:rPr>
        <w:t xml:space="preserve">                        </w:t>
      </w:r>
    </w:p>
    <w:p w14:paraId="6EA9D78C">
      <w:pPr>
        <w:tabs>
          <w:tab w:val="left" w:pos="13320"/>
        </w:tabs>
        <w:snapToGrid w:val="0"/>
        <w:spacing w:line="360" w:lineRule="auto"/>
        <w:ind w:left="718" w:leftChars="342" w:right="-52" w:firstLine="2397" w:firstLineChars="999"/>
        <w:rPr>
          <w:rFonts w:ascii="宋体" w:hAnsi="宋体" w:cs="宋体"/>
          <w:sz w:val="24"/>
          <w:szCs w:val="24"/>
          <w:u w:val="single"/>
        </w:rPr>
      </w:pPr>
      <w:r>
        <w:rPr>
          <w:rFonts w:hint="eastAsia" w:ascii="宋体" w:hAnsi="宋体" w:cs="宋体"/>
          <w:sz w:val="24"/>
          <w:szCs w:val="24"/>
        </w:rPr>
        <w:t>法定代表人或授权代表（签字或盖章）：</w:t>
      </w:r>
      <w:r>
        <w:rPr>
          <w:rFonts w:hint="eastAsia" w:ascii="宋体" w:hAnsi="宋体" w:cs="宋体"/>
          <w:sz w:val="24"/>
          <w:szCs w:val="24"/>
          <w:u w:val="single"/>
        </w:rPr>
        <w:t xml:space="preserve">        </w:t>
      </w:r>
    </w:p>
    <w:p w14:paraId="10E78E10">
      <w:pPr>
        <w:pStyle w:val="17"/>
        <w:spacing w:before="0" w:beforeAutospacing="0" w:after="0" w:afterAutospacing="0"/>
        <w:rPr>
          <w:color w:val="000000"/>
          <w:sz w:val="18"/>
          <w:szCs w:val="18"/>
          <w:shd w:val="clear" w:color="auto" w:fill="FFFFFF"/>
        </w:rPr>
      </w:pPr>
      <w:r>
        <w:rPr>
          <w:rFonts w:hint="eastAsia"/>
        </w:rPr>
        <w:t xml:space="preserve">                          </w:t>
      </w: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49D02920">
      <w:pPr>
        <w:pStyle w:val="17"/>
        <w:spacing w:before="0" w:beforeAutospacing="0" w:after="0" w:afterAutospacing="0"/>
        <w:rPr>
          <w:color w:val="000000"/>
          <w:sz w:val="18"/>
          <w:szCs w:val="18"/>
          <w:shd w:val="clear" w:color="auto" w:fill="FFFFFF"/>
        </w:rPr>
      </w:pPr>
    </w:p>
    <w:p w14:paraId="57EB8638">
      <w:pPr>
        <w:pStyle w:val="17"/>
        <w:spacing w:before="0" w:beforeAutospacing="0" w:after="0" w:afterAutospacing="0"/>
        <w:rPr>
          <w:color w:val="000000"/>
          <w:sz w:val="18"/>
          <w:szCs w:val="18"/>
          <w:shd w:val="clear" w:color="auto" w:fill="FFFFFF"/>
        </w:rPr>
      </w:pPr>
    </w:p>
    <w:p w14:paraId="6AF3FD85">
      <w:pPr>
        <w:pStyle w:val="17"/>
        <w:spacing w:before="0" w:beforeAutospacing="0" w:after="0" w:afterAutospacing="0"/>
        <w:rPr>
          <w:color w:val="000000"/>
          <w:sz w:val="18"/>
          <w:szCs w:val="18"/>
          <w:shd w:val="clear" w:color="auto" w:fill="FFFFFF"/>
        </w:rPr>
      </w:pPr>
    </w:p>
    <w:p w14:paraId="493E00BB">
      <w:pPr>
        <w:pStyle w:val="17"/>
        <w:spacing w:before="0" w:beforeAutospacing="0" w:after="0" w:afterAutospacing="0"/>
        <w:rPr>
          <w:color w:val="000000"/>
          <w:sz w:val="18"/>
          <w:szCs w:val="18"/>
          <w:shd w:val="clear" w:color="auto" w:fill="FFFFFF"/>
        </w:rPr>
      </w:pPr>
    </w:p>
    <w:p w14:paraId="7FA4E30B">
      <w:pPr>
        <w:pStyle w:val="17"/>
        <w:spacing w:before="0" w:beforeAutospacing="0" w:after="0" w:afterAutospacing="0"/>
        <w:rPr>
          <w:color w:val="000000"/>
          <w:sz w:val="18"/>
          <w:szCs w:val="18"/>
          <w:shd w:val="clear" w:color="auto" w:fill="FFFFFF"/>
        </w:rPr>
      </w:pPr>
    </w:p>
    <w:p w14:paraId="45A65DFC">
      <w:pPr>
        <w:pStyle w:val="17"/>
        <w:spacing w:before="0" w:beforeAutospacing="0" w:after="0" w:afterAutospacing="0"/>
        <w:rPr>
          <w:color w:val="000000"/>
          <w:sz w:val="18"/>
          <w:szCs w:val="18"/>
          <w:shd w:val="clear" w:color="auto" w:fill="FFFFFF"/>
        </w:rPr>
      </w:pPr>
    </w:p>
    <w:p w14:paraId="6E110067">
      <w:pPr>
        <w:pStyle w:val="17"/>
        <w:spacing w:before="0" w:beforeAutospacing="0" w:after="0" w:afterAutospacing="0"/>
        <w:rPr>
          <w:color w:val="000000"/>
          <w:sz w:val="18"/>
          <w:szCs w:val="18"/>
          <w:shd w:val="clear" w:color="auto" w:fill="FFFFFF"/>
        </w:rPr>
      </w:pPr>
    </w:p>
    <w:p w14:paraId="51C48079">
      <w:pPr>
        <w:pStyle w:val="17"/>
        <w:spacing w:before="0" w:beforeAutospacing="0" w:after="0" w:afterAutospacing="0"/>
        <w:rPr>
          <w:color w:val="000000"/>
          <w:sz w:val="18"/>
          <w:szCs w:val="18"/>
          <w:shd w:val="clear" w:color="auto" w:fill="FFFFFF"/>
        </w:rPr>
      </w:pPr>
    </w:p>
    <w:p w14:paraId="17A61601">
      <w:pPr>
        <w:pStyle w:val="17"/>
        <w:spacing w:before="0" w:beforeAutospacing="0" w:after="0" w:afterAutospacing="0"/>
        <w:rPr>
          <w:color w:val="000000"/>
          <w:sz w:val="18"/>
          <w:szCs w:val="18"/>
          <w:shd w:val="clear" w:color="auto" w:fill="FFFFFF"/>
        </w:rPr>
      </w:pPr>
    </w:p>
    <w:p w14:paraId="2CC739B6">
      <w:pPr>
        <w:pStyle w:val="17"/>
        <w:spacing w:before="0" w:beforeAutospacing="0" w:after="0" w:afterAutospacing="0"/>
        <w:rPr>
          <w:color w:val="000000"/>
          <w:sz w:val="18"/>
          <w:szCs w:val="18"/>
          <w:shd w:val="clear" w:color="auto" w:fill="FFFFFF"/>
        </w:rPr>
      </w:pPr>
    </w:p>
    <w:p w14:paraId="5259BCC1">
      <w:pPr>
        <w:pStyle w:val="17"/>
        <w:spacing w:before="0" w:beforeAutospacing="0" w:after="0" w:afterAutospacing="0"/>
        <w:rPr>
          <w:color w:val="000000"/>
          <w:sz w:val="18"/>
          <w:szCs w:val="18"/>
          <w:shd w:val="clear" w:color="auto" w:fill="FFFFFF"/>
        </w:rPr>
      </w:pPr>
    </w:p>
    <w:p w14:paraId="5862BF6C">
      <w:pPr>
        <w:pStyle w:val="17"/>
        <w:spacing w:before="0" w:beforeAutospacing="0" w:after="0" w:afterAutospacing="0"/>
        <w:rPr>
          <w:color w:val="000000"/>
          <w:sz w:val="18"/>
          <w:szCs w:val="18"/>
          <w:shd w:val="clear" w:color="auto" w:fill="FFFFFF"/>
        </w:rPr>
      </w:pPr>
    </w:p>
    <w:p w14:paraId="62B4C34E">
      <w:pPr>
        <w:pStyle w:val="17"/>
        <w:spacing w:before="0" w:beforeAutospacing="0" w:after="0" w:afterAutospacing="0"/>
        <w:rPr>
          <w:color w:val="000000"/>
          <w:sz w:val="18"/>
          <w:szCs w:val="18"/>
          <w:shd w:val="clear" w:color="auto" w:fill="FFFFFF"/>
        </w:rPr>
      </w:pPr>
    </w:p>
    <w:p w14:paraId="19BD7B00">
      <w:pPr>
        <w:pStyle w:val="17"/>
        <w:spacing w:before="0" w:beforeAutospacing="0" w:after="0" w:afterAutospacing="0"/>
        <w:rPr>
          <w:color w:val="000000"/>
          <w:sz w:val="18"/>
          <w:szCs w:val="18"/>
          <w:shd w:val="clear" w:color="auto" w:fill="FFFFFF"/>
        </w:rPr>
      </w:pPr>
    </w:p>
    <w:p w14:paraId="0084C602">
      <w:pPr>
        <w:pStyle w:val="17"/>
        <w:spacing w:before="0" w:beforeAutospacing="0" w:after="0" w:afterAutospacing="0"/>
        <w:rPr>
          <w:color w:val="000000"/>
          <w:sz w:val="18"/>
          <w:szCs w:val="18"/>
          <w:shd w:val="clear" w:color="auto" w:fill="FFFFFF"/>
        </w:rPr>
      </w:pPr>
    </w:p>
    <w:p w14:paraId="3E5CA2F1">
      <w:pPr>
        <w:pStyle w:val="17"/>
        <w:spacing w:before="0" w:beforeAutospacing="0" w:after="0" w:afterAutospacing="0"/>
        <w:rPr>
          <w:color w:val="000000"/>
          <w:sz w:val="18"/>
          <w:szCs w:val="18"/>
          <w:shd w:val="clear" w:color="auto" w:fill="FFFFFF"/>
        </w:rPr>
      </w:pPr>
    </w:p>
    <w:p w14:paraId="16A9A4F4">
      <w:pPr>
        <w:pStyle w:val="17"/>
        <w:spacing w:before="0" w:beforeAutospacing="0" w:after="0" w:afterAutospacing="0"/>
        <w:rPr>
          <w:color w:val="000000"/>
          <w:sz w:val="18"/>
          <w:szCs w:val="18"/>
          <w:shd w:val="clear" w:color="auto" w:fill="FFFFFF"/>
        </w:rPr>
      </w:pPr>
    </w:p>
    <w:p w14:paraId="0A3E4372">
      <w:pPr>
        <w:rPr>
          <w:color w:val="000000"/>
          <w:sz w:val="18"/>
          <w:szCs w:val="18"/>
          <w:shd w:val="clear" w:color="auto" w:fill="FFFFFF"/>
        </w:rPr>
      </w:pPr>
      <w:r>
        <w:rPr>
          <w:color w:val="000000"/>
          <w:sz w:val="18"/>
          <w:szCs w:val="18"/>
          <w:shd w:val="clear" w:color="auto" w:fill="FFFFFF"/>
        </w:rPr>
        <w:br w:type="page"/>
      </w:r>
    </w:p>
    <w:p w14:paraId="7EEA87F9">
      <w:pPr>
        <w:pStyle w:val="9"/>
        <w:spacing w:line="360" w:lineRule="auto"/>
        <w:rPr>
          <w:rFonts w:hint="eastAsia" w:hAnsi="宋体" w:eastAsia="宋体" w:cs="宋体"/>
          <w:sz w:val="18"/>
          <w:szCs w:val="18"/>
          <w:shd w:val="clear" w:color="auto" w:fill="FFFFFF"/>
          <w:lang w:eastAsia="zh-CN"/>
        </w:rPr>
      </w:pPr>
      <w:r>
        <w:rPr>
          <w:rFonts w:hint="eastAsia" w:hAnsi="宋体" w:eastAsia="宋体" w:cs="宋体"/>
          <w:sz w:val="24"/>
          <w:szCs w:val="24"/>
        </w:rPr>
        <w:t>附件</w:t>
      </w:r>
      <w:r>
        <w:rPr>
          <w:rFonts w:hint="eastAsia" w:hAnsi="宋体" w:eastAsia="宋体" w:cs="宋体"/>
          <w:sz w:val="24"/>
          <w:szCs w:val="24"/>
          <w:lang w:eastAsia="zh-CN"/>
        </w:rPr>
        <w:t>六</w:t>
      </w:r>
    </w:p>
    <w:p w14:paraId="2B38D387">
      <w:pPr>
        <w:adjustRightInd w:val="0"/>
        <w:snapToGrid w:val="0"/>
        <w:spacing w:line="360" w:lineRule="auto"/>
        <w:jc w:val="center"/>
        <w:rPr>
          <w:rFonts w:ascii="宋体" w:hAnsi="宋体" w:cs="宋体"/>
          <w:b/>
          <w:bCs/>
          <w:color w:val="000000"/>
          <w:sz w:val="48"/>
          <w:szCs w:val="48"/>
        </w:rPr>
      </w:pPr>
      <w:r>
        <w:rPr>
          <w:rFonts w:hint="eastAsia" w:ascii="宋体" w:hAnsi="宋体" w:cs="宋体"/>
          <w:b/>
          <w:bCs/>
          <w:color w:val="000000"/>
          <w:sz w:val="32"/>
          <w:szCs w:val="32"/>
        </w:rPr>
        <w:t>承诺书</w:t>
      </w:r>
    </w:p>
    <w:p w14:paraId="47E27AA9">
      <w:pPr>
        <w:adjustRightInd w:val="0"/>
        <w:snapToGrid w:val="0"/>
        <w:spacing w:line="360" w:lineRule="auto"/>
        <w:ind w:firstLine="560" w:firstLineChars="200"/>
        <w:rPr>
          <w:rFonts w:ascii="宋体" w:hAnsi="宋体" w:cs="宋体"/>
          <w:b/>
          <w:bCs/>
          <w:color w:val="000000" w:themeColor="text1"/>
          <w:sz w:val="32"/>
          <w:szCs w:val="32"/>
          <w14:textFill>
            <w14:solidFill>
              <w14:schemeClr w14:val="tx1"/>
            </w14:solidFill>
          </w14:textFill>
        </w:rPr>
      </w:pPr>
      <w:r>
        <w:rPr>
          <w:rFonts w:hint="eastAsia" w:ascii="宋体" w:hAnsi="宋体" w:cs="宋体"/>
          <w:color w:val="000000"/>
          <w:sz w:val="28"/>
          <w:szCs w:val="28"/>
        </w:rPr>
        <w:t>本公司承诺本次关于</w:t>
      </w:r>
      <w:r>
        <w:rPr>
          <w:rFonts w:hint="eastAsia" w:ascii="宋体" w:hAnsi="宋体" w:cs="宋体"/>
          <w:b w:val="0"/>
          <w:bCs w:val="0"/>
          <w:color w:val="000000"/>
          <w:sz w:val="28"/>
          <w:szCs w:val="28"/>
          <w:u w:val="single"/>
          <w:lang w:eastAsia="zh-CN"/>
        </w:rPr>
        <w:t>西湾和苑安置房修缮工程服务</w:t>
      </w:r>
      <w:r>
        <w:rPr>
          <w:rFonts w:hint="eastAsia" w:ascii="宋体" w:hAnsi="宋体" w:cs="宋体"/>
          <w:color w:val="000000"/>
          <w:sz w:val="28"/>
          <w:szCs w:val="28"/>
        </w:rPr>
        <w:t>报价文件中所提供的全部材料均为属实，</w:t>
      </w:r>
      <w:r>
        <w:rPr>
          <w:rFonts w:hint="eastAsia" w:ascii="宋体" w:hAnsi="宋体" w:cs="宋体"/>
          <w:color w:val="000000" w:themeColor="text1"/>
          <w:sz w:val="28"/>
          <w:szCs w:val="28"/>
          <w14:textFill>
            <w14:solidFill>
              <w14:schemeClr w14:val="tx1"/>
            </w14:solidFill>
          </w14:textFill>
        </w:rPr>
        <w:t>提交本承诺书的前3年内在经营活动中没有重大违法记录，</w:t>
      </w:r>
      <w:r>
        <w:rPr>
          <w:rFonts w:hint="eastAsia" w:ascii="宋体" w:hAnsi="宋体" w:cs="宋体"/>
          <w:color w:val="000000"/>
          <w:sz w:val="28"/>
          <w:szCs w:val="28"/>
        </w:rPr>
        <w:t>如有虚假，本公司将承担一切后果及法律责任，特此承诺。</w:t>
      </w:r>
    </w:p>
    <w:p w14:paraId="30CE10A1">
      <w:pPr>
        <w:spacing w:line="360" w:lineRule="auto"/>
        <w:jc w:val="left"/>
        <w:rPr>
          <w:rFonts w:ascii="宋体" w:hAnsi="宋体" w:cs="宋体"/>
          <w:b/>
          <w:bCs/>
          <w:color w:val="000000" w:themeColor="text1"/>
          <w:sz w:val="36"/>
          <w:szCs w:val="36"/>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w:t>
      </w:r>
    </w:p>
    <w:p w14:paraId="47649786">
      <w:pPr>
        <w:adjustRightInd w:val="0"/>
        <w:snapToGrid w:val="0"/>
        <w:spacing w:line="360" w:lineRule="auto"/>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 xml:space="preserve"> </w:t>
      </w:r>
    </w:p>
    <w:p w14:paraId="614685BE">
      <w:pPr>
        <w:adjustRightInd w:val="0"/>
        <w:snapToGrid w:val="0"/>
        <w:spacing w:line="360" w:lineRule="auto"/>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 xml:space="preserve"> </w:t>
      </w:r>
    </w:p>
    <w:p w14:paraId="257A6761">
      <w:pPr>
        <w:adjustRightInd w:val="0"/>
        <w:snapToGrid w:val="0"/>
        <w:spacing w:line="360" w:lineRule="auto"/>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 xml:space="preserve"> </w:t>
      </w:r>
    </w:p>
    <w:p w14:paraId="1BB487F2">
      <w:pPr>
        <w:adjustRightInd w:val="0"/>
        <w:snapToGrid w:val="0"/>
        <w:spacing w:line="360" w:lineRule="auto"/>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 xml:space="preserve"> </w:t>
      </w:r>
    </w:p>
    <w:p w14:paraId="3543A861">
      <w:pPr>
        <w:tabs>
          <w:tab w:val="left" w:pos="13320"/>
        </w:tabs>
        <w:snapToGrid w:val="0"/>
        <w:spacing w:line="360" w:lineRule="auto"/>
        <w:ind w:left="718" w:leftChars="342" w:right="-52" w:firstLine="2397" w:firstLineChars="999"/>
        <w:rPr>
          <w:rFonts w:ascii="宋体" w:hAnsi="宋体" w:cs="宋体"/>
          <w:sz w:val="24"/>
          <w:szCs w:val="24"/>
          <w:u w:val="single"/>
        </w:rPr>
      </w:pPr>
      <w:r>
        <w:rPr>
          <w:rFonts w:hint="eastAsia" w:ascii="宋体" w:hAnsi="宋体" w:cs="宋体"/>
          <w:sz w:val="24"/>
          <w:szCs w:val="24"/>
        </w:rPr>
        <w:t>报价人（公章）：</w:t>
      </w:r>
      <w:r>
        <w:rPr>
          <w:rFonts w:hint="eastAsia" w:ascii="宋体" w:hAnsi="宋体" w:cs="宋体"/>
          <w:sz w:val="24"/>
          <w:szCs w:val="24"/>
          <w:u w:val="single"/>
        </w:rPr>
        <w:t xml:space="preserve">                        </w:t>
      </w:r>
    </w:p>
    <w:p w14:paraId="61080FE6">
      <w:pPr>
        <w:tabs>
          <w:tab w:val="left" w:pos="13320"/>
        </w:tabs>
        <w:snapToGrid w:val="0"/>
        <w:spacing w:line="360" w:lineRule="auto"/>
        <w:ind w:left="718" w:leftChars="342" w:right="-52" w:firstLine="2397" w:firstLineChars="999"/>
        <w:rPr>
          <w:rFonts w:ascii="宋体" w:hAnsi="宋体" w:cs="宋体"/>
          <w:sz w:val="24"/>
          <w:szCs w:val="24"/>
          <w:u w:val="single"/>
        </w:rPr>
      </w:pPr>
      <w:r>
        <w:rPr>
          <w:rFonts w:hint="eastAsia" w:ascii="宋体" w:hAnsi="宋体" w:cs="宋体"/>
          <w:sz w:val="24"/>
          <w:szCs w:val="24"/>
        </w:rPr>
        <w:t>法定代表人或授权代表（签字或盖章）：</w:t>
      </w:r>
      <w:r>
        <w:rPr>
          <w:rFonts w:hint="eastAsia" w:ascii="宋体" w:hAnsi="宋体" w:cs="宋体"/>
          <w:sz w:val="24"/>
          <w:szCs w:val="24"/>
          <w:u w:val="single"/>
        </w:rPr>
        <w:t xml:space="preserve">        </w:t>
      </w:r>
    </w:p>
    <w:p w14:paraId="61B757E3">
      <w:pPr>
        <w:pStyle w:val="17"/>
        <w:spacing w:before="0" w:beforeAutospacing="0" w:after="0" w:afterAutospacing="0"/>
        <w:rPr>
          <w:color w:val="000000"/>
          <w:sz w:val="18"/>
          <w:szCs w:val="18"/>
          <w:shd w:val="clear" w:color="auto" w:fill="FFFFFF"/>
        </w:rPr>
      </w:pPr>
      <w:r>
        <w:rPr>
          <w:rFonts w:hint="eastAsia"/>
        </w:rPr>
        <w:t xml:space="preserve">                          </w:t>
      </w: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03AD6E16">
      <w:pPr>
        <w:pStyle w:val="17"/>
        <w:spacing w:before="0" w:beforeAutospacing="0" w:after="0" w:afterAutospacing="0"/>
        <w:rPr>
          <w:color w:val="000000"/>
          <w:sz w:val="18"/>
          <w:szCs w:val="18"/>
          <w:shd w:val="clear" w:color="auto" w:fill="FFFFFF"/>
        </w:rPr>
      </w:pPr>
    </w:p>
    <w:p w14:paraId="482735EE">
      <w:pPr>
        <w:pStyle w:val="17"/>
        <w:spacing w:before="0" w:beforeAutospacing="0" w:after="0" w:afterAutospacing="0"/>
        <w:rPr>
          <w:color w:val="000000"/>
          <w:sz w:val="18"/>
          <w:szCs w:val="18"/>
          <w:shd w:val="clear" w:color="auto" w:fill="FFFFFF"/>
        </w:rPr>
      </w:pPr>
    </w:p>
    <w:p w14:paraId="41E5C7A2">
      <w:pPr>
        <w:pStyle w:val="17"/>
        <w:spacing w:before="0" w:beforeAutospacing="0" w:after="0" w:afterAutospacing="0"/>
        <w:rPr>
          <w:color w:val="000000"/>
          <w:sz w:val="18"/>
          <w:szCs w:val="18"/>
          <w:shd w:val="clear" w:color="auto" w:fill="FFFFFF"/>
        </w:rPr>
      </w:pPr>
    </w:p>
    <w:p w14:paraId="2C7A0FCA">
      <w:pPr>
        <w:pStyle w:val="17"/>
        <w:spacing w:before="0" w:beforeAutospacing="0" w:after="0" w:afterAutospacing="0"/>
        <w:rPr>
          <w:color w:val="000000"/>
          <w:sz w:val="18"/>
          <w:szCs w:val="18"/>
          <w:shd w:val="clear" w:color="auto" w:fill="FFFFFF"/>
        </w:rPr>
      </w:pPr>
    </w:p>
    <w:p w14:paraId="1EF84CE3">
      <w:pPr>
        <w:pStyle w:val="17"/>
        <w:spacing w:before="0" w:beforeAutospacing="0" w:after="0" w:afterAutospacing="0"/>
        <w:rPr>
          <w:color w:val="000000"/>
          <w:sz w:val="18"/>
          <w:szCs w:val="18"/>
          <w:shd w:val="clear" w:color="auto" w:fill="FFFFFF"/>
        </w:rPr>
      </w:pPr>
    </w:p>
    <w:p w14:paraId="5D7C2243">
      <w:pPr>
        <w:pStyle w:val="17"/>
        <w:spacing w:before="0" w:beforeAutospacing="0" w:after="0" w:afterAutospacing="0"/>
        <w:rPr>
          <w:color w:val="000000"/>
          <w:sz w:val="18"/>
          <w:szCs w:val="18"/>
          <w:shd w:val="clear" w:color="auto" w:fill="FFFFFF"/>
        </w:rPr>
      </w:pPr>
    </w:p>
    <w:p w14:paraId="66ADE621">
      <w:pPr>
        <w:pStyle w:val="17"/>
        <w:spacing w:before="0" w:beforeAutospacing="0" w:after="0" w:afterAutospacing="0"/>
        <w:rPr>
          <w:color w:val="000000"/>
          <w:sz w:val="18"/>
          <w:szCs w:val="18"/>
          <w:shd w:val="clear" w:color="auto" w:fill="FFFFFF"/>
        </w:rPr>
      </w:pPr>
    </w:p>
    <w:p w14:paraId="60A9FB6B">
      <w:pPr>
        <w:pStyle w:val="17"/>
        <w:spacing w:before="0" w:beforeAutospacing="0" w:after="0" w:afterAutospacing="0"/>
        <w:rPr>
          <w:color w:val="000000"/>
          <w:sz w:val="18"/>
          <w:szCs w:val="18"/>
          <w:shd w:val="clear" w:color="auto" w:fill="FFFFFF"/>
        </w:rPr>
      </w:pPr>
    </w:p>
    <w:p w14:paraId="2029C881">
      <w:pPr>
        <w:pStyle w:val="17"/>
        <w:spacing w:before="0" w:beforeAutospacing="0" w:after="0" w:afterAutospacing="0"/>
        <w:rPr>
          <w:color w:val="000000"/>
          <w:sz w:val="18"/>
          <w:szCs w:val="18"/>
          <w:shd w:val="clear" w:color="auto" w:fill="FFFFFF"/>
        </w:rPr>
      </w:pPr>
    </w:p>
    <w:p w14:paraId="4BA50D7C">
      <w:pPr>
        <w:pStyle w:val="17"/>
        <w:spacing w:before="0" w:beforeAutospacing="0" w:after="0" w:afterAutospacing="0"/>
        <w:rPr>
          <w:color w:val="000000"/>
          <w:sz w:val="18"/>
          <w:szCs w:val="18"/>
          <w:shd w:val="clear" w:color="auto" w:fill="FFFFFF"/>
        </w:rPr>
      </w:pPr>
    </w:p>
    <w:p w14:paraId="53AF7960">
      <w:pPr>
        <w:pStyle w:val="17"/>
        <w:spacing w:before="0" w:beforeAutospacing="0" w:after="0" w:afterAutospacing="0"/>
        <w:rPr>
          <w:color w:val="000000"/>
          <w:sz w:val="18"/>
          <w:szCs w:val="18"/>
          <w:shd w:val="clear" w:color="auto" w:fill="FFFFFF"/>
        </w:rPr>
      </w:pPr>
    </w:p>
    <w:p w14:paraId="14985C75">
      <w:pPr>
        <w:pStyle w:val="17"/>
        <w:spacing w:before="0" w:beforeAutospacing="0" w:after="0" w:afterAutospacing="0"/>
        <w:rPr>
          <w:color w:val="000000"/>
          <w:sz w:val="18"/>
          <w:szCs w:val="18"/>
          <w:shd w:val="clear" w:color="auto" w:fill="FFFFFF"/>
        </w:rPr>
      </w:pPr>
    </w:p>
    <w:p w14:paraId="369C34C9">
      <w:pPr>
        <w:pStyle w:val="17"/>
        <w:spacing w:before="0" w:beforeAutospacing="0" w:after="0" w:afterAutospacing="0"/>
        <w:rPr>
          <w:color w:val="000000"/>
          <w:sz w:val="18"/>
          <w:szCs w:val="18"/>
          <w:shd w:val="clear" w:color="auto" w:fill="FFFFFF"/>
        </w:rPr>
      </w:pPr>
    </w:p>
    <w:p w14:paraId="3FF3A8AC">
      <w:pPr>
        <w:pStyle w:val="17"/>
        <w:spacing w:before="0" w:beforeAutospacing="0" w:after="0" w:afterAutospacing="0"/>
        <w:rPr>
          <w:color w:val="000000"/>
          <w:sz w:val="18"/>
          <w:szCs w:val="18"/>
          <w:shd w:val="clear" w:color="auto" w:fill="FFFFFF"/>
        </w:rPr>
      </w:pPr>
    </w:p>
    <w:p w14:paraId="7ECC589A">
      <w:pPr>
        <w:pStyle w:val="17"/>
        <w:spacing w:before="0" w:beforeAutospacing="0" w:after="0" w:afterAutospacing="0"/>
        <w:rPr>
          <w:color w:val="000000"/>
          <w:sz w:val="18"/>
          <w:szCs w:val="18"/>
          <w:shd w:val="clear" w:color="auto" w:fill="FFFFFF"/>
        </w:rPr>
      </w:pPr>
    </w:p>
    <w:p w14:paraId="50BFC9D8">
      <w:pPr>
        <w:pStyle w:val="17"/>
        <w:spacing w:before="0" w:beforeAutospacing="0" w:after="0" w:afterAutospacing="0"/>
        <w:rPr>
          <w:color w:val="000000"/>
          <w:sz w:val="18"/>
          <w:szCs w:val="18"/>
          <w:shd w:val="clear" w:color="auto" w:fill="FFFFFF"/>
        </w:rPr>
      </w:pPr>
    </w:p>
    <w:p w14:paraId="0E071756">
      <w:pPr>
        <w:rPr>
          <w:rFonts w:hint="eastAsia" w:eastAsia="宋体"/>
          <w:b/>
          <w:bCs/>
          <w:sz w:val="28"/>
          <w:szCs w:val="28"/>
          <w:lang w:eastAsia="zh-CN"/>
        </w:rPr>
      </w:pPr>
      <w:r>
        <w:rPr>
          <w:rFonts w:hint="eastAsia" w:eastAsia="宋体"/>
          <w:b/>
          <w:bCs/>
          <w:sz w:val="28"/>
          <w:szCs w:val="28"/>
          <w:lang w:eastAsia="zh-CN"/>
        </w:rPr>
        <w:br w:type="page"/>
      </w:r>
    </w:p>
    <w:p w14:paraId="05CCF41C">
      <w:pPr>
        <w:ind w:left="2835" w:leftChars="1350"/>
        <w:rPr>
          <w:rFonts w:hint="eastAsia" w:ascii="宋体" w:hAnsi="宋体" w:eastAsia="宋体"/>
          <w:color w:val="auto"/>
          <w:sz w:val="28"/>
          <w:szCs w:val="28"/>
          <w:highlight w:val="none"/>
        </w:rPr>
      </w:pPr>
    </w:p>
    <w:p w14:paraId="0BA468E6">
      <w:pPr>
        <w:jc w:val="center"/>
        <w:rPr>
          <w:rFonts w:hint="default" w:ascii="宋体" w:hAnsi="宋体" w:eastAsia="宋体"/>
          <w:color w:val="auto"/>
          <w:sz w:val="28"/>
          <w:szCs w:val="28"/>
          <w:highlight w:val="none"/>
          <w:lang w:val="en-US" w:eastAsia="zh-CN"/>
        </w:rPr>
      </w:pPr>
      <w:r>
        <w:rPr>
          <w:rFonts w:hint="eastAsia" w:ascii="宋体" w:hAnsi="宋体" w:eastAsia="宋体"/>
          <w:b/>
          <w:bCs/>
          <w:color w:val="auto"/>
          <w:sz w:val="28"/>
          <w:szCs w:val="28"/>
          <w:highlight w:val="none"/>
          <w:lang w:val="en-US" w:eastAsia="zh-CN"/>
        </w:rPr>
        <w:t>第四章 合同</w:t>
      </w:r>
    </w:p>
    <w:p w14:paraId="7ED43386">
      <w:pPr>
        <w:ind w:left="2835" w:leftChars="1350"/>
        <w:rPr>
          <w:rFonts w:hint="eastAsia" w:ascii="宋体" w:hAnsi="宋体" w:eastAsia="宋体"/>
          <w:color w:val="auto"/>
          <w:sz w:val="28"/>
          <w:szCs w:val="28"/>
          <w:highlight w:val="none"/>
        </w:rPr>
      </w:pPr>
    </w:p>
    <w:p w14:paraId="348F17E1">
      <w:pPr>
        <w:ind w:left="2835" w:leftChars="1350"/>
        <w:rPr>
          <w:rFonts w:hint="eastAsia" w:ascii="宋体" w:hAnsi="宋体" w:eastAsia="宋体"/>
          <w:color w:val="auto"/>
          <w:sz w:val="28"/>
          <w:szCs w:val="28"/>
          <w:highlight w:val="none"/>
        </w:rPr>
      </w:pPr>
    </w:p>
    <w:p w14:paraId="52C4469E">
      <w:pPr>
        <w:ind w:left="2835" w:leftChars="135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合同编号：</w:t>
      </w:r>
    </w:p>
    <w:p w14:paraId="3F7F39FD">
      <w:pPr>
        <w:ind w:left="2125" w:leftChars="1012"/>
        <w:rPr>
          <w:rFonts w:hint="eastAsia" w:ascii="宋体" w:hAnsi="宋体" w:eastAsia="宋体"/>
          <w:color w:val="auto"/>
          <w:sz w:val="28"/>
          <w:szCs w:val="28"/>
          <w:highlight w:val="none"/>
        </w:rPr>
      </w:pPr>
    </w:p>
    <w:p w14:paraId="1EAA129F">
      <w:pPr>
        <w:ind w:left="2125" w:leftChars="1012"/>
        <w:rPr>
          <w:rFonts w:hint="eastAsia" w:ascii="宋体" w:hAnsi="宋体" w:eastAsia="宋体"/>
          <w:color w:val="auto"/>
          <w:sz w:val="28"/>
          <w:szCs w:val="28"/>
          <w:highlight w:val="none"/>
        </w:rPr>
      </w:pPr>
    </w:p>
    <w:p w14:paraId="01347ED7">
      <w:pPr>
        <w:ind w:left="2125" w:leftChars="1012"/>
        <w:rPr>
          <w:rFonts w:hint="eastAsia" w:ascii="宋体" w:hAnsi="宋体" w:eastAsia="宋体"/>
          <w:color w:val="auto"/>
          <w:sz w:val="28"/>
          <w:szCs w:val="28"/>
          <w:highlight w:val="none"/>
        </w:rPr>
      </w:pPr>
    </w:p>
    <w:p w14:paraId="0E66E6F0">
      <w:pPr>
        <w:ind w:left="2125" w:leftChars="1012"/>
        <w:rPr>
          <w:rFonts w:hint="eastAsia" w:ascii="宋体" w:hAnsi="宋体" w:eastAsia="宋体"/>
          <w:color w:val="auto"/>
          <w:sz w:val="28"/>
          <w:szCs w:val="28"/>
          <w:highlight w:val="none"/>
        </w:rPr>
      </w:pPr>
    </w:p>
    <w:p w14:paraId="65B13304">
      <w:pPr>
        <w:ind w:left="2125" w:leftChars="1012"/>
        <w:rPr>
          <w:rFonts w:hint="eastAsia" w:ascii="宋体" w:hAnsi="宋体" w:eastAsia="宋体"/>
          <w:color w:val="auto"/>
          <w:sz w:val="28"/>
          <w:szCs w:val="28"/>
          <w:highlight w:val="none"/>
        </w:rPr>
      </w:pPr>
    </w:p>
    <w:p w14:paraId="23486CAA">
      <w:pPr>
        <w:jc w:val="center"/>
        <w:rPr>
          <w:rFonts w:hint="eastAsia" w:ascii="宋体" w:hAnsi="宋体" w:eastAsia="宋体"/>
          <w:b/>
          <w:color w:val="auto"/>
          <w:sz w:val="72"/>
          <w:szCs w:val="72"/>
          <w:highlight w:val="none"/>
        </w:rPr>
      </w:pPr>
      <w:r>
        <w:rPr>
          <w:rFonts w:hint="eastAsia" w:ascii="宋体" w:hAnsi="宋体" w:eastAsia="宋体"/>
          <w:b/>
          <w:color w:val="auto"/>
          <w:sz w:val="72"/>
          <w:szCs w:val="72"/>
          <w:highlight w:val="none"/>
        </w:rPr>
        <w:t>建设工程施工合同</w:t>
      </w:r>
    </w:p>
    <w:p w14:paraId="4F8A9A2D">
      <w:pPr>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（仅供参考，最终以甲、乙双方签订的合同为准）</w:t>
      </w:r>
    </w:p>
    <w:p w14:paraId="4354F342">
      <w:pPr>
        <w:rPr>
          <w:rFonts w:hint="eastAsia" w:ascii="宋体" w:hAnsi="宋体" w:eastAsia="宋体"/>
          <w:color w:val="auto"/>
          <w:sz w:val="32"/>
          <w:szCs w:val="32"/>
          <w:highlight w:val="none"/>
        </w:rPr>
      </w:pPr>
    </w:p>
    <w:p w14:paraId="4FAA0EA5">
      <w:pPr>
        <w:rPr>
          <w:rFonts w:hint="eastAsia" w:ascii="宋体" w:hAnsi="宋体" w:eastAsia="宋体"/>
          <w:color w:val="auto"/>
          <w:sz w:val="32"/>
          <w:szCs w:val="32"/>
          <w:highlight w:val="none"/>
        </w:rPr>
      </w:pPr>
    </w:p>
    <w:p w14:paraId="631CB908">
      <w:pPr>
        <w:rPr>
          <w:rFonts w:hint="eastAsia" w:ascii="宋体" w:hAnsi="宋体" w:eastAsia="宋体"/>
          <w:color w:val="auto"/>
          <w:sz w:val="32"/>
          <w:szCs w:val="32"/>
          <w:highlight w:val="none"/>
        </w:rPr>
      </w:pPr>
    </w:p>
    <w:p w14:paraId="7E0379B8">
      <w:pPr>
        <w:rPr>
          <w:rFonts w:hint="eastAsia" w:ascii="宋体" w:hAnsi="宋体" w:eastAsia="宋体"/>
          <w:color w:val="auto"/>
          <w:sz w:val="32"/>
          <w:szCs w:val="32"/>
          <w:highlight w:val="none"/>
        </w:rPr>
      </w:pPr>
    </w:p>
    <w:p w14:paraId="3F80679A">
      <w:pPr>
        <w:rPr>
          <w:rFonts w:hint="eastAsia" w:ascii="宋体" w:hAnsi="宋体" w:eastAsia="宋体"/>
          <w:color w:val="auto"/>
          <w:sz w:val="32"/>
          <w:szCs w:val="32"/>
          <w:highlight w:val="none"/>
        </w:rPr>
      </w:pPr>
    </w:p>
    <w:p w14:paraId="5C232F63">
      <w:pPr>
        <w:rPr>
          <w:rFonts w:hint="eastAsia" w:ascii="宋体" w:hAnsi="宋体" w:eastAsia="宋体"/>
          <w:color w:val="auto"/>
          <w:sz w:val="32"/>
          <w:szCs w:val="32"/>
          <w:highlight w:val="none"/>
        </w:rPr>
      </w:pPr>
    </w:p>
    <w:p w14:paraId="26ECE877">
      <w:pPr>
        <w:rPr>
          <w:rFonts w:hint="eastAsia" w:ascii="宋体" w:hAnsi="宋体" w:eastAsia="宋体"/>
          <w:color w:val="auto"/>
          <w:sz w:val="32"/>
          <w:szCs w:val="32"/>
          <w:highlight w:val="none"/>
        </w:rPr>
      </w:pPr>
    </w:p>
    <w:p w14:paraId="34AFAAA9">
      <w:pPr>
        <w:rPr>
          <w:rFonts w:hint="eastAsia" w:ascii="宋体" w:hAnsi="宋体" w:eastAsia="宋体"/>
          <w:color w:val="auto"/>
          <w:sz w:val="32"/>
          <w:szCs w:val="32"/>
          <w:highlight w:val="none"/>
        </w:rPr>
      </w:pPr>
    </w:p>
    <w:p w14:paraId="554E2E01">
      <w:pPr>
        <w:rPr>
          <w:rFonts w:hint="eastAsia" w:ascii="宋体" w:hAnsi="宋体" w:eastAsia="宋体"/>
          <w:color w:val="auto"/>
          <w:sz w:val="32"/>
          <w:szCs w:val="32"/>
          <w:highlight w:val="none"/>
        </w:rPr>
      </w:pPr>
    </w:p>
    <w:p w14:paraId="2221534C">
      <w:pPr>
        <w:rPr>
          <w:rFonts w:hint="eastAsia" w:ascii="宋体" w:hAnsi="宋体" w:eastAsia="宋体"/>
          <w:color w:val="auto"/>
          <w:sz w:val="32"/>
          <w:szCs w:val="32"/>
          <w:highlight w:val="none"/>
        </w:rPr>
      </w:pPr>
    </w:p>
    <w:p w14:paraId="163069A5">
      <w:pPr>
        <w:rPr>
          <w:rFonts w:hint="eastAsia" w:ascii="宋体" w:hAnsi="宋体" w:eastAsia="宋体"/>
          <w:color w:val="auto"/>
          <w:sz w:val="32"/>
          <w:szCs w:val="32"/>
          <w:highlight w:val="none"/>
        </w:rPr>
      </w:pPr>
    </w:p>
    <w:p w14:paraId="52716B0F">
      <w:pPr>
        <w:rPr>
          <w:rFonts w:hint="eastAsia" w:ascii="宋体" w:hAnsi="宋体" w:eastAsia="宋体"/>
          <w:color w:val="auto"/>
          <w:sz w:val="32"/>
          <w:szCs w:val="32"/>
          <w:highlight w:val="none"/>
        </w:rPr>
      </w:pPr>
    </w:p>
    <w:p w14:paraId="0B98CBBB">
      <w:pPr>
        <w:rPr>
          <w:rFonts w:hint="eastAsia" w:ascii="宋体" w:hAnsi="宋体" w:eastAsia="宋体"/>
          <w:color w:val="auto"/>
          <w:sz w:val="32"/>
          <w:szCs w:val="32"/>
          <w:highlight w:val="none"/>
        </w:rPr>
      </w:pPr>
    </w:p>
    <w:p w14:paraId="3A443AE1">
      <w:pPr>
        <w:rPr>
          <w:rFonts w:hint="eastAsia" w:ascii="宋体" w:hAnsi="宋体" w:eastAsia="宋体"/>
          <w:color w:val="auto"/>
          <w:sz w:val="32"/>
          <w:szCs w:val="32"/>
          <w:highlight w:val="none"/>
        </w:rPr>
      </w:pPr>
    </w:p>
    <w:p w14:paraId="7657C6B9">
      <w:pPr>
        <w:rPr>
          <w:rFonts w:hint="eastAsia" w:ascii="宋体" w:hAnsi="宋体" w:eastAsia="宋体"/>
          <w:color w:val="auto"/>
          <w:sz w:val="32"/>
          <w:szCs w:val="32"/>
          <w:highlight w:val="none"/>
        </w:rPr>
      </w:pPr>
    </w:p>
    <w:p w14:paraId="528C9C0B">
      <w:pPr>
        <w:rPr>
          <w:rFonts w:hint="eastAsia" w:ascii="宋体" w:hAnsi="宋体" w:eastAsia="宋体"/>
          <w:color w:val="auto"/>
          <w:sz w:val="32"/>
          <w:szCs w:val="32"/>
          <w:highlight w:val="none"/>
        </w:rPr>
      </w:pPr>
    </w:p>
    <w:p w14:paraId="1E54FFF1">
      <w:pPr>
        <w:rPr>
          <w:rFonts w:hint="eastAsia" w:ascii="宋体" w:hAnsi="宋体" w:eastAsia="宋体"/>
          <w:color w:val="auto"/>
          <w:sz w:val="32"/>
          <w:szCs w:val="32"/>
          <w:highlight w:val="none"/>
        </w:rPr>
      </w:pPr>
    </w:p>
    <w:p w14:paraId="5049EB31">
      <w:pPr>
        <w:spacing w:line="480" w:lineRule="auto"/>
        <w:ind w:left="1558" w:leftChars="742"/>
        <w:rPr>
          <w:rFonts w:hint="eastAsia" w:ascii="宋体" w:hAnsi="宋体" w:eastAsia="宋体"/>
          <w:color w:val="auto"/>
          <w:sz w:val="28"/>
          <w:szCs w:val="28"/>
          <w:highlight w:val="none"/>
        </w:rPr>
      </w:pPr>
      <w:r>
        <w:rPr>
          <w:rFonts w:hint="eastAsia" w:ascii="宋体" w:hAnsi="宋体" w:eastAsia="宋体"/>
          <w:color w:val="auto"/>
          <w:sz w:val="28"/>
          <w:szCs w:val="28"/>
          <w:highlight w:val="none"/>
        </w:rPr>
        <w:t>项目名称：</w:t>
      </w:r>
      <w:r>
        <w:rPr>
          <w:rFonts w:hint="eastAsia" w:ascii="宋体" w:hAnsi="宋体" w:eastAsia="宋体"/>
          <w:color w:val="auto"/>
          <w:sz w:val="28"/>
          <w:szCs w:val="28"/>
          <w:highlight w:val="none"/>
          <w:u w:val="single"/>
        </w:rPr>
        <w:t xml:space="preserve">                                   </w:t>
      </w:r>
    </w:p>
    <w:p w14:paraId="0E87B276">
      <w:pPr>
        <w:spacing w:line="480" w:lineRule="auto"/>
        <w:ind w:left="1558" w:leftChars="742"/>
        <w:rPr>
          <w:rFonts w:hint="eastAsia" w:ascii="宋体" w:hAnsi="宋体" w:eastAsia="宋体"/>
          <w:b/>
          <w:color w:val="auto"/>
          <w:sz w:val="28"/>
          <w:szCs w:val="28"/>
          <w:highlight w:val="none"/>
        </w:rPr>
      </w:pPr>
      <w:r>
        <w:rPr>
          <w:rFonts w:hint="eastAsia" w:ascii="宋体" w:hAnsi="宋体" w:eastAsia="宋体"/>
          <w:color w:val="auto"/>
          <w:sz w:val="28"/>
          <w:szCs w:val="28"/>
          <w:highlight w:val="none"/>
        </w:rPr>
        <w:t>签约地址：</w:t>
      </w:r>
      <w:r>
        <w:rPr>
          <w:rFonts w:hint="eastAsia" w:ascii="宋体" w:hAnsi="宋体" w:eastAsia="宋体"/>
          <w:color w:val="auto"/>
          <w:sz w:val="28"/>
          <w:szCs w:val="28"/>
          <w:highlight w:val="none"/>
          <w:u w:val="single"/>
        </w:rPr>
        <w:t xml:space="preserve">                                   </w:t>
      </w:r>
    </w:p>
    <w:p w14:paraId="33D608AB">
      <w:pPr>
        <w:ind w:left="1558" w:leftChars="742"/>
        <w:rPr>
          <w:rFonts w:ascii="宋体" w:hAnsi="宋体" w:eastAsia="宋体"/>
          <w:color w:val="auto"/>
          <w:sz w:val="28"/>
          <w:szCs w:val="28"/>
          <w:highlight w:val="none"/>
        </w:rPr>
      </w:pPr>
      <w:r>
        <w:rPr>
          <w:rFonts w:hint="eastAsia" w:ascii="宋体" w:hAnsi="宋体" w:eastAsia="宋体"/>
          <w:color w:val="auto"/>
          <w:sz w:val="28"/>
          <w:szCs w:val="28"/>
          <w:highlight w:val="none"/>
        </w:rPr>
        <w:t>日    期</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 xml:space="preserve">           年     月    日</w:t>
      </w:r>
    </w:p>
    <w:p w14:paraId="55B4DEDC">
      <w:pPr>
        <w:spacing w:line="360" w:lineRule="auto"/>
        <w:jc w:val="center"/>
        <w:rPr>
          <w:rFonts w:hint="eastAsia" w:ascii="宋体" w:hAnsi="宋体" w:eastAsia="宋体"/>
          <w:b/>
          <w:color w:val="auto"/>
          <w:sz w:val="32"/>
          <w:szCs w:val="32"/>
          <w:highlight w:val="none"/>
        </w:rPr>
        <w:sectPr>
          <w:headerReference r:id="rId9" w:type="default"/>
          <w:footerReference r:id="rId10" w:type="default"/>
          <w:pgSz w:w="11906" w:h="16838"/>
          <w:pgMar w:top="1134" w:right="1134" w:bottom="1134" w:left="1134" w:header="851" w:footer="992" w:gutter="0"/>
          <w:pgNumType w:fmt="decimal"/>
          <w:cols w:space="0" w:num="1"/>
          <w:rtlGutter w:val="0"/>
          <w:docGrid w:linePitch="312" w:charSpace="0"/>
        </w:sectPr>
      </w:pPr>
    </w:p>
    <w:p w14:paraId="057B186A">
      <w:pPr>
        <w:spacing w:line="360" w:lineRule="auto"/>
        <w:jc w:val="center"/>
        <w:rPr>
          <w:rFonts w:hint="eastAsia" w:ascii="宋体" w:hAnsi="宋体" w:eastAsia="宋体"/>
          <w:b/>
          <w:color w:val="auto"/>
          <w:sz w:val="32"/>
          <w:szCs w:val="32"/>
          <w:highlight w:val="none"/>
        </w:rPr>
      </w:pPr>
      <w:r>
        <w:rPr>
          <w:rFonts w:hint="eastAsia" w:ascii="宋体" w:hAnsi="宋体" w:eastAsia="宋体"/>
          <w:b/>
          <w:color w:val="auto"/>
          <w:sz w:val="32"/>
          <w:szCs w:val="32"/>
          <w:highlight w:val="none"/>
        </w:rPr>
        <w:t>施工合同</w:t>
      </w:r>
    </w:p>
    <w:p w14:paraId="7B108AA4">
      <w:pPr>
        <w:spacing w:line="360" w:lineRule="auto"/>
        <w:jc w:val="center"/>
        <w:rPr>
          <w:rFonts w:hint="eastAsia" w:ascii="宋体" w:hAnsi="宋体" w:eastAsia="宋体"/>
          <w:color w:val="auto"/>
          <w:highlight w:val="none"/>
        </w:rPr>
      </w:pPr>
      <w:r>
        <w:rPr>
          <w:rFonts w:hint="eastAsia" w:ascii="宋体" w:hAnsi="宋体" w:eastAsia="宋体"/>
          <w:color w:val="auto"/>
          <w:highlight w:val="none"/>
        </w:rPr>
        <w:t>合同编号：</w:t>
      </w:r>
    </w:p>
    <w:p w14:paraId="2AC16816">
      <w:pPr>
        <w:spacing w:line="360" w:lineRule="auto"/>
        <w:rPr>
          <w:rFonts w:hint="eastAsia" w:ascii="宋体" w:hAnsi="宋体" w:eastAsia="宋体"/>
          <w:color w:val="auto"/>
          <w:highlight w:val="none"/>
        </w:rPr>
      </w:pPr>
      <w:r>
        <w:rPr>
          <w:rFonts w:hint="eastAsia" w:ascii="宋体" w:hAnsi="宋体" w:eastAsia="宋体"/>
          <w:color w:val="auto"/>
          <w:highlight w:val="none"/>
        </w:rPr>
        <w:t>发包人：</w:t>
      </w:r>
      <w:r>
        <w:rPr>
          <w:rFonts w:hint="eastAsia" w:ascii="宋体" w:hAnsi="宋体" w:eastAsia="宋体"/>
          <w:color w:val="auto"/>
          <w:highlight w:val="none"/>
          <w:u w:val="single"/>
        </w:rPr>
        <w:t xml:space="preserve">  </w:t>
      </w:r>
      <w:r>
        <w:rPr>
          <w:rFonts w:hint="eastAsia" w:ascii="宋体" w:hAnsi="宋体" w:eastAsia="宋体"/>
          <w:color w:val="auto"/>
          <w:highlight w:val="none"/>
          <w:u w:val="single"/>
          <w:lang w:val="en-US" w:eastAsia="zh-CN"/>
        </w:rPr>
        <w:t xml:space="preserve">                         </w:t>
      </w:r>
      <w:r>
        <w:rPr>
          <w:rFonts w:hint="eastAsia" w:ascii="宋体" w:hAnsi="宋体" w:eastAsia="宋体"/>
          <w:color w:val="auto"/>
          <w:highlight w:val="none"/>
          <w:u w:val="single"/>
        </w:rPr>
        <w:t xml:space="preserve">    </w:t>
      </w:r>
      <w:r>
        <w:rPr>
          <w:rFonts w:hint="eastAsia" w:ascii="宋体" w:hAnsi="宋体" w:eastAsia="宋体"/>
          <w:color w:val="auto"/>
          <w:highlight w:val="none"/>
        </w:rPr>
        <w:t>(以下简称甲方)</w:t>
      </w:r>
    </w:p>
    <w:p w14:paraId="45D84B2E">
      <w:pPr>
        <w:spacing w:line="360" w:lineRule="auto"/>
        <w:rPr>
          <w:rFonts w:hint="eastAsia" w:ascii="宋体" w:hAnsi="宋体" w:eastAsia="宋体"/>
          <w:color w:val="auto"/>
          <w:highlight w:val="none"/>
        </w:rPr>
      </w:pPr>
      <w:r>
        <w:rPr>
          <w:rFonts w:hint="eastAsia" w:ascii="宋体" w:hAnsi="宋体" w:eastAsia="宋体"/>
          <w:color w:val="auto"/>
          <w:highlight w:val="none"/>
        </w:rPr>
        <w:t>承包人：</w:t>
      </w:r>
      <w:r>
        <w:rPr>
          <w:rFonts w:hint="eastAsia" w:ascii="宋体" w:hAnsi="宋体" w:eastAsia="宋体"/>
          <w:color w:val="auto"/>
          <w:highlight w:val="none"/>
          <w:u w:val="single"/>
        </w:rPr>
        <w:t xml:space="preserve">  </w:t>
      </w:r>
      <w:r>
        <w:rPr>
          <w:rFonts w:hint="eastAsia" w:ascii="宋体" w:hAnsi="宋体" w:eastAsia="宋体"/>
          <w:color w:val="auto"/>
          <w:highlight w:val="none"/>
          <w:u w:val="single"/>
          <w:lang w:val="en-US" w:eastAsia="zh-CN"/>
        </w:rPr>
        <w:t xml:space="preserve">                        </w:t>
      </w:r>
      <w:r>
        <w:rPr>
          <w:rFonts w:hint="eastAsia" w:ascii="宋体" w:hAnsi="宋体" w:eastAsia="宋体"/>
          <w:color w:val="auto"/>
          <w:highlight w:val="none"/>
          <w:u w:val="single"/>
        </w:rPr>
        <w:t xml:space="preserve">     </w:t>
      </w:r>
      <w:r>
        <w:rPr>
          <w:rFonts w:hint="eastAsia" w:ascii="宋体" w:hAnsi="宋体" w:eastAsia="宋体"/>
          <w:color w:val="auto"/>
          <w:highlight w:val="none"/>
        </w:rPr>
        <w:t>(以下简称乙方)</w:t>
      </w:r>
    </w:p>
    <w:p w14:paraId="481DCA2E">
      <w:pPr>
        <w:spacing w:line="300" w:lineRule="auto"/>
        <w:ind w:firstLine="420" w:firstLineChars="200"/>
        <w:rPr>
          <w:rFonts w:hint="eastAsia" w:ascii="宋体" w:hAnsi="宋体" w:eastAsia="宋体"/>
          <w:color w:val="auto"/>
          <w:highlight w:val="none"/>
        </w:rPr>
      </w:pPr>
    </w:p>
    <w:p w14:paraId="768C6780">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依照《</w:t>
      </w:r>
      <w:r>
        <w:rPr>
          <w:rFonts w:hint="eastAsia" w:ascii="宋体" w:hAnsi="宋体" w:eastAsia="宋体"/>
          <w:color w:val="auto"/>
          <w:highlight w:val="none"/>
          <w:lang w:eastAsia="zh-CN"/>
        </w:rPr>
        <w:t>中华人民共和国民法典》《</w:t>
      </w:r>
      <w:r>
        <w:rPr>
          <w:rFonts w:hint="eastAsia" w:ascii="宋体" w:hAnsi="宋体" w:eastAsia="宋体"/>
          <w:color w:val="auto"/>
          <w:highlight w:val="none"/>
        </w:rPr>
        <w:t>中华人民共和国建筑法》</w:t>
      </w:r>
      <w:r>
        <w:rPr>
          <w:rFonts w:hint="eastAsia" w:ascii="宋体" w:hAnsi="宋体" w:eastAsia="宋体"/>
          <w:color w:val="auto"/>
          <w:highlight w:val="none"/>
          <w:lang w:eastAsia="zh-CN"/>
        </w:rPr>
        <w:t>及其他有关</w:t>
      </w:r>
      <w:r>
        <w:rPr>
          <w:rFonts w:hint="eastAsia" w:ascii="宋体" w:hAnsi="宋体" w:eastAsia="宋体"/>
          <w:color w:val="auto"/>
          <w:highlight w:val="none"/>
        </w:rPr>
        <w:t>法律、行</w:t>
      </w:r>
      <w:r>
        <w:rPr>
          <w:rFonts w:hint="eastAsia" w:ascii="宋体" w:hAnsi="宋体" w:eastAsia="宋体"/>
          <w:color w:val="auto"/>
          <w:highlight w:val="none"/>
          <w:lang w:eastAsia="zh-CN"/>
        </w:rPr>
        <w:t>政</w:t>
      </w:r>
      <w:r>
        <w:rPr>
          <w:rFonts w:hint="eastAsia" w:ascii="宋体" w:hAnsi="宋体" w:eastAsia="宋体"/>
          <w:color w:val="auto"/>
          <w:highlight w:val="none"/>
        </w:rPr>
        <w:t>法规，遵循平等、自愿、公平和诚实信用的原则，双方就本</w:t>
      </w:r>
      <w:r>
        <w:rPr>
          <w:rFonts w:hint="eastAsia" w:ascii="宋体" w:hAnsi="宋体" w:eastAsia="宋体"/>
          <w:color w:val="auto"/>
          <w:highlight w:val="none"/>
          <w:lang w:eastAsia="zh-CN"/>
        </w:rPr>
        <w:t>修缮</w:t>
      </w:r>
      <w:r>
        <w:rPr>
          <w:rFonts w:hint="eastAsia" w:ascii="宋体" w:hAnsi="宋体" w:eastAsia="宋体"/>
          <w:color w:val="auto"/>
          <w:highlight w:val="none"/>
        </w:rPr>
        <w:t>工程施工事项协商一致，订立本合同。</w:t>
      </w:r>
    </w:p>
    <w:p w14:paraId="6CD8634C">
      <w:pPr>
        <w:spacing w:line="300" w:lineRule="auto"/>
        <w:rPr>
          <w:rFonts w:hint="eastAsia" w:ascii="宋体" w:hAnsi="宋体" w:eastAsia="宋体"/>
          <w:b/>
          <w:color w:val="auto"/>
          <w:highlight w:val="none"/>
        </w:rPr>
      </w:pPr>
      <w:r>
        <w:rPr>
          <w:rFonts w:hint="eastAsia" w:ascii="宋体" w:hAnsi="宋体" w:eastAsia="宋体"/>
          <w:b/>
          <w:color w:val="auto"/>
          <w:highlight w:val="none"/>
        </w:rPr>
        <w:t>第一条：工程概况</w:t>
      </w:r>
    </w:p>
    <w:p w14:paraId="1963B4EB">
      <w:pPr>
        <w:numPr>
          <w:ilvl w:val="0"/>
          <w:numId w:val="1"/>
        </w:numPr>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olor w:val="auto"/>
          <w:highlight w:val="none"/>
        </w:rPr>
        <w:t>工程名称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6D8E40FB">
      <w:pPr>
        <w:numPr>
          <w:ilvl w:val="0"/>
          <w:numId w:val="1"/>
        </w:numPr>
        <w:spacing w:line="30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工程地点：</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7B31FA78">
      <w:pPr>
        <w:numPr>
          <w:ilvl w:val="0"/>
          <w:numId w:val="0"/>
        </w:numPr>
        <w:spacing w:line="300" w:lineRule="auto"/>
        <w:ind w:left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3、工程范围及内容：</w:t>
      </w:r>
      <w:r>
        <w:rPr>
          <w:rFonts w:hint="eastAsia" w:ascii="宋体" w:hAnsi="宋体" w:eastAsia="宋体" w:cs="宋体"/>
          <w:color w:val="auto"/>
          <w:szCs w:val="21"/>
          <w:highlight w:val="none"/>
          <w:lang w:val="en-US" w:eastAsia="zh-CN"/>
        </w:rPr>
        <w:t xml:space="preserve"> </w:t>
      </w:r>
    </w:p>
    <w:p w14:paraId="4EC60C77">
      <w:pPr>
        <w:spacing w:line="300" w:lineRule="auto"/>
        <w:ind w:firstLine="420" w:firstLineChars="200"/>
        <w:rPr>
          <w:rFonts w:hint="eastAsia" w:ascii="宋体" w:hAnsi="宋体" w:eastAsia="宋体"/>
          <w:color w:val="auto"/>
          <w:highlight w:val="none"/>
          <w:lang w:val="en-US" w:eastAsia="zh-CN"/>
        </w:rPr>
      </w:pPr>
      <w:r>
        <w:rPr>
          <w:rFonts w:hint="eastAsia" w:ascii="宋体" w:hAnsi="宋体" w:eastAsia="宋体" w:cs="宋体"/>
          <w:color w:val="auto"/>
          <w:szCs w:val="21"/>
          <w:highlight w:val="none"/>
          <w:lang w:val="en-US" w:eastAsia="zh-CN"/>
        </w:rPr>
        <w:t>4、工程承包方式：</w:t>
      </w:r>
    </w:p>
    <w:p w14:paraId="6A5EE61D">
      <w:pPr>
        <w:pStyle w:val="10"/>
        <w:tabs>
          <w:tab w:val="left" w:pos="315"/>
        </w:tabs>
        <w:ind w:firstLine="420" w:firstLineChars="200"/>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5、工程计价方式：</w:t>
      </w:r>
    </w:p>
    <w:p w14:paraId="6D54014A">
      <w:pPr>
        <w:pStyle w:val="10"/>
        <w:tabs>
          <w:tab w:val="left" w:pos="315"/>
        </w:tabs>
        <w:ind w:firstLine="420" w:firstLineChars="200"/>
        <w:rPr>
          <w:rFonts w:hint="default"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工程量按实结算，结算采用清单计价方式，计价依据执行编制期适用的《建设工程工程量清单计价规范》、各专业《工程量计算规范》与《广东省建设工程计价通则》，套用省工程造价管理机构发布的现行定额以及市工程造价管理机构发布的补充定额、当期人、材、机价格（市造价管理机构未发布的价格实行市场询价），并结合下浮率</w:t>
      </w:r>
      <w:r>
        <w:rPr>
          <w:rFonts w:hint="eastAsia" w:ascii="宋体" w:hAnsi="宋体" w:eastAsia="宋体" w:cs="Times New Roman"/>
          <w:color w:val="auto"/>
          <w:kern w:val="2"/>
          <w:sz w:val="21"/>
          <w:szCs w:val="22"/>
          <w:highlight w:val="none"/>
          <w:u w:val="single"/>
          <w:lang w:val="en-US" w:eastAsia="zh-CN" w:bidi="ar-SA"/>
        </w:rPr>
        <w:t xml:space="preserve">  </w:t>
      </w:r>
      <w:r>
        <w:rPr>
          <w:rFonts w:hint="eastAsia" w:ascii="宋体" w:hAnsi="宋体" w:eastAsia="宋体" w:cs="Times New Roman"/>
          <w:color w:val="auto"/>
          <w:kern w:val="2"/>
          <w:sz w:val="21"/>
          <w:szCs w:val="22"/>
          <w:highlight w:val="none"/>
          <w:lang w:val="en-US" w:eastAsia="zh-CN" w:bidi="ar-SA"/>
        </w:rPr>
        <w:t xml:space="preserve"> %按实计算。</w:t>
      </w:r>
    </w:p>
    <w:p w14:paraId="5457009A">
      <w:pPr>
        <w:spacing w:line="300" w:lineRule="auto"/>
        <w:ind w:firstLine="420" w:firstLineChars="200"/>
        <w:rPr>
          <w:rFonts w:hint="default" w:ascii="宋体" w:hAnsi="宋体" w:eastAsia="宋体"/>
          <w:color w:val="auto"/>
          <w:highlight w:val="none"/>
          <w:u w:val="none"/>
          <w:lang w:val="en-US" w:eastAsia="zh-CN"/>
        </w:rPr>
      </w:pPr>
      <w:r>
        <w:rPr>
          <w:rFonts w:hint="eastAsia" w:ascii="宋体" w:hAnsi="宋体" w:eastAsia="宋体"/>
          <w:color w:val="auto"/>
          <w:highlight w:val="none"/>
          <w:lang w:val="en-US" w:eastAsia="zh-CN"/>
        </w:rPr>
        <w:t>6</w:t>
      </w:r>
      <w:r>
        <w:rPr>
          <w:rFonts w:hint="eastAsia" w:ascii="宋体" w:hAnsi="宋体" w:eastAsia="宋体"/>
          <w:color w:val="auto"/>
          <w:highlight w:val="none"/>
        </w:rPr>
        <w:t>、</w:t>
      </w:r>
      <w:r>
        <w:rPr>
          <w:rFonts w:hint="eastAsia" w:ascii="宋体" w:hAnsi="宋体" w:eastAsia="宋体"/>
          <w:color w:val="auto"/>
          <w:highlight w:val="none"/>
          <w:lang w:val="en-US" w:eastAsia="zh-CN"/>
        </w:rPr>
        <w:t>暂定</w:t>
      </w:r>
      <w:r>
        <w:rPr>
          <w:rFonts w:hint="eastAsia" w:ascii="宋体" w:hAnsi="宋体" w:eastAsia="宋体"/>
          <w:color w:val="auto"/>
          <w:highlight w:val="none"/>
        </w:rPr>
        <w:t>工程</w:t>
      </w:r>
      <w:r>
        <w:rPr>
          <w:rFonts w:hint="eastAsia" w:ascii="宋体" w:hAnsi="宋体" w:eastAsia="宋体"/>
          <w:color w:val="auto"/>
          <w:highlight w:val="none"/>
          <w:lang w:val="en-US" w:eastAsia="zh-CN"/>
        </w:rPr>
        <w:t>总价</w:t>
      </w:r>
      <w:r>
        <w:rPr>
          <w:rFonts w:hint="eastAsia" w:ascii="宋体" w:hAnsi="宋体" w:eastAsia="宋体"/>
          <w:color w:val="auto"/>
          <w:highlight w:val="none"/>
        </w:rPr>
        <w:t>(含税)：¥</w:t>
      </w:r>
      <w:r>
        <w:rPr>
          <w:rFonts w:hint="eastAsia" w:ascii="宋体" w:hAnsi="宋体" w:eastAsia="宋体"/>
          <w:color w:val="auto"/>
          <w:highlight w:val="none"/>
          <w:u w:val="single"/>
        </w:rPr>
        <w:t xml:space="preserve">       </w:t>
      </w:r>
      <w:r>
        <w:rPr>
          <w:rFonts w:hint="eastAsia" w:ascii="宋体" w:hAnsi="宋体" w:eastAsia="宋体"/>
          <w:color w:val="auto"/>
          <w:highlight w:val="none"/>
        </w:rPr>
        <w:t>元，大写人民币：</w:t>
      </w:r>
      <w:r>
        <w:rPr>
          <w:rFonts w:hint="eastAsia" w:ascii="宋体" w:hAnsi="宋体"/>
          <w:color w:val="auto"/>
          <w:highlight w:val="none"/>
          <w:u w:val="single"/>
          <w:lang w:val="en-US" w:eastAsia="zh-CN"/>
        </w:rPr>
        <w:t xml:space="preserve">       </w:t>
      </w:r>
      <w:r>
        <w:rPr>
          <w:rFonts w:hint="eastAsia" w:ascii="宋体" w:hAnsi="宋体"/>
          <w:color w:val="auto"/>
          <w:highlight w:val="none"/>
          <w:u w:val="none"/>
          <w:lang w:val="en-US" w:eastAsia="zh-CN"/>
        </w:rPr>
        <w:t>（包含绿色施工安全防护措施费用）</w:t>
      </w:r>
    </w:p>
    <w:p w14:paraId="5A05F948">
      <w:pPr>
        <w:spacing w:line="300" w:lineRule="auto"/>
        <w:ind w:firstLine="422" w:firstLineChars="200"/>
        <w:rPr>
          <w:rFonts w:hint="eastAsia" w:ascii="宋体" w:hAnsi="宋体" w:eastAsia="宋体"/>
          <w:b/>
          <w:color w:val="auto"/>
          <w:highlight w:val="none"/>
        </w:rPr>
      </w:pPr>
      <w:r>
        <w:rPr>
          <w:rFonts w:hint="eastAsia" w:ascii="宋体" w:hAnsi="宋体" w:eastAsia="宋体"/>
          <w:b/>
          <w:color w:val="auto"/>
          <w:highlight w:val="none"/>
        </w:rPr>
        <w:t>第二条：工程期限和工期顺延</w:t>
      </w:r>
    </w:p>
    <w:p w14:paraId="2D7452E5">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1、经甲、乙双方商定，本工程合同工期为</w:t>
      </w:r>
      <w:r>
        <w:rPr>
          <w:rFonts w:hint="eastAsia" w:ascii="宋体" w:hAnsi="宋体" w:eastAsia="宋体"/>
          <w:color w:val="auto"/>
          <w:highlight w:val="none"/>
          <w:u w:val="single"/>
          <w:lang w:val="en-US" w:eastAsia="zh-CN"/>
        </w:rPr>
        <w:t xml:space="preserve">     </w:t>
      </w:r>
      <w:r>
        <w:rPr>
          <w:rFonts w:hint="eastAsia" w:ascii="宋体" w:hAnsi="宋体" w:eastAsia="宋体"/>
          <w:color w:val="auto"/>
          <w:highlight w:val="none"/>
        </w:rPr>
        <w:t>天（日历天），具体开竣工时间以甲，乙双方签订的开工报告为准。</w:t>
      </w:r>
    </w:p>
    <w:p w14:paraId="78FFEAEC">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2、本工程计划开工日期为：    年    月    日，计划竣工日期为：    年    月    日</w:t>
      </w:r>
    </w:p>
    <w:p w14:paraId="67DA1FE1">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3、本工程在施工过程中，如遇下列情况，可顺延工期。本款发生顺延的工期，由乙方提出，经甲方核实后由合同双方当事人协商确定；协商不能达成一致的，按第</w:t>
      </w:r>
      <w:r>
        <w:rPr>
          <w:rFonts w:hint="eastAsia" w:ascii="宋体" w:hAnsi="宋体" w:eastAsia="宋体"/>
          <w:color w:val="auto"/>
          <w:highlight w:val="none"/>
          <w:lang w:eastAsia="zh-CN"/>
        </w:rPr>
        <w:t>九</w:t>
      </w:r>
      <w:r>
        <w:rPr>
          <w:rFonts w:hint="eastAsia" w:ascii="宋体" w:hAnsi="宋体" w:eastAsia="宋体"/>
          <w:color w:val="auto"/>
          <w:highlight w:val="none"/>
        </w:rPr>
        <w:t>条规定处理：</w:t>
      </w:r>
    </w:p>
    <w:p w14:paraId="6A739CD9">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（1）由于不可抗力造成无法正常施工的；</w:t>
      </w:r>
    </w:p>
    <w:p w14:paraId="75174576">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（2）由于甲方原因影响连续施工的；</w:t>
      </w:r>
    </w:p>
    <w:p w14:paraId="3CFF7986">
      <w:pPr>
        <w:spacing w:line="300" w:lineRule="auto"/>
        <w:ind w:firstLine="420" w:firstLineChars="200"/>
        <w:rPr>
          <w:rFonts w:hint="eastAsia" w:ascii="宋体" w:hAnsi="宋体" w:eastAsia="宋体"/>
          <w:b/>
          <w:color w:val="auto"/>
          <w:highlight w:val="none"/>
        </w:rPr>
      </w:pPr>
      <w:r>
        <w:rPr>
          <w:rFonts w:hint="eastAsia" w:ascii="宋体" w:hAnsi="宋体" w:eastAsia="宋体"/>
          <w:color w:val="auto"/>
          <w:highlight w:val="none"/>
        </w:rPr>
        <w:t>（3）由于未办妥相关物业或行政审批手续的；</w:t>
      </w:r>
    </w:p>
    <w:p w14:paraId="1D1CAC74">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4、当本条第3款所述事件首次发生后，乙方应在3天内向甲方发出工期顺延意向书。乙方应在发出工期顺延意向书后的3天内，向甲方提交工期顺延报告和有关详细资料。</w:t>
      </w:r>
    </w:p>
    <w:p w14:paraId="0A9752E6">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5、如果工期顺延事件持续发生时，乙方应每隔2天向甲方发出工期顺延意向书，并在工期顺延事件终结后的3天内，向甲方提交最终工期顺延报告和详细资料。</w:t>
      </w:r>
    </w:p>
    <w:p w14:paraId="279D8F4C">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6、如果</w:t>
      </w:r>
      <w:r>
        <w:rPr>
          <w:rFonts w:hint="eastAsia" w:ascii="宋体" w:hAnsi="宋体" w:eastAsia="宋体"/>
          <w:color w:val="auto"/>
          <w:highlight w:val="none"/>
          <w:lang w:val="en-US" w:eastAsia="zh-CN"/>
        </w:rPr>
        <w:t>乙</w:t>
      </w:r>
      <w:r>
        <w:rPr>
          <w:rFonts w:hint="eastAsia" w:ascii="宋体" w:hAnsi="宋体" w:eastAsia="宋体"/>
          <w:color w:val="auto"/>
          <w:highlight w:val="none"/>
        </w:rPr>
        <w:t>方未能在本条第 4款和第5款（发生时）规定的时间内提交（最终）工期顺延报告和详细资料，则视为该事件不影响施工进度或乙方放弃顺延工期的权利。</w:t>
      </w:r>
    </w:p>
    <w:p w14:paraId="78934E35">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7、甲方应在收到乙方按照本条第4 款和第5款（发生时）规定提交（最终）工期顺延报告和详细资料后的3天内，按照本条第3款规定予以核实，或要求乙方进一步补充顺延工期的理由。</w:t>
      </w:r>
    </w:p>
    <w:p w14:paraId="71525A73">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8、如果甲方在收到上述报告和资料后的3天内未予核实也未对乙方作出进一步要求，则视为甲方已认可乙方上述报告中提出的顺延工期天数。</w:t>
      </w:r>
    </w:p>
    <w:p w14:paraId="7BB327C9">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9、乙方未能按照合同进度计划完成工作，或因乙方原因造成工期延误，甲方可按照本条规定的时限要求乙方支付该</w:t>
      </w:r>
      <w:r>
        <w:rPr>
          <w:rFonts w:hint="eastAsia" w:ascii="宋体" w:hAnsi="宋体" w:eastAsia="宋体"/>
          <w:color w:val="auto"/>
          <w:highlight w:val="none"/>
          <w:lang w:eastAsia="zh-CN"/>
        </w:rPr>
        <w:t>期间</w:t>
      </w:r>
      <w:r>
        <w:rPr>
          <w:rFonts w:hint="eastAsia" w:ascii="宋体" w:hAnsi="宋体" w:eastAsia="宋体"/>
          <w:color w:val="auto"/>
          <w:highlight w:val="none"/>
        </w:rPr>
        <w:t>的误期赔偿费。</w:t>
      </w:r>
    </w:p>
    <w:p w14:paraId="69E39E23">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误期赔偿费：如果乙方的实际进度迟于计划进度，甲方有权向乙方索取并得到实际延误天数和每日历天应赔额度合同总价的千分之二的违约金乘积计算的误期赔偿费。除另有约定外，误期赔偿费的最高限额为合同价款的5%。误期赔偿费列入进度支付文件或竣工结算文件中，在进度款或结算款中扣除。</w:t>
      </w:r>
    </w:p>
    <w:p w14:paraId="736C160D">
      <w:pPr>
        <w:spacing w:line="300" w:lineRule="auto"/>
        <w:rPr>
          <w:rFonts w:hint="eastAsia" w:ascii="宋体" w:hAnsi="宋体" w:eastAsia="宋体"/>
          <w:b/>
          <w:color w:val="auto"/>
          <w:highlight w:val="none"/>
        </w:rPr>
      </w:pPr>
      <w:r>
        <w:rPr>
          <w:rFonts w:hint="eastAsia" w:ascii="宋体" w:hAnsi="宋体" w:eastAsia="宋体"/>
          <w:b/>
          <w:color w:val="auto"/>
          <w:highlight w:val="none"/>
        </w:rPr>
        <w:t>第三条：工程施工准备与双方责任</w:t>
      </w:r>
    </w:p>
    <w:p w14:paraId="1AAAE170">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1、甲方责任：</w:t>
      </w:r>
    </w:p>
    <w:p w14:paraId="7842D8A6">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（1）开工前甲方协调各方面的关系，办妥进场手续。</w:t>
      </w:r>
    </w:p>
    <w:p w14:paraId="294446A4">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（2）提供施工所需要的相关资料。</w:t>
      </w:r>
    </w:p>
    <w:p w14:paraId="449F7AAC">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w:t>
      </w:r>
      <w:r>
        <w:rPr>
          <w:rFonts w:hint="eastAsia" w:ascii="宋体" w:hAnsi="宋体" w:eastAsia="宋体"/>
          <w:color w:val="auto"/>
          <w:highlight w:val="none"/>
          <w:lang w:val="en-US" w:eastAsia="zh-CN"/>
        </w:rPr>
        <w:t>3</w:t>
      </w:r>
      <w:r>
        <w:rPr>
          <w:rFonts w:hint="eastAsia" w:ascii="宋体" w:hAnsi="宋体" w:eastAsia="宋体"/>
          <w:color w:val="auto"/>
          <w:highlight w:val="none"/>
        </w:rPr>
        <w:t>）落实建设资金，按合同约定拨付工程款，组织工程竣工验收。</w:t>
      </w:r>
    </w:p>
    <w:p w14:paraId="0143FE52">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2、乙方责任：</w:t>
      </w:r>
    </w:p>
    <w:p w14:paraId="704DFAB3">
      <w:pPr>
        <w:spacing w:line="300" w:lineRule="auto"/>
        <w:ind w:firstLine="420" w:firstLineChars="200"/>
        <w:rPr>
          <w:rFonts w:hint="default" w:ascii="宋体" w:hAnsi="宋体" w:eastAsia="宋体"/>
          <w:color w:val="auto"/>
          <w:highlight w:val="none"/>
          <w:lang w:val="en-US" w:eastAsia="zh-CN"/>
        </w:rPr>
      </w:pPr>
      <w:r>
        <w:rPr>
          <w:rFonts w:hint="eastAsia" w:ascii="宋体" w:hAnsi="宋体" w:eastAsia="宋体"/>
          <w:color w:val="auto"/>
          <w:highlight w:val="none"/>
        </w:rPr>
        <w:t>（1）提供详细的施工技术资料</w:t>
      </w:r>
      <w:r>
        <w:rPr>
          <w:rFonts w:hint="eastAsia" w:ascii="宋体" w:hAnsi="宋体" w:eastAsia="宋体"/>
          <w:color w:val="auto"/>
          <w:highlight w:val="none"/>
          <w:lang w:eastAsia="zh-CN"/>
        </w:rPr>
        <w:t>、</w:t>
      </w:r>
      <w:r>
        <w:rPr>
          <w:rFonts w:hint="eastAsia" w:ascii="宋体" w:hAnsi="宋体" w:eastAsia="宋体"/>
          <w:color w:val="auto"/>
          <w:highlight w:val="none"/>
          <w:lang w:val="en-US" w:eastAsia="zh-CN"/>
        </w:rPr>
        <w:t>项目可行性方案。</w:t>
      </w:r>
    </w:p>
    <w:p w14:paraId="3EEECB56">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（2）开工前组织有关人员编制施工组织设计，制定施工总计划进度。</w:t>
      </w:r>
    </w:p>
    <w:p w14:paraId="4A73EF29">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（3）做好施工准备工作，组织好人员及材料设备的进场、采购、供应和管理。</w:t>
      </w:r>
    </w:p>
    <w:p w14:paraId="5B33367D">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（4）严格</w:t>
      </w:r>
      <w:r>
        <w:rPr>
          <w:rFonts w:hint="eastAsia" w:ascii="宋体" w:hAnsi="宋体" w:eastAsia="宋体"/>
          <w:color w:val="auto"/>
          <w:highlight w:val="none"/>
          <w:lang w:eastAsia="zh-CN"/>
        </w:rPr>
        <w:t>按照</w:t>
      </w:r>
      <w:r>
        <w:rPr>
          <w:rFonts w:hint="eastAsia" w:ascii="宋体" w:hAnsi="宋体" w:eastAsia="宋体"/>
          <w:color w:val="auto"/>
          <w:highlight w:val="none"/>
        </w:rPr>
        <w:t>施工图与说明书施工，确保工程质量，按合同规定的时间如期完工和交付，并承担双方约定的维修保养协议相关规定。人为损坏的修理由责任方负责，并承担费用。</w:t>
      </w:r>
    </w:p>
    <w:p w14:paraId="15A0C89E">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（5）委托</w:t>
      </w:r>
      <w:r>
        <w:rPr>
          <w:rFonts w:hint="eastAsia" w:ascii="宋体" w:hAnsi="宋体" w:eastAsia="宋体"/>
          <w:color w:val="auto"/>
          <w:highlight w:val="none"/>
          <w:u w:val="single"/>
        </w:rPr>
        <w:t xml:space="preserve">        </w:t>
      </w:r>
      <w:r>
        <w:rPr>
          <w:rFonts w:hint="eastAsia" w:ascii="宋体" w:hAnsi="宋体" w:eastAsia="宋体"/>
          <w:color w:val="auto"/>
          <w:highlight w:val="none"/>
        </w:rPr>
        <w:t>为乙方代表，代表乙方与甲方代表人员接洽。</w:t>
      </w:r>
    </w:p>
    <w:p w14:paraId="514EA776">
      <w:pPr>
        <w:spacing w:line="300" w:lineRule="auto"/>
        <w:rPr>
          <w:rFonts w:hint="eastAsia" w:ascii="宋体" w:hAnsi="宋体" w:eastAsia="宋体" w:cs="宋体"/>
          <w:b/>
          <w:bCs/>
          <w:sz w:val="21"/>
          <w:szCs w:val="21"/>
          <w:lang w:eastAsia="zh-CN"/>
        </w:rPr>
      </w:pPr>
      <w:r>
        <w:rPr>
          <w:rFonts w:hint="eastAsia" w:ascii="宋体" w:hAnsi="宋体" w:eastAsia="宋体"/>
          <w:b/>
          <w:color w:val="auto"/>
          <w:highlight w:val="none"/>
        </w:rPr>
        <w:t>第四</w:t>
      </w:r>
      <w:r>
        <w:rPr>
          <w:rFonts w:hint="eastAsia" w:ascii="宋体" w:hAnsi="宋体" w:eastAsia="宋体"/>
          <w:b/>
          <w:color w:val="auto"/>
          <w:sz w:val="21"/>
          <w:szCs w:val="21"/>
          <w:highlight w:val="none"/>
        </w:rPr>
        <w:t>条：</w:t>
      </w:r>
      <w:r>
        <w:rPr>
          <w:rFonts w:hint="eastAsia" w:ascii="宋体" w:hAnsi="宋体" w:cs="宋体"/>
          <w:b/>
          <w:bCs/>
          <w:sz w:val="21"/>
          <w:szCs w:val="21"/>
          <w:lang w:eastAsia="zh-CN"/>
        </w:rPr>
        <w:t>进度款支付方式和要求</w:t>
      </w:r>
    </w:p>
    <w:p w14:paraId="4C94A362">
      <w:pPr>
        <w:spacing w:line="360" w:lineRule="auto"/>
        <w:textAlignment w:val="top"/>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   工程价款支付方式和期限</w:t>
      </w:r>
    </w:p>
    <w:p w14:paraId="7054665B">
      <w:pPr>
        <w:spacing w:line="360" w:lineRule="auto"/>
        <w:textAlignment w:val="top"/>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一）支付工程款应由乙方根据实际完成工程量，采用清单计价方式编制工程量清单及付款申请报告，经造价咨询单位、监理单位审核，甲方确定后，按本合同约定，办理付款手续，乙方在收款时须持有完税、有效、合规的建安发票。</w:t>
      </w:r>
    </w:p>
    <w:p w14:paraId="79CB7304">
      <w:pPr>
        <w:spacing w:line="360" w:lineRule="auto"/>
        <w:textAlignment w:val="top"/>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注：计价依据执行编制期适用的《建设工程工程量清单计价规范》、各专业《工程量计算规范》与《广东省建设工程计价通则》，套用省工程造价管理机构发布的现行定额以及市工程造价管理机构发布的补充定额、当期人、材、机价格（市造价管理机构未发布的价格实行市场询价），并结合中选下浮率按实计算。</w:t>
      </w:r>
    </w:p>
    <w:p w14:paraId="22343748">
      <w:pPr>
        <w:spacing w:line="360" w:lineRule="auto"/>
        <w:textAlignment w:val="top"/>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二）若甲方要求所有款项均须遵守财政国库集中支付制度（本合同所述的支付是指发包人在收到承包人的请款申请后，在规定的时间内开始办理集中支付手续，而非款项划入中选单位账户），则因受政府财政投资控制，在甲方完成各项支付手续报财政审批时，财局审批导致支付时间延长的，不属甲方违约，但工期可以顺延。</w:t>
      </w:r>
    </w:p>
    <w:p w14:paraId="1999492B">
      <w:pPr>
        <w:spacing w:line="360" w:lineRule="auto"/>
        <w:textAlignment w:val="top"/>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（三）工程款支付时间</w:t>
      </w:r>
    </w:p>
    <w:p w14:paraId="3013C4E7">
      <w:pPr>
        <w:spacing w:line="360" w:lineRule="auto"/>
        <w:ind w:firstLine="420" w:firstLineChars="200"/>
        <w:textAlignment w:val="top"/>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1．预付款：(1)合同生效后，乙方按询比文件及合同条款的要求向甲方提交工程预付款申请书，且监理发出开工令承包人进场施工后，甲方支付合同暂定价的20%给乙方作为工程的预付款；</w:t>
      </w:r>
    </w:p>
    <w:p w14:paraId="7FD81F47">
      <w:pPr>
        <w:spacing w:line="360" w:lineRule="auto"/>
        <w:ind w:firstLine="420" w:firstLineChars="200"/>
        <w:textAlignment w:val="top"/>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(2)乙方应将预付款专用于实施本合同所需的施工机械、工程设备、材料及人员费用，如甲方有要求，中选单位应向甲方提交发票和其他证明文件的副本以证明预付款确实专款专用。</w:t>
      </w:r>
    </w:p>
    <w:p w14:paraId="4AEE1DCA">
      <w:pPr>
        <w:spacing w:line="360" w:lineRule="auto"/>
        <w:ind w:firstLine="420" w:firstLineChars="200"/>
        <w:textAlignment w:val="top"/>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 预付款抵扣办法：工程开工后，预付款应从工程进度款中分期全部扣回。扣回的时间和比例为：当分部分项工程量清单项目工程进度款和预付款累计金额达到暂定合同价的40%（含40%）时，开始在下一次分部分项工程量清单项目工程进度款中按比例扣回预付款，并在分部分项工程量清单项目工程进度款和预付款累计金额达到分部分项工程量清单计价的70%（含70%）以前全部扣回。</w:t>
      </w:r>
    </w:p>
    <w:p w14:paraId="3966361C">
      <w:pPr>
        <w:spacing w:line="360" w:lineRule="auto"/>
        <w:ind w:firstLine="420" w:firstLineChars="200"/>
        <w:textAlignment w:val="top"/>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2．进度款：（1）每月按实际完成工程量计量。每月25日，中选单位向询比单位提起书面的申请，经监理审核，询比单位确认后支付。每月工程进度款支付至实际完成工程量的70%</w:t>
      </w:r>
      <w:r>
        <w:rPr>
          <w:rFonts w:hint="eastAsia" w:ascii="宋体" w:hAnsi="宋体" w:cs="宋体"/>
          <w:b w:val="0"/>
          <w:bCs w:val="0"/>
          <w:sz w:val="21"/>
          <w:szCs w:val="21"/>
          <w:highlight w:val="none"/>
          <w:lang w:val="en-US" w:eastAsia="zh-CN"/>
        </w:rPr>
        <w:t>。</w:t>
      </w:r>
    </w:p>
    <w:p w14:paraId="3F566CF1">
      <w:pPr>
        <w:spacing w:line="360" w:lineRule="auto"/>
        <w:ind w:firstLine="420" w:firstLineChars="200"/>
        <w:textAlignment w:val="top"/>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（2）工程完工，中选单位向甲方交付符合要求的档案资料，完成竣工验收并移交甲方后，工程进度款累计支付至实际完成工作量的80%，且累计支付金额不得超过合同价款的80％；</w:t>
      </w:r>
    </w:p>
    <w:p w14:paraId="53858AC0">
      <w:pPr>
        <w:spacing w:line="360" w:lineRule="auto"/>
        <w:ind w:firstLine="420" w:firstLineChars="200"/>
        <w:textAlignment w:val="top"/>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3．工程结算经财政部门审定后5个工作天内，经中选单位申请，付至结算总价的97%给中选单位；</w:t>
      </w:r>
    </w:p>
    <w:p w14:paraId="35D55A28">
      <w:pPr>
        <w:spacing w:line="360" w:lineRule="auto"/>
        <w:ind w:firstLine="420" w:firstLineChars="200"/>
        <w:textAlignment w:val="top"/>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4．结算价款的3%作为保修金，在保修期</w:t>
      </w:r>
      <w:r>
        <w:rPr>
          <w:rFonts w:hint="eastAsia" w:ascii="宋体" w:hAnsi="宋体" w:cs="宋体"/>
          <w:b w:val="0"/>
          <w:bCs w:val="0"/>
          <w:sz w:val="21"/>
          <w:szCs w:val="21"/>
          <w:highlight w:val="none"/>
          <w:lang w:val="en-US" w:eastAsia="zh-CN"/>
        </w:rPr>
        <w:t>1</w:t>
      </w:r>
      <w:r>
        <w:rPr>
          <w:rFonts w:hint="eastAsia" w:ascii="宋体" w:hAnsi="宋体" w:cs="宋体"/>
          <w:b w:val="0"/>
          <w:bCs w:val="0"/>
          <w:sz w:val="21"/>
          <w:szCs w:val="21"/>
          <w:lang w:val="en-US" w:eastAsia="zh-CN"/>
        </w:rPr>
        <w:t>年结束后10个工作日内，若无保修费用使用的情况，则无息返还保修金；若有保修费用使用的情况，则无息返还剩余保修金。</w:t>
      </w:r>
    </w:p>
    <w:p w14:paraId="7F88F2A9">
      <w:pPr>
        <w:spacing w:line="360" w:lineRule="auto"/>
        <w:ind w:firstLine="420" w:firstLineChars="200"/>
        <w:textAlignment w:val="top"/>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5. 甲方有权要求具体支付程序和时限，按照《荔湾区基本建设项目财政性资金集中支付暂行办法》执行。</w:t>
      </w:r>
    </w:p>
    <w:p w14:paraId="4071A9F3">
      <w:pPr>
        <w:spacing w:line="360" w:lineRule="auto"/>
        <w:ind w:firstLine="420" w:firstLineChars="200"/>
        <w:textAlignment w:val="top"/>
        <w:rPr>
          <w:rFonts w:hint="default" w:ascii="宋体" w:hAnsi="宋体" w:eastAsia="宋体" w:cs="宋体"/>
          <w:b w:val="0"/>
          <w:bCs w:val="0"/>
          <w:sz w:val="24"/>
          <w:szCs w:val="24"/>
          <w:lang w:val="en-US" w:eastAsia="zh-CN"/>
        </w:rPr>
      </w:pPr>
      <w:r>
        <w:rPr>
          <w:rFonts w:hint="eastAsia" w:ascii="宋体" w:hAnsi="宋体" w:cs="宋体"/>
          <w:b w:val="0"/>
          <w:bCs w:val="0"/>
          <w:sz w:val="21"/>
          <w:szCs w:val="21"/>
          <w:lang w:val="en-US" w:eastAsia="zh-CN"/>
        </w:rPr>
        <w:t>6、本合同须缴纳的印花税、增值税在荔湾区税务部门缴纳。</w:t>
      </w:r>
    </w:p>
    <w:p w14:paraId="3ABE1564">
      <w:pPr>
        <w:spacing w:line="300" w:lineRule="auto"/>
        <w:ind w:firstLine="420" w:firstLineChars="200"/>
        <w:rPr>
          <w:rFonts w:hint="eastAsia" w:ascii="宋体" w:hAnsi="宋体" w:eastAsia="宋体"/>
          <w:color w:val="auto"/>
          <w:highlight w:val="none"/>
        </w:rPr>
      </w:pPr>
    </w:p>
    <w:p w14:paraId="32CF9D43">
      <w:pPr>
        <w:spacing w:line="300" w:lineRule="auto"/>
        <w:rPr>
          <w:rFonts w:hint="eastAsia" w:ascii="宋体" w:hAnsi="宋体" w:eastAsia="宋体"/>
          <w:b/>
          <w:color w:val="auto"/>
          <w:highlight w:val="none"/>
        </w:rPr>
      </w:pPr>
      <w:r>
        <w:rPr>
          <w:rFonts w:hint="eastAsia" w:ascii="宋体" w:hAnsi="宋体" w:eastAsia="宋体"/>
          <w:b/>
          <w:color w:val="auto"/>
          <w:highlight w:val="none"/>
        </w:rPr>
        <w:t>第六条：施工质量</w:t>
      </w:r>
    </w:p>
    <w:p w14:paraId="0671513F">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如因乙方施工技术、质量和原材料不达标，造成中途停建、缓建，乙方应立即采取切实有</w:t>
      </w:r>
      <w:r>
        <w:rPr>
          <w:rFonts w:hint="eastAsia" w:ascii="宋体" w:hAnsi="宋体" w:eastAsia="宋体"/>
          <w:color w:val="auto"/>
          <w:highlight w:val="none"/>
          <w:lang w:eastAsia="zh-CN"/>
        </w:rPr>
        <w:t>效的</w:t>
      </w:r>
      <w:r>
        <w:rPr>
          <w:rFonts w:hint="eastAsia" w:ascii="宋体" w:hAnsi="宋体" w:eastAsia="宋体"/>
          <w:color w:val="auto"/>
          <w:highlight w:val="none"/>
        </w:rPr>
        <w:t>措施予以整改；拒不采取切实有效的措施整改的，或整改效果不明显的，甲方有权解除合同，要求乙方退还已收工程款，承担支付合同总价款10%的违约责任，并赔偿甲方的一切损失（包括但不限于诉讼费、保全费、执行费、律师费、鉴定费、差旅费等）。</w:t>
      </w:r>
    </w:p>
    <w:p w14:paraId="693AADFB">
      <w:pPr>
        <w:spacing w:line="300" w:lineRule="auto"/>
        <w:rPr>
          <w:rFonts w:hint="eastAsia" w:ascii="宋体" w:hAnsi="宋体" w:eastAsia="宋体"/>
          <w:b/>
          <w:color w:val="auto"/>
          <w:highlight w:val="none"/>
        </w:rPr>
      </w:pPr>
      <w:r>
        <w:rPr>
          <w:rFonts w:hint="eastAsia" w:ascii="宋体" w:hAnsi="宋体" w:eastAsia="宋体"/>
          <w:b/>
          <w:color w:val="auto"/>
          <w:highlight w:val="none"/>
        </w:rPr>
        <w:t>第七条：工程竣工验收及结算</w:t>
      </w:r>
    </w:p>
    <w:p w14:paraId="309F21B2">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1、乙方如遇到重要及复杂的隐蔽工程内容，应通知甲方共同验收，乙方应于验收前不少于3 天以书面形式通知甲方验收，通知应明确告知甲方验收时间及具体事项，并为甲方提供一切必要的验收资料和协助。</w:t>
      </w:r>
    </w:p>
    <w:p w14:paraId="2FBFE549">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2、甲方不能按时进行验收，需在验收前 2 天以书面形式向乙方提出延期要求。如验收不合格，乙方应在甲方限定的时间内整改后重新验收，由此增加的费用由乙方承担。</w:t>
      </w:r>
    </w:p>
    <w:p w14:paraId="754AC23C">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3、乙方在工程</w:t>
      </w:r>
      <w:r>
        <w:rPr>
          <w:rFonts w:hint="eastAsia" w:ascii="宋体" w:hAnsi="宋体" w:eastAsia="宋体"/>
          <w:color w:val="auto"/>
          <w:highlight w:val="none"/>
          <w:lang w:val="en-US" w:eastAsia="zh-CN"/>
        </w:rPr>
        <w:t>完</w:t>
      </w:r>
      <w:r>
        <w:rPr>
          <w:rFonts w:hint="eastAsia" w:ascii="宋体" w:hAnsi="宋体" w:eastAsia="宋体"/>
          <w:color w:val="auto"/>
          <w:highlight w:val="none"/>
        </w:rPr>
        <w:t>工前以书面形式向甲方提交完工验收申请报告。甲方应在收到完工验收申请报告后3天内完成审查，甲方审查后认为不具备验收条件的，应通知乙方还需完成的工作内容，乙方应在完成甲方通知的全部工作内容后，再次提交完工验收申请报告。</w:t>
      </w:r>
    </w:p>
    <w:p w14:paraId="561FED5E">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4、甲方审查后认为已具备完工验收条件的，应在收到完工验收申请报告后7天内组织完工验收。</w:t>
      </w:r>
    </w:p>
    <w:p w14:paraId="768D2AAD">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5、完工验收不合格的，甲方应按照验收意见发出指示，要求乙方对不合格工程返工、修复或采取其他补救措施，由此增加的费用和（或）延误的工期由乙方承担。乙方应在7天内完成整改并再次提交完工验收申请报告，并按本款约定的程序重新进行验收。</w:t>
      </w:r>
    </w:p>
    <w:p w14:paraId="20E57595">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6、工程未经验收，甲方提前使用，应视为甲方已确认工程合格，若使用后发现质量问题，亦不免除乙方因工程质量出现问题所应承担的质量保修责任和赔偿责任。</w:t>
      </w:r>
    </w:p>
    <w:p w14:paraId="3E4094E7">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7、本工程的质量保修期为</w:t>
      </w:r>
      <w:r>
        <w:rPr>
          <w:rFonts w:hint="eastAsia" w:ascii="宋体" w:hAnsi="宋体" w:eastAsia="宋体"/>
          <w:color w:val="auto"/>
          <w:highlight w:val="none"/>
          <w:lang w:val="en-US" w:eastAsia="zh-CN"/>
        </w:rPr>
        <w:t>1</w:t>
      </w:r>
      <w:r>
        <w:rPr>
          <w:rFonts w:hint="eastAsia" w:ascii="宋体" w:hAnsi="宋体" w:eastAsia="宋体"/>
          <w:color w:val="auto"/>
          <w:highlight w:val="none"/>
        </w:rPr>
        <w:t>年</w:t>
      </w:r>
      <w:r>
        <w:rPr>
          <w:rFonts w:hint="eastAsia" w:ascii="宋体" w:hAnsi="宋体" w:eastAsia="宋体"/>
          <w:color w:val="auto"/>
          <w:highlight w:val="none"/>
          <w:lang w:eastAsia="zh-CN"/>
        </w:rPr>
        <w:t>（工程竣工验收合格移交之日起计算）</w:t>
      </w:r>
      <w:r>
        <w:rPr>
          <w:rFonts w:hint="eastAsia" w:ascii="宋体" w:hAnsi="宋体" w:eastAsia="宋体"/>
          <w:color w:val="auto"/>
          <w:highlight w:val="none"/>
        </w:rPr>
        <w:t>；乙方应在质量保修期内对交付甲方使用的合同工程承担质量保修责任。发生紧急抢修事故的，乙方应在接到通知后立即到达事故现场抢修。质量保修完成后，甲方应及时组织验收。乙方修复属于质量缺陷以外的费用，由责任方承担。</w:t>
      </w:r>
    </w:p>
    <w:p w14:paraId="5B0AE438">
      <w:pPr>
        <w:spacing w:line="300" w:lineRule="auto"/>
        <w:rPr>
          <w:rFonts w:hint="eastAsia" w:ascii="宋体" w:hAnsi="宋体" w:eastAsia="宋体"/>
          <w:b/>
          <w:color w:val="auto"/>
          <w:highlight w:val="none"/>
        </w:rPr>
      </w:pPr>
      <w:r>
        <w:rPr>
          <w:rFonts w:hint="eastAsia" w:ascii="宋体" w:hAnsi="宋体" w:eastAsia="宋体"/>
          <w:b/>
          <w:color w:val="auto"/>
          <w:highlight w:val="none"/>
        </w:rPr>
        <w:t>第八条：工程安全生产、文明施工</w:t>
      </w:r>
    </w:p>
    <w:p w14:paraId="6A9C261A">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1、甲方对乙方承担的工程要做好安全交底，明确安全要求并进行监督检查。</w:t>
      </w:r>
    </w:p>
    <w:p w14:paraId="377127EF">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2、乙方</w:t>
      </w:r>
      <w:r>
        <w:rPr>
          <w:rFonts w:hint="eastAsia" w:ascii="宋体" w:hAnsi="宋体"/>
          <w:color w:val="auto"/>
          <w:highlight w:val="none"/>
          <w:lang w:val="en-US" w:eastAsia="zh-CN"/>
        </w:rPr>
        <w:t>应按相关规定要求做好</w:t>
      </w:r>
      <w:r>
        <w:rPr>
          <w:rFonts w:hint="eastAsia" w:ascii="宋体" w:hAnsi="宋体" w:eastAsia="宋体" w:cs="宋体"/>
          <w:color w:val="auto"/>
          <w:sz w:val="21"/>
          <w:szCs w:val="21"/>
          <w:highlight w:val="none"/>
        </w:rPr>
        <w:t>绿色施工安全防护措施</w:t>
      </w:r>
      <w:r>
        <w:rPr>
          <w:rFonts w:hint="eastAsia" w:ascii="宋体" w:hAnsi="宋体" w:cs="宋体"/>
          <w:color w:val="auto"/>
          <w:sz w:val="21"/>
          <w:szCs w:val="21"/>
          <w:highlight w:val="none"/>
          <w:lang w:eastAsia="zh-CN"/>
        </w:rPr>
        <w:t>，</w:t>
      </w:r>
      <w:r>
        <w:rPr>
          <w:rFonts w:hint="eastAsia" w:ascii="宋体" w:hAnsi="宋体" w:eastAsia="宋体"/>
          <w:color w:val="auto"/>
          <w:highlight w:val="none"/>
        </w:rPr>
        <w:t>必须认真贯彻安全生产、文明施工的规章制度，做好安全生产、文明施工教育工作，严格安全操作规程、文明施工要求及严格执行治安消防条例。</w:t>
      </w:r>
    </w:p>
    <w:p w14:paraId="44E5007F">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3、工程在施工期间，乙方人员发生工伤和</w:t>
      </w:r>
      <w:r>
        <w:rPr>
          <w:rFonts w:hint="eastAsia" w:ascii="宋体" w:hAnsi="宋体" w:eastAsia="宋体"/>
          <w:color w:val="auto"/>
          <w:highlight w:val="none"/>
          <w:lang w:eastAsia="zh-CN"/>
        </w:rPr>
        <w:t>疾</w:t>
      </w:r>
      <w:r>
        <w:rPr>
          <w:rFonts w:hint="eastAsia" w:ascii="宋体" w:hAnsi="宋体" w:eastAsia="宋体"/>
          <w:color w:val="auto"/>
          <w:highlight w:val="none"/>
        </w:rPr>
        <w:t>病等，甲方有提供方便、协助抢救义务，责任和费用均由</w:t>
      </w:r>
      <w:r>
        <w:rPr>
          <w:rFonts w:hint="eastAsia" w:ascii="宋体" w:hAnsi="宋体" w:eastAsia="宋体"/>
          <w:color w:val="auto"/>
          <w:highlight w:val="none"/>
          <w:lang w:val="en-US" w:eastAsia="zh-CN"/>
        </w:rPr>
        <w:t>乙</w:t>
      </w:r>
      <w:r>
        <w:rPr>
          <w:rFonts w:hint="eastAsia" w:ascii="宋体" w:hAnsi="宋体" w:eastAsia="宋体"/>
          <w:color w:val="auto"/>
          <w:highlight w:val="none"/>
        </w:rPr>
        <w:t>方负担。</w:t>
      </w:r>
    </w:p>
    <w:p w14:paraId="7C6F7878">
      <w:pPr>
        <w:spacing w:line="300" w:lineRule="auto"/>
        <w:rPr>
          <w:rFonts w:hint="eastAsia" w:ascii="宋体" w:hAnsi="宋体" w:eastAsia="宋体"/>
          <w:b/>
          <w:color w:val="auto"/>
          <w:highlight w:val="none"/>
        </w:rPr>
      </w:pPr>
      <w:r>
        <w:rPr>
          <w:rFonts w:hint="eastAsia" w:ascii="宋体" w:hAnsi="宋体" w:eastAsia="宋体"/>
          <w:b/>
          <w:color w:val="auto"/>
          <w:highlight w:val="none"/>
        </w:rPr>
        <w:t>第九条：合同解除及违约责任</w:t>
      </w:r>
    </w:p>
    <w:p w14:paraId="0B9662C1">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1、甲、乙双方协商一致，可以解除本合同。</w:t>
      </w:r>
    </w:p>
    <w:p w14:paraId="79B71702">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2、乙方如发生以下行为之一时，视为乙方根本违约，甲方可直接解除本合同，乙方须向甲方支付合同总价款10%的违约金，如因乙方该行为使甲方遭受损失的，乙方还应向甲方赔偿因此产生的全部损失（包括但不限于诉讼费、鉴定费、保全费、执行费、律师费等费用）；</w:t>
      </w:r>
    </w:p>
    <w:p w14:paraId="6F47D1B8">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1）乙方不能按照施工合同要求施工，拖延工期超过3天（因疫情等不可抗力因素除外），或者不按照施工组织设计、施工计划和施工规范施工，或者工程质量不符合标准，或者出现重大事故隐患。当发生上述情况，经甲方催告仍不能改正时。</w:t>
      </w:r>
    </w:p>
    <w:p w14:paraId="66A237D6">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（2）施工中出现重大安全事故时。</w:t>
      </w:r>
    </w:p>
    <w:p w14:paraId="3BA27CD4">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（3）拖欠工人（民工）工资，或者因拖欠工资造成恶劣影响时（包括但不限于工人</w:t>
      </w:r>
      <w:r>
        <w:rPr>
          <w:rFonts w:hint="eastAsia" w:ascii="宋体" w:hAnsi="宋体" w:eastAsia="宋体"/>
          <w:color w:val="auto"/>
          <w:highlight w:val="none"/>
          <w:lang w:eastAsia="zh-CN"/>
        </w:rPr>
        <w:t>（</w:t>
      </w:r>
      <w:r>
        <w:rPr>
          <w:rFonts w:hint="eastAsia" w:ascii="宋体" w:hAnsi="宋体" w:eastAsia="宋体"/>
          <w:color w:val="auto"/>
          <w:highlight w:val="none"/>
        </w:rPr>
        <w:t>民工）向甲方、</w:t>
      </w:r>
      <w:r>
        <w:rPr>
          <w:rFonts w:hint="eastAsia" w:ascii="宋体" w:hAnsi="宋体" w:eastAsia="宋体"/>
          <w:color w:val="auto"/>
          <w:highlight w:val="none"/>
          <w:lang w:eastAsia="zh-CN"/>
        </w:rPr>
        <w:t>其他</w:t>
      </w:r>
      <w:r>
        <w:rPr>
          <w:rFonts w:hint="eastAsia" w:ascii="宋体" w:hAnsi="宋体" w:eastAsia="宋体"/>
          <w:color w:val="auto"/>
          <w:highlight w:val="none"/>
        </w:rPr>
        <w:t>政府单位上访）。</w:t>
      </w:r>
    </w:p>
    <w:p w14:paraId="53D45661">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（4）拖欠材料款情况严重，或者因拖欠材料款而导致材料商向法院提起诉讼、向仲裁机构提起仲裁以及向甲方、政府和</w:t>
      </w:r>
      <w:r>
        <w:rPr>
          <w:rFonts w:hint="eastAsia" w:ascii="宋体" w:hAnsi="宋体" w:eastAsia="宋体"/>
          <w:color w:val="auto"/>
          <w:highlight w:val="none"/>
          <w:lang w:eastAsia="zh-CN"/>
        </w:rPr>
        <w:t>其他</w:t>
      </w:r>
      <w:r>
        <w:rPr>
          <w:rFonts w:hint="eastAsia" w:ascii="宋体" w:hAnsi="宋体" w:eastAsia="宋体"/>
          <w:color w:val="auto"/>
          <w:highlight w:val="none"/>
        </w:rPr>
        <w:t>政府部门上访时。</w:t>
      </w:r>
    </w:p>
    <w:p w14:paraId="0E107424">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（5）采购不合格材料经甲方催告仍然不改正时。</w:t>
      </w:r>
    </w:p>
    <w:p w14:paraId="34172346">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（6）拖欠设备租</w:t>
      </w:r>
      <w:r>
        <w:rPr>
          <w:rFonts w:hint="eastAsia" w:ascii="宋体" w:hAnsi="宋体" w:eastAsia="宋体"/>
          <w:color w:val="auto"/>
          <w:highlight w:val="none"/>
          <w:lang w:eastAsia="zh-CN"/>
        </w:rPr>
        <w:t>赁</w:t>
      </w:r>
      <w:r>
        <w:rPr>
          <w:rFonts w:hint="eastAsia" w:ascii="宋体" w:hAnsi="宋体" w:eastAsia="宋体"/>
          <w:color w:val="auto"/>
          <w:highlight w:val="none"/>
        </w:rPr>
        <w:t>款项情况严重，或者因拖欠设备租赁款项而导致设备租赁商向法院提起诉讼、向仲裁机构提起仲裁以及向甲方、</w:t>
      </w:r>
      <w:r>
        <w:rPr>
          <w:rFonts w:hint="eastAsia" w:ascii="宋体" w:hAnsi="宋体" w:eastAsia="宋体"/>
          <w:color w:val="auto"/>
          <w:highlight w:val="none"/>
          <w:lang w:eastAsia="zh-CN"/>
        </w:rPr>
        <w:t>其他</w:t>
      </w:r>
      <w:r>
        <w:rPr>
          <w:rFonts w:hint="eastAsia" w:ascii="宋体" w:hAnsi="宋体" w:eastAsia="宋体"/>
          <w:color w:val="auto"/>
          <w:highlight w:val="none"/>
        </w:rPr>
        <w:t>政府部门上访时。</w:t>
      </w:r>
    </w:p>
    <w:p w14:paraId="27D790DD">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（7）将承包的工程项目再转包时。</w:t>
      </w:r>
    </w:p>
    <w:p w14:paraId="6B4327B3">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（8）在施工过程中未经甲方同意擅自中断工程施工达到3天时。</w:t>
      </w:r>
    </w:p>
    <w:p w14:paraId="5E8105DE">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（9）违反法律、法规、规章和政府规范性文件而导致政府或政府部门对甲方行政处罚时。</w:t>
      </w:r>
    </w:p>
    <w:p w14:paraId="389FB2DC">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（10）恶意提供虚假发票，给甲方税务诚信造成影响时。</w:t>
      </w:r>
    </w:p>
    <w:p w14:paraId="5FA0B701">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（11）未履行本合同第三条中约定乙方应承担的责任的。</w:t>
      </w:r>
    </w:p>
    <w:p w14:paraId="70F81ED1">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3、甲方依照本协议的约定单方解除协议时应向乙方发出书面通知，自通知到达时协议解除。乙方应当在收到或者视为收到解除协议的通知之日起两日内退场，否则乙方须承担因乙方未按时退场给甲方造成的全部损失（包括但不限于诉讼费、鉴定费、保全费、执行费、律师费等费用）。</w:t>
      </w:r>
    </w:p>
    <w:p w14:paraId="62CAE383">
      <w:pPr>
        <w:spacing w:line="300" w:lineRule="auto"/>
        <w:rPr>
          <w:rFonts w:hint="eastAsia" w:ascii="宋体" w:hAnsi="宋体" w:eastAsia="宋体"/>
          <w:b/>
          <w:color w:val="auto"/>
          <w:highlight w:val="none"/>
        </w:rPr>
      </w:pPr>
      <w:r>
        <w:rPr>
          <w:rFonts w:hint="eastAsia" w:ascii="宋体" w:hAnsi="宋体" w:eastAsia="宋体"/>
          <w:b/>
          <w:color w:val="auto"/>
          <w:highlight w:val="none"/>
        </w:rPr>
        <w:t>第十条：争议解决</w:t>
      </w:r>
    </w:p>
    <w:p w14:paraId="06E9A878">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因履行本合同发生的争议，双方应当协商解决；协商不成的，向</w:t>
      </w:r>
      <w:r>
        <w:rPr>
          <w:rFonts w:hint="eastAsia" w:ascii="宋体" w:hAnsi="宋体" w:eastAsia="宋体"/>
          <w:color w:val="auto"/>
          <w:highlight w:val="none"/>
          <w:u w:val="single"/>
        </w:rPr>
        <w:t>中国广州仲裁委员会</w:t>
      </w:r>
      <w:r>
        <w:rPr>
          <w:rFonts w:hint="eastAsia" w:ascii="宋体" w:hAnsi="宋体" w:eastAsia="宋体"/>
          <w:color w:val="auto"/>
          <w:highlight w:val="none"/>
        </w:rPr>
        <w:t>申请仲裁。</w:t>
      </w:r>
    </w:p>
    <w:p w14:paraId="40E46872">
      <w:pPr>
        <w:spacing w:line="300" w:lineRule="auto"/>
        <w:rPr>
          <w:rFonts w:hint="eastAsia" w:ascii="宋体" w:hAnsi="宋体" w:eastAsia="宋体"/>
          <w:b/>
          <w:color w:val="auto"/>
          <w:highlight w:val="none"/>
        </w:rPr>
      </w:pPr>
      <w:r>
        <w:rPr>
          <w:rFonts w:hint="eastAsia" w:ascii="宋体" w:hAnsi="宋体" w:eastAsia="宋体"/>
          <w:b/>
          <w:color w:val="auto"/>
          <w:highlight w:val="none"/>
        </w:rPr>
        <w:t>第十一条：通信送达</w:t>
      </w:r>
    </w:p>
    <w:p w14:paraId="557E66DE">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合同任何一方需要向对方送达通知、文件、资料或者其他文书时，下列通信地址分别为甲乙双方的有效通信地址，如不能当面送达，送达方可以以特快专递的方式向受送达方邮寄送达，无论该邮件是否由他人签收、退回、拒收，送达方向该通信地址邮寄特快专递的底单或者特快专递公司出具的送达记录（回执）均视为已经向受送达方送达。若甲乙双方因履行本合同或与本合同有关的事项发生争议需要通过法律途径（包括但不限于：诉讼、仲裁）解决的，下列通信地址为各自的司法送达地址。</w:t>
      </w:r>
    </w:p>
    <w:p w14:paraId="6A15F680">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甲方：</w:t>
      </w:r>
    </w:p>
    <w:p w14:paraId="031DBAD6">
      <w:pPr>
        <w:spacing w:line="300" w:lineRule="auto"/>
        <w:ind w:firstLine="420" w:firstLineChars="200"/>
        <w:rPr>
          <w:rFonts w:hint="eastAsia" w:ascii="宋体" w:hAnsi="宋体" w:eastAsia="宋体"/>
          <w:color w:val="auto"/>
          <w:highlight w:val="none"/>
          <w:lang w:eastAsia="zh-CN"/>
        </w:rPr>
      </w:pPr>
      <w:r>
        <w:rPr>
          <w:rFonts w:hint="eastAsia" w:ascii="宋体" w:hAnsi="宋体" w:eastAsia="宋体"/>
          <w:color w:val="auto"/>
          <w:highlight w:val="none"/>
        </w:rPr>
        <w:t>通讯地址：</w:t>
      </w:r>
      <w:r>
        <w:rPr>
          <w:rFonts w:hint="eastAsia" w:ascii="宋体" w:hAnsi="宋体" w:eastAsia="宋体"/>
          <w:color w:val="auto"/>
          <w:highlight w:val="none"/>
          <w:lang w:val="en-US" w:eastAsia="zh-CN"/>
        </w:rPr>
        <w:t xml:space="preserve"> </w:t>
      </w:r>
    </w:p>
    <w:p w14:paraId="3688654D">
      <w:pPr>
        <w:spacing w:line="300" w:lineRule="auto"/>
        <w:ind w:firstLine="420" w:firstLineChars="200"/>
        <w:rPr>
          <w:rFonts w:hint="eastAsia" w:ascii="宋体" w:hAnsi="宋体" w:eastAsia="宋体"/>
          <w:color w:val="auto"/>
          <w:highlight w:val="none"/>
          <w:lang w:eastAsia="zh-CN"/>
        </w:rPr>
      </w:pPr>
      <w:r>
        <w:rPr>
          <w:rFonts w:hint="eastAsia" w:ascii="宋体" w:hAnsi="宋体" w:eastAsia="宋体"/>
          <w:color w:val="auto"/>
          <w:highlight w:val="none"/>
        </w:rPr>
        <w:t>收件人：</w:t>
      </w:r>
      <w:r>
        <w:rPr>
          <w:rFonts w:hint="eastAsia" w:ascii="宋体" w:hAnsi="宋体" w:eastAsia="宋体"/>
          <w:color w:val="auto"/>
          <w:highlight w:val="none"/>
          <w:lang w:val="en-US" w:eastAsia="zh-CN"/>
        </w:rPr>
        <w:t xml:space="preserve"> </w:t>
      </w:r>
    </w:p>
    <w:p w14:paraId="407E21D7">
      <w:pPr>
        <w:spacing w:line="300" w:lineRule="auto"/>
        <w:ind w:firstLine="420" w:firstLineChars="200"/>
        <w:rPr>
          <w:rFonts w:hint="eastAsia" w:ascii="宋体" w:hAnsi="宋体" w:eastAsia="宋体"/>
          <w:color w:val="auto"/>
          <w:highlight w:val="none"/>
          <w:lang w:eastAsia="zh-CN"/>
        </w:rPr>
      </w:pPr>
      <w:r>
        <w:rPr>
          <w:rFonts w:hint="eastAsia" w:ascii="宋体" w:hAnsi="宋体" w:eastAsia="宋体"/>
          <w:color w:val="auto"/>
          <w:highlight w:val="none"/>
        </w:rPr>
        <w:t>电话：</w:t>
      </w:r>
      <w:r>
        <w:rPr>
          <w:rFonts w:hint="eastAsia" w:ascii="宋体" w:hAnsi="宋体" w:eastAsia="宋体"/>
          <w:color w:val="auto"/>
          <w:highlight w:val="none"/>
          <w:lang w:val="en-US" w:eastAsia="zh-CN"/>
        </w:rPr>
        <w:t xml:space="preserve"> </w:t>
      </w:r>
    </w:p>
    <w:p w14:paraId="1B32E350">
      <w:pPr>
        <w:spacing w:line="300" w:lineRule="auto"/>
        <w:ind w:firstLine="420" w:firstLineChars="200"/>
        <w:rPr>
          <w:rFonts w:hint="eastAsia" w:ascii="宋体" w:hAnsi="宋体" w:eastAsia="宋体"/>
          <w:color w:val="auto"/>
          <w:highlight w:val="none"/>
          <w:lang w:eastAsia="zh-CN"/>
        </w:rPr>
      </w:pPr>
      <w:r>
        <w:rPr>
          <w:rFonts w:hint="eastAsia" w:ascii="宋体" w:hAnsi="宋体" w:eastAsia="宋体"/>
          <w:color w:val="auto"/>
          <w:highlight w:val="none"/>
        </w:rPr>
        <w:t>乙方：</w:t>
      </w:r>
      <w:r>
        <w:rPr>
          <w:rFonts w:hint="eastAsia" w:ascii="宋体" w:hAnsi="宋体" w:eastAsia="宋体"/>
          <w:color w:val="auto"/>
          <w:highlight w:val="none"/>
          <w:lang w:val="en-US" w:eastAsia="zh-CN"/>
        </w:rPr>
        <w:t xml:space="preserve"> </w:t>
      </w:r>
    </w:p>
    <w:p w14:paraId="51E52D10">
      <w:pPr>
        <w:spacing w:line="300" w:lineRule="auto"/>
        <w:ind w:firstLine="420" w:firstLineChars="200"/>
        <w:rPr>
          <w:rFonts w:hint="eastAsia" w:ascii="宋体" w:hAnsi="宋体" w:eastAsia="宋体"/>
          <w:color w:val="auto"/>
          <w:highlight w:val="none"/>
          <w:lang w:eastAsia="zh-CN"/>
        </w:rPr>
      </w:pPr>
      <w:r>
        <w:rPr>
          <w:rFonts w:hint="eastAsia" w:ascii="宋体" w:hAnsi="宋体" w:eastAsia="宋体"/>
          <w:color w:val="auto"/>
          <w:highlight w:val="none"/>
        </w:rPr>
        <w:t>通讯地址：</w:t>
      </w:r>
      <w:r>
        <w:rPr>
          <w:rFonts w:hint="eastAsia" w:ascii="宋体" w:hAnsi="宋体" w:eastAsia="宋体"/>
          <w:color w:val="auto"/>
          <w:highlight w:val="none"/>
          <w:lang w:val="en-US" w:eastAsia="zh-CN"/>
        </w:rPr>
        <w:t xml:space="preserve"> </w:t>
      </w:r>
    </w:p>
    <w:p w14:paraId="342D59A4">
      <w:pPr>
        <w:spacing w:line="300" w:lineRule="auto"/>
        <w:ind w:firstLine="420" w:firstLineChars="200"/>
        <w:rPr>
          <w:rFonts w:hint="eastAsia" w:ascii="宋体" w:hAnsi="宋体" w:eastAsia="宋体"/>
          <w:color w:val="auto"/>
          <w:highlight w:val="none"/>
          <w:lang w:eastAsia="zh-CN"/>
        </w:rPr>
      </w:pPr>
      <w:r>
        <w:rPr>
          <w:rFonts w:hint="eastAsia" w:ascii="宋体" w:hAnsi="宋体" w:eastAsia="宋体"/>
          <w:color w:val="auto"/>
          <w:highlight w:val="none"/>
        </w:rPr>
        <w:t>收件人：</w:t>
      </w:r>
      <w:r>
        <w:rPr>
          <w:rFonts w:hint="eastAsia" w:ascii="宋体" w:hAnsi="宋体" w:eastAsia="宋体"/>
          <w:color w:val="auto"/>
          <w:highlight w:val="none"/>
          <w:lang w:val="en-US" w:eastAsia="zh-CN"/>
        </w:rPr>
        <w:t xml:space="preserve"> </w:t>
      </w:r>
    </w:p>
    <w:p w14:paraId="1CF7673E">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电话：</w:t>
      </w:r>
      <w:r>
        <w:rPr>
          <w:rFonts w:hint="eastAsia" w:ascii="宋体" w:hAnsi="宋体" w:eastAsia="宋体"/>
          <w:color w:val="auto"/>
          <w:highlight w:val="none"/>
          <w:lang w:val="en-US" w:eastAsia="zh-CN"/>
        </w:rPr>
        <w:t xml:space="preserve"> </w:t>
      </w:r>
    </w:p>
    <w:p w14:paraId="68C078BD">
      <w:pPr>
        <w:spacing w:line="300" w:lineRule="auto"/>
        <w:rPr>
          <w:rFonts w:hint="eastAsia" w:ascii="宋体" w:hAnsi="宋体" w:eastAsia="宋体"/>
          <w:b/>
          <w:color w:val="auto"/>
          <w:highlight w:val="none"/>
        </w:rPr>
      </w:pPr>
      <w:r>
        <w:rPr>
          <w:rFonts w:hint="eastAsia" w:ascii="宋体" w:hAnsi="宋体" w:eastAsia="宋体"/>
          <w:b/>
          <w:color w:val="auto"/>
          <w:highlight w:val="none"/>
        </w:rPr>
        <w:t>第十二条：附则</w:t>
      </w:r>
    </w:p>
    <w:p w14:paraId="2B5DFE4B">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1、本合同未尽事宜，双方及时协商增补条款，补充条款与本合同具有同等法律效力。</w:t>
      </w:r>
    </w:p>
    <w:p w14:paraId="5AC3AD99">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2、本合同壹式肆份，甲方贰份，乙方贰份。</w:t>
      </w:r>
    </w:p>
    <w:p w14:paraId="78AD8A40">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3、本合同经双方签字盖章后生效。</w:t>
      </w:r>
    </w:p>
    <w:p w14:paraId="1F83C4DD">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4、本合同有效附件：</w:t>
      </w:r>
    </w:p>
    <w:p w14:paraId="410BA817">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（一）</w:t>
      </w:r>
      <w:r>
        <w:rPr>
          <w:rFonts w:hint="eastAsia" w:ascii="宋体" w:hAnsi="宋体" w:eastAsia="宋体"/>
          <w:color w:val="auto"/>
          <w:highlight w:val="none"/>
          <w:lang w:eastAsia="zh-CN"/>
        </w:rPr>
        <w:t>报价</w:t>
      </w:r>
      <w:r>
        <w:rPr>
          <w:rFonts w:hint="eastAsia" w:ascii="宋体" w:hAnsi="宋体" w:eastAsia="宋体"/>
          <w:color w:val="auto"/>
          <w:highlight w:val="none"/>
        </w:rPr>
        <w:t>文件；</w:t>
      </w:r>
    </w:p>
    <w:p w14:paraId="1DD8DDF8">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（二）补充协议；</w:t>
      </w:r>
    </w:p>
    <w:p w14:paraId="080742DD">
      <w:pPr>
        <w:spacing w:line="300" w:lineRule="auto"/>
        <w:ind w:firstLine="420" w:firstLineChars="200"/>
        <w:rPr>
          <w:rFonts w:hint="default" w:ascii="宋体" w:hAnsi="宋体" w:eastAsia="宋体"/>
          <w:color w:val="auto"/>
          <w:highlight w:val="none"/>
          <w:lang w:val="en-US" w:eastAsia="zh-CN"/>
        </w:rPr>
      </w:pPr>
      <w:r>
        <w:rPr>
          <w:rFonts w:hint="eastAsia" w:ascii="宋体" w:hAnsi="宋体" w:eastAsia="宋体"/>
          <w:color w:val="auto"/>
          <w:highlight w:val="none"/>
        </w:rPr>
        <w:t>（</w:t>
      </w:r>
      <w:r>
        <w:rPr>
          <w:rFonts w:hint="eastAsia" w:ascii="宋体" w:hAnsi="宋体" w:eastAsia="宋体"/>
          <w:color w:val="auto"/>
          <w:highlight w:val="none"/>
          <w:lang w:eastAsia="zh-CN"/>
        </w:rPr>
        <w:t>三</w:t>
      </w:r>
      <w:r>
        <w:rPr>
          <w:rFonts w:hint="eastAsia" w:ascii="宋体" w:hAnsi="宋体" w:eastAsia="宋体"/>
          <w:color w:val="auto"/>
          <w:highlight w:val="none"/>
        </w:rPr>
        <w:t>）</w:t>
      </w:r>
      <w:r>
        <w:rPr>
          <w:rFonts w:hint="eastAsia" w:ascii="宋体" w:hAnsi="宋体" w:eastAsia="宋体"/>
          <w:color w:val="auto"/>
          <w:highlight w:val="none"/>
          <w:lang w:val="en-US" w:eastAsia="zh-CN"/>
        </w:rPr>
        <w:t>廉洁协议、安全生产协议书、工人权益保障承诺书。</w:t>
      </w:r>
    </w:p>
    <w:p w14:paraId="7EEFDCC1">
      <w:pPr>
        <w:spacing w:line="30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w:t>
      </w:r>
      <w:r>
        <w:rPr>
          <w:rFonts w:hint="eastAsia" w:ascii="宋体" w:hAnsi="宋体" w:eastAsia="宋体"/>
          <w:color w:val="auto"/>
          <w:highlight w:val="none"/>
          <w:lang w:val="en-US" w:eastAsia="zh-CN"/>
        </w:rPr>
        <w:t>四</w:t>
      </w:r>
      <w:r>
        <w:rPr>
          <w:rFonts w:hint="eastAsia" w:ascii="宋体" w:hAnsi="宋体" w:eastAsia="宋体"/>
          <w:color w:val="auto"/>
          <w:highlight w:val="none"/>
        </w:rPr>
        <w:t>）</w:t>
      </w:r>
      <w:r>
        <w:rPr>
          <w:rFonts w:hint="eastAsia" w:ascii="宋体" w:hAnsi="宋体" w:eastAsia="宋体"/>
          <w:color w:val="auto"/>
          <w:highlight w:val="none"/>
          <w:lang w:eastAsia="zh-CN"/>
        </w:rPr>
        <w:t>其他</w:t>
      </w:r>
      <w:r>
        <w:rPr>
          <w:rFonts w:hint="eastAsia" w:ascii="宋体" w:hAnsi="宋体" w:eastAsia="宋体"/>
          <w:color w:val="auto"/>
          <w:highlight w:val="none"/>
        </w:rPr>
        <w:t>。</w:t>
      </w:r>
    </w:p>
    <w:p w14:paraId="0A58BF95">
      <w:pPr>
        <w:spacing w:line="300" w:lineRule="auto"/>
        <w:rPr>
          <w:rFonts w:hint="eastAsia" w:ascii="宋体" w:hAnsi="宋体" w:eastAsia="宋体"/>
          <w:color w:val="auto"/>
          <w:highlight w:val="none"/>
        </w:rPr>
      </w:pPr>
    </w:p>
    <w:p w14:paraId="52E793D0">
      <w:pPr>
        <w:rPr>
          <w:rFonts w:hint="eastAsia"/>
        </w:rPr>
      </w:pPr>
    </w:p>
    <w:p w14:paraId="2E5F0A22">
      <w:pPr>
        <w:spacing w:line="300" w:lineRule="auto"/>
        <w:rPr>
          <w:rFonts w:hint="eastAsia" w:ascii="宋体" w:hAnsi="宋体" w:eastAsia="宋体"/>
          <w:color w:val="auto"/>
          <w:highlight w:val="none"/>
        </w:rPr>
      </w:pPr>
    </w:p>
    <w:tbl>
      <w:tblPr>
        <w:tblStyle w:val="20"/>
        <w:tblpPr w:leftFromText="180" w:rightFromText="180" w:vertAnchor="text" w:tblpY="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4"/>
        <w:gridCol w:w="4644"/>
      </w:tblGrid>
      <w:tr w14:paraId="023AE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927" w:type="dxa"/>
            <w:noWrap w:val="0"/>
            <w:vAlign w:val="top"/>
          </w:tcPr>
          <w:p w14:paraId="318672C2">
            <w:pPr>
              <w:spacing w:line="360" w:lineRule="auto"/>
              <w:rPr>
                <w:rFonts w:ascii="宋体" w:hAnsi="宋体" w:eastAsia="宋体"/>
                <w:color w:val="auto"/>
                <w:highlight w:val="none"/>
              </w:rPr>
            </w:pPr>
            <w:r>
              <w:rPr>
                <w:rFonts w:ascii="宋体" w:hAnsi="宋体" w:eastAsia="宋体"/>
                <w:color w:val="auto"/>
                <w:highlight w:val="none"/>
              </w:rPr>
              <w:t>甲方：</w:t>
            </w:r>
          </w:p>
        </w:tc>
        <w:tc>
          <w:tcPr>
            <w:tcW w:w="4927" w:type="dxa"/>
            <w:noWrap w:val="0"/>
            <w:vAlign w:val="top"/>
          </w:tcPr>
          <w:p w14:paraId="0071BC9D">
            <w:pPr>
              <w:spacing w:line="360" w:lineRule="auto"/>
              <w:rPr>
                <w:rFonts w:hint="eastAsia" w:ascii="宋体" w:hAnsi="宋体" w:eastAsia="宋体"/>
                <w:color w:val="auto"/>
                <w:highlight w:val="none"/>
                <w:lang w:eastAsia="zh-CN"/>
              </w:rPr>
            </w:pPr>
            <w:r>
              <w:rPr>
                <w:rFonts w:ascii="宋体" w:hAnsi="宋体" w:eastAsia="宋体"/>
                <w:color w:val="auto"/>
                <w:highlight w:val="none"/>
              </w:rPr>
              <w:t>乙方：</w:t>
            </w:r>
            <w:r>
              <w:rPr>
                <w:rFonts w:hint="eastAsia" w:ascii="宋体" w:hAnsi="宋体" w:eastAsia="宋体"/>
                <w:color w:val="auto"/>
                <w:highlight w:val="none"/>
                <w:lang w:val="en-US" w:eastAsia="zh-CN"/>
              </w:rPr>
              <w:t xml:space="preserve"> </w:t>
            </w:r>
          </w:p>
        </w:tc>
      </w:tr>
      <w:tr w14:paraId="02E73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927" w:type="dxa"/>
            <w:noWrap w:val="0"/>
            <w:vAlign w:val="top"/>
          </w:tcPr>
          <w:p w14:paraId="5249925B">
            <w:pPr>
              <w:spacing w:line="360" w:lineRule="auto"/>
              <w:rPr>
                <w:rFonts w:hint="eastAsia" w:ascii="宋体" w:hAnsi="宋体" w:eastAsia="宋体"/>
                <w:color w:val="auto"/>
                <w:highlight w:val="none"/>
              </w:rPr>
            </w:pPr>
            <w:r>
              <w:rPr>
                <w:rFonts w:ascii="宋体" w:hAnsi="宋体" w:eastAsia="宋体"/>
                <w:color w:val="auto"/>
                <w:highlight w:val="none"/>
              </w:rPr>
              <w:t>法定代表人或</w:t>
            </w:r>
          </w:p>
          <w:p w14:paraId="1A1AA94A">
            <w:pPr>
              <w:spacing w:line="360" w:lineRule="auto"/>
              <w:rPr>
                <w:rFonts w:ascii="宋体" w:hAnsi="宋体" w:eastAsia="宋体"/>
                <w:color w:val="auto"/>
                <w:highlight w:val="none"/>
              </w:rPr>
            </w:pPr>
            <w:r>
              <w:rPr>
                <w:rFonts w:hint="eastAsia" w:ascii="宋体" w:hAnsi="宋体" w:eastAsia="宋体"/>
                <w:color w:val="auto"/>
                <w:highlight w:val="none"/>
              </w:rPr>
              <w:t>委托代理人：</w:t>
            </w:r>
          </w:p>
        </w:tc>
        <w:tc>
          <w:tcPr>
            <w:tcW w:w="4927" w:type="dxa"/>
            <w:noWrap w:val="0"/>
            <w:vAlign w:val="top"/>
          </w:tcPr>
          <w:p w14:paraId="56FDD989">
            <w:pPr>
              <w:spacing w:line="360" w:lineRule="auto"/>
              <w:rPr>
                <w:rFonts w:hint="eastAsia" w:ascii="宋体" w:hAnsi="宋体" w:eastAsia="宋体"/>
                <w:color w:val="auto"/>
                <w:highlight w:val="none"/>
              </w:rPr>
            </w:pPr>
            <w:r>
              <w:rPr>
                <w:rFonts w:ascii="宋体" w:hAnsi="宋体" w:eastAsia="宋体"/>
                <w:color w:val="auto"/>
                <w:highlight w:val="none"/>
              </w:rPr>
              <w:t>法定代表人或</w:t>
            </w:r>
          </w:p>
          <w:p w14:paraId="2085B608">
            <w:pPr>
              <w:spacing w:line="360" w:lineRule="auto"/>
              <w:rPr>
                <w:rFonts w:ascii="宋体" w:hAnsi="宋体" w:eastAsia="宋体"/>
                <w:color w:val="auto"/>
                <w:highlight w:val="none"/>
              </w:rPr>
            </w:pPr>
            <w:r>
              <w:rPr>
                <w:rFonts w:hint="eastAsia" w:ascii="宋体" w:hAnsi="宋体" w:eastAsia="宋体"/>
                <w:color w:val="auto"/>
                <w:highlight w:val="none"/>
              </w:rPr>
              <w:t>委托代理人：</w:t>
            </w:r>
          </w:p>
        </w:tc>
      </w:tr>
      <w:tr w14:paraId="36074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927" w:type="dxa"/>
            <w:noWrap w:val="0"/>
            <w:vAlign w:val="top"/>
          </w:tcPr>
          <w:p w14:paraId="48BC6A7F">
            <w:pPr>
              <w:spacing w:line="360" w:lineRule="auto"/>
              <w:rPr>
                <w:rFonts w:hint="eastAsia" w:ascii="宋体" w:hAnsi="宋体" w:eastAsia="宋体"/>
                <w:color w:val="auto"/>
                <w:highlight w:val="none"/>
                <w:lang w:eastAsia="zh-CN"/>
              </w:rPr>
            </w:pPr>
            <w:r>
              <w:rPr>
                <w:rFonts w:ascii="宋体" w:hAnsi="宋体" w:eastAsia="宋体"/>
                <w:color w:val="auto"/>
                <w:highlight w:val="none"/>
              </w:rPr>
              <w:t>电话：</w:t>
            </w:r>
            <w:r>
              <w:rPr>
                <w:rFonts w:hint="eastAsia" w:ascii="宋体" w:hAnsi="宋体" w:eastAsia="宋体"/>
                <w:color w:val="auto"/>
                <w:highlight w:val="none"/>
                <w:lang w:val="en-US" w:eastAsia="zh-CN"/>
              </w:rPr>
              <w:t xml:space="preserve"> </w:t>
            </w:r>
          </w:p>
        </w:tc>
        <w:tc>
          <w:tcPr>
            <w:tcW w:w="4927" w:type="dxa"/>
            <w:noWrap w:val="0"/>
            <w:vAlign w:val="top"/>
          </w:tcPr>
          <w:p w14:paraId="55B51108">
            <w:pPr>
              <w:spacing w:line="360" w:lineRule="auto"/>
              <w:rPr>
                <w:rFonts w:hint="eastAsia" w:ascii="宋体" w:hAnsi="宋体" w:eastAsia="宋体"/>
                <w:color w:val="auto"/>
                <w:highlight w:val="none"/>
                <w:lang w:eastAsia="zh-CN"/>
              </w:rPr>
            </w:pPr>
            <w:r>
              <w:rPr>
                <w:rFonts w:ascii="宋体" w:hAnsi="宋体" w:eastAsia="宋体"/>
                <w:color w:val="auto"/>
                <w:highlight w:val="none"/>
              </w:rPr>
              <w:t>电话：</w:t>
            </w:r>
            <w:r>
              <w:rPr>
                <w:rFonts w:hint="eastAsia" w:ascii="宋体" w:hAnsi="宋体" w:eastAsia="宋体"/>
                <w:color w:val="auto"/>
                <w:highlight w:val="none"/>
                <w:lang w:val="en-US" w:eastAsia="zh-CN"/>
              </w:rPr>
              <w:t xml:space="preserve"> </w:t>
            </w:r>
          </w:p>
        </w:tc>
      </w:tr>
      <w:tr w14:paraId="52A1C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927" w:type="dxa"/>
            <w:noWrap w:val="0"/>
            <w:vAlign w:val="top"/>
          </w:tcPr>
          <w:p w14:paraId="560C0E6D">
            <w:pPr>
              <w:spacing w:line="360" w:lineRule="auto"/>
              <w:rPr>
                <w:rFonts w:hint="eastAsia" w:ascii="宋体" w:hAnsi="宋体" w:eastAsia="宋体"/>
                <w:color w:val="auto"/>
                <w:highlight w:val="none"/>
                <w:lang w:eastAsia="zh-CN"/>
              </w:rPr>
            </w:pPr>
            <w:r>
              <w:rPr>
                <w:rFonts w:ascii="宋体" w:hAnsi="宋体" w:eastAsia="宋体"/>
                <w:color w:val="auto"/>
                <w:highlight w:val="none"/>
              </w:rPr>
              <w:t>地址：</w:t>
            </w:r>
            <w:r>
              <w:rPr>
                <w:rFonts w:hint="eastAsia" w:ascii="宋体" w:hAnsi="宋体" w:eastAsia="宋体"/>
                <w:color w:val="auto"/>
                <w:highlight w:val="none"/>
                <w:lang w:val="en-US" w:eastAsia="zh-CN"/>
              </w:rPr>
              <w:t xml:space="preserve"> </w:t>
            </w:r>
          </w:p>
        </w:tc>
        <w:tc>
          <w:tcPr>
            <w:tcW w:w="4927" w:type="dxa"/>
            <w:noWrap w:val="0"/>
            <w:vAlign w:val="top"/>
          </w:tcPr>
          <w:p w14:paraId="0D9B84A2">
            <w:pPr>
              <w:spacing w:line="360" w:lineRule="auto"/>
              <w:rPr>
                <w:rFonts w:hint="eastAsia" w:ascii="宋体" w:hAnsi="宋体" w:eastAsia="宋体"/>
                <w:color w:val="auto"/>
                <w:highlight w:val="none"/>
                <w:lang w:eastAsia="zh-CN"/>
              </w:rPr>
            </w:pPr>
            <w:r>
              <w:rPr>
                <w:rFonts w:ascii="宋体" w:hAnsi="宋体" w:eastAsia="宋体"/>
                <w:color w:val="auto"/>
                <w:highlight w:val="none"/>
              </w:rPr>
              <w:t>地址：</w:t>
            </w:r>
            <w:r>
              <w:rPr>
                <w:rFonts w:hint="eastAsia" w:ascii="宋体" w:hAnsi="宋体" w:eastAsia="宋体"/>
                <w:color w:val="auto"/>
                <w:highlight w:val="none"/>
                <w:lang w:val="en-US" w:eastAsia="zh-CN"/>
              </w:rPr>
              <w:t xml:space="preserve"> </w:t>
            </w:r>
          </w:p>
        </w:tc>
      </w:tr>
      <w:tr w14:paraId="18D93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927" w:type="dxa"/>
            <w:noWrap w:val="0"/>
            <w:vAlign w:val="top"/>
          </w:tcPr>
          <w:p w14:paraId="44003E79">
            <w:pPr>
              <w:spacing w:line="360" w:lineRule="auto"/>
              <w:rPr>
                <w:rFonts w:hint="eastAsia" w:ascii="宋体" w:hAnsi="宋体" w:eastAsia="宋体"/>
                <w:color w:val="auto"/>
                <w:highlight w:val="none"/>
              </w:rPr>
            </w:pPr>
          </w:p>
          <w:p w14:paraId="1DF4A78C">
            <w:pPr>
              <w:spacing w:line="360" w:lineRule="auto"/>
              <w:jc w:val="center"/>
              <w:rPr>
                <w:rFonts w:ascii="宋体" w:hAnsi="宋体" w:eastAsia="宋体"/>
                <w:color w:val="auto"/>
                <w:highlight w:val="none"/>
              </w:rPr>
            </w:pPr>
            <w:r>
              <w:rPr>
                <w:rFonts w:hint="eastAsia" w:ascii="宋体" w:hAnsi="宋体" w:eastAsia="宋体"/>
                <w:color w:val="auto"/>
                <w:highlight w:val="none"/>
              </w:rPr>
              <w:t>年    月    日</w:t>
            </w:r>
          </w:p>
        </w:tc>
        <w:tc>
          <w:tcPr>
            <w:tcW w:w="4927" w:type="dxa"/>
            <w:noWrap w:val="0"/>
            <w:vAlign w:val="top"/>
          </w:tcPr>
          <w:p w14:paraId="3A1EBBE8">
            <w:pPr>
              <w:spacing w:line="360" w:lineRule="auto"/>
              <w:rPr>
                <w:rFonts w:hint="eastAsia" w:ascii="宋体" w:hAnsi="宋体" w:eastAsia="宋体"/>
                <w:color w:val="auto"/>
                <w:highlight w:val="none"/>
              </w:rPr>
            </w:pPr>
          </w:p>
          <w:p w14:paraId="463BF0B2">
            <w:pPr>
              <w:spacing w:line="360" w:lineRule="auto"/>
              <w:jc w:val="center"/>
              <w:rPr>
                <w:rFonts w:ascii="宋体" w:hAnsi="宋体" w:eastAsia="宋体"/>
                <w:color w:val="auto"/>
                <w:highlight w:val="none"/>
              </w:rPr>
            </w:pPr>
            <w:r>
              <w:rPr>
                <w:rFonts w:hint="eastAsia" w:ascii="宋体" w:hAnsi="宋体" w:eastAsia="宋体"/>
                <w:color w:val="auto"/>
                <w:highlight w:val="none"/>
              </w:rPr>
              <w:t>年    月    日</w:t>
            </w:r>
          </w:p>
        </w:tc>
      </w:tr>
    </w:tbl>
    <w:p w14:paraId="2E51EFA0">
      <w:pPr>
        <w:pStyle w:val="3"/>
        <w:pageBreakBefore w:val="0"/>
        <w:numPr>
          <w:ilvl w:val="0"/>
          <w:numId w:val="0"/>
        </w:numPr>
        <w:kinsoku/>
        <w:wordWrap/>
        <w:overflowPunct/>
        <w:topLinePunct w:val="0"/>
        <w:bidi w:val="0"/>
        <w:spacing w:before="0" w:after="0" w:line="360" w:lineRule="auto"/>
        <w:jc w:val="left"/>
        <w:rPr>
          <w:rFonts w:hint="eastAsia" w:ascii="宋体" w:hAnsi="宋体" w:eastAsia="宋体" w:cs="宋体"/>
          <w:b w:val="0"/>
          <w:bCs w:val="0"/>
          <w:color w:val="auto"/>
          <w:sz w:val="24"/>
          <w:szCs w:val="24"/>
          <w:highlight w:val="none"/>
        </w:rPr>
        <w:sectPr>
          <w:pgSz w:w="11907" w:h="16840"/>
          <w:pgMar w:top="1247" w:right="1361" w:bottom="1247" w:left="1474" w:header="851" w:footer="851" w:gutter="0"/>
          <w:pgNumType w:fmt="decimal"/>
          <w:cols w:space="720" w:num="1"/>
          <w:docGrid w:type="lines" w:linePitch="312" w:charSpace="0"/>
        </w:sectPr>
      </w:pPr>
    </w:p>
    <w:p w14:paraId="4D13AD58">
      <w:pPr>
        <w:pageBreakBefore w:val="0"/>
        <w:numPr>
          <w:ilvl w:val="0"/>
          <w:numId w:val="0"/>
        </w:numPr>
        <w:kinsoku/>
        <w:wordWrap/>
        <w:overflowPunct/>
        <w:topLinePunct w:val="0"/>
        <w:bidi w:val="0"/>
        <w:spacing w:before="0" w:after="0" w:line="360" w:lineRule="auto"/>
        <w:jc w:val="left"/>
        <w:outlineLvl w:val="9"/>
        <w:rPr>
          <w:color w:val="auto"/>
          <w:highlight w:val="none"/>
        </w:rPr>
      </w:pPr>
      <w:r>
        <w:rPr>
          <w:rFonts w:hint="eastAsia" w:ascii="宋体" w:hAnsi="宋体" w:eastAsia="宋体" w:cs="宋体"/>
          <w:b w:val="0"/>
          <w:bCs w:val="0"/>
          <w:color w:val="auto"/>
          <w:sz w:val="24"/>
          <w:szCs w:val="24"/>
          <w:highlight w:val="none"/>
        </w:rPr>
        <w:t>合同附件01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廉政协议</w:t>
      </w:r>
    </w:p>
    <w:p w14:paraId="12DF0E4E">
      <w:pPr>
        <w:pageBreakBefore w:val="0"/>
        <w:tabs>
          <w:tab w:val="left" w:pos="315"/>
        </w:tabs>
        <w:kinsoku/>
        <w:wordWrap/>
        <w:overflowPunct/>
        <w:topLinePunct w:val="0"/>
        <w:bidi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廉洁协议</w:t>
      </w:r>
    </w:p>
    <w:p w14:paraId="74F3F5C3">
      <w:pPr>
        <w:pageBreakBefore w:val="0"/>
        <w:tabs>
          <w:tab w:val="left" w:pos="315"/>
        </w:tabs>
        <w:kinsoku/>
        <w:wordWrap/>
        <w:overflowPunct/>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为在工程建设中保持廉洁自律的工作作风，防止甲方的工作人员在工作中的不正之风和腐败现象的发生，根据国家有关法律、法规的规定，经双方协商一致制定本协议，供双方共同遵守。</w:t>
      </w:r>
    </w:p>
    <w:p w14:paraId="66DDA38E">
      <w:pPr>
        <w:pageBreakBefore w:val="0"/>
        <w:tabs>
          <w:tab w:val="left" w:pos="315"/>
        </w:tabs>
        <w:kinsoku/>
        <w:wordWrap/>
        <w:overflowPunct/>
        <w:topLinePunct w:val="0"/>
        <w:autoSpaceDE w:val="0"/>
        <w:autoSpaceDN w:val="0"/>
        <w:bidi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一、甲乙双方应当自觉遵守国家、省、市有关廉政建设的各项规定。</w:t>
      </w:r>
    </w:p>
    <w:p w14:paraId="46C83981">
      <w:pPr>
        <w:pageBreakBefore w:val="0"/>
        <w:tabs>
          <w:tab w:val="left" w:pos="315"/>
        </w:tabs>
        <w:kinsoku/>
        <w:wordWrap/>
        <w:overflowPunct/>
        <w:topLinePunct w:val="0"/>
        <w:autoSpaceDE w:val="0"/>
        <w:autoSpaceDN w:val="0"/>
        <w:bidi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二、甲方及其工作人员不得以任何形式向乙方索要和收受回扣等好处费。</w:t>
      </w:r>
    </w:p>
    <w:p w14:paraId="286043BB">
      <w:pPr>
        <w:pageBreakBefore w:val="0"/>
        <w:tabs>
          <w:tab w:val="left" w:pos="315"/>
        </w:tabs>
        <w:kinsoku/>
        <w:wordWrap/>
        <w:overflowPunct/>
        <w:topLinePunct w:val="0"/>
        <w:autoSpaceDE w:val="0"/>
        <w:autoSpaceDN w:val="0"/>
        <w:bidi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三、甲方工作人员应当保持与乙方的正常业务交往，不得接受乙方的礼金、有价证券和贵重物品，不得在乙方报销任何应当由个人支付的费用。</w:t>
      </w:r>
    </w:p>
    <w:p w14:paraId="3D71D252">
      <w:pPr>
        <w:pageBreakBefore w:val="0"/>
        <w:tabs>
          <w:tab w:val="left" w:pos="315"/>
        </w:tabs>
        <w:kinsoku/>
        <w:wordWrap/>
        <w:overflowPunct/>
        <w:topLinePunct w:val="0"/>
        <w:autoSpaceDE w:val="0"/>
        <w:autoSpaceDN w:val="0"/>
        <w:bidi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四、甲方工作人员不得参加可能对公正执行职务有影响的宴请和娱乐活动。</w:t>
      </w:r>
    </w:p>
    <w:p w14:paraId="2CD731A4">
      <w:pPr>
        <w:pageBreakBefore w:val="0"/>
        <w:tabs>
          <w:tab w:val="left" w:pos="315"/>
        </w:tabs>
        <w:kinsoku/>
        <w:wordWrap/>
        <w:overflowPunct/>
        <w:topLinePunct w:val="0"/>
        <w:autoSpaceDE w:val="0"/>
        <w:autoSpaceDN w:val="0"/>
        <w:bidi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五、甲方工作人员不得要求和接受乙方为其住房装修、婚丧嫁娶、家属和子女的工作安排等提供方便。</w:t>
      </w:r>
    </w:p>
    <w:p w14:paraId="7FFD2EEE">
      <w:pPr>
        <w:pageBreakBefore w:val="0"/>
        <w:tabs>
          <w:tab w:val="left" w:pos="315"/>
        </w:tabs>
        <w:kinsoku/>
        <w:wordWrap/>
        <w:overflowPunct/>
        <w:topLinePunct w:val="0"/>
        <w:autoSpaceDE w:val="0"/>
        <w:autoSpaceDN w:val="0"/>
        <w:bidi w:val="0"/>
        <w:adjustRightIn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六、乙方及其工作人员不得利用向甲方单位及其工作人员行贿、提供回扣或者</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好处等不正当手段获得签订合同的机会。</w:t>
      </w:r>
    </w:p>
    <w:p w14:paraId="40243055">
      <w:pPr>
        <w:pageBreakBefore w:val="0"/>
        <w:tabs>
          <w:tab w:val="left" w:pos="315"/>
        </w:tabs>
        <w:kinsoku/>
        <w:wordWrap/>
        <w:overflowPunct/>
        <w:topLinePunct w:val="0"/>
        <w:autoSpaceDE w:val="0"/>
        <w:autoSpaceDN w:val="0"/>
        <w:bidi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七、乙方不得为谋取私利擅自与甲方工作人员就工程承包、工程费用、材料设备供应、工程量变更、工程验收、工程质量问题处理等进行私下商谈或者达成默契。</w:t>
      </w:r>
    </w:p>
    <w:p w14:paraId="69A5A95B">
      <w:pPr>
        <w:pageBreakBefore w:val="0"/>
        <w:tabs>
          <w:tab w:val="left" w:pos="315"/>
        </w:tabs>
        <w:kinsoku/>
        <w:wordWrap/>
        <w:overflowPunct/>
        <w:topLinePunct w:val="0"/>
        <w:autoSpaceDE w:val="0"/>
        <w:autoSpaceDN w:val="0"/>
        <w:bidi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八、乙方不得以洽谈业务、签订经济合同为借口，邀请甲方工作人员外出旅游和进入营业性高档娱乐场所。</w:t>
      </w:r>
    </w:p>
    <w:p w14:paraId="1E772AED">
      <w:pPr>
        <w:pageBreakBefore w:val="0"/>
        <w:tabs>
          <w:tab w:val="left" w:pos="315"/>
        </w:tabs>
        <w:kinsoku/>
        <w:wordWrap/>
        <w:overflowPunct/>
        <w:topLinePunct w:val="0"/>
        <w:autoSpaceDE w:val="0"/>
        <w:autoSpaceDN w:val="0"/>
        <w:bidi w:val="0"/>
        <w:adjustRightIn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九、乙方如发现甲方工作人员有违反上述协议者，应向甲方单位领导或纪检监察、检察机关举报。甲方对举报属实和严格遵守廉洁协议的乙方，在同等条件下给予进一步合作的优先权。</w:t>
      </w:r>
    </w:p>
    <w:p w14:paraId="424340D1">
      <w:pPr>
        <w:pageBreakBefore w:val="0"/>
        <w:tabs>
          <w:tab w:val="left" w:pos="315"/>
        </w:tabs>
        <w:kinsoku/>
        <w:wordWrap/>
        <w:overflowPunct/>
        <w:topLinePunct w:val="0"/>
        <w:autoSpaceDE w:val="0"/>
        <w:autoSpaceDN w:val="0"/>
        <w:bidi w:val="0"/>
        <w:adjustRightIn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十、基于甲、乙双方诚信的前提下，若发生甲方实际支付款项多于应付款项</w:t>
      </w:r>
      <w:r>
        <w:rPr>
          <w:rFonts w:hint="eastAsia" w:ascii="宋体" w:hAnsi="宋体" w:eastAsia="宋体" w:cs="宋体"/>
          <w:color w:val="auto"/>
          <w:sz w:val="21"/>
          <w:szCs w:val="21"/>
          <w:highlight w:val="none"/>
          <w:lang w:val="en-US" w:eastAsia="zh-Hans"/>
        </w:rPr>
        <w:t>的情况</w:t>
      </w:r>
      <w:r>
        <w:rPr>
          <w:rFonts w:hint="eastAsia" w:ascii="宋体" w:hAnsi="宋体" w:eastAsia="宋体" w:cs="宋体"/>
          <w:color w:val="auto"/>
          <w:sz w:val="21"/>
          <w:szCs w:val="21"/>
          <w:highlight w:val="none"/>
        </w:rPr>
        <w:t>，乙方需及时告知甲方财务，若未及时告知甲方，甲方可延迟支付款项或不再合作。</w:t>
      </w:r>
    </w:p>
    <w:p w14:paraId="1E5CED8A">
      <w:pPr>
        <w:pageBreakBefore w:val="0"/>
        <w:tabs>
          <w:tab w:val="left" w:pos="315"/>
        </w:tabs>
        <w:kinsoku/>
        <w:wordWrap/>
        <w:overflowPunct/>
        <w:topLinePunct w:val="0"/>
        <w:autoSpaceDE w:val="0"/>
        <w:autoSpaceDN w:val="0"/>
        <w:bidi w:val="0"/>
        <w:adjustRightIn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甲方发现乙方有违反本协议或者采取不正当的手段行贿甲方工作人员，甲方有权要求乙方按已送货物总额的30%或合同总金额的30%或其行贿价额的10倍金额支付违约金，且有权从任一期应付款项中扣除，并延付货款或工程款三年，由此给甲方单位造成的损失均由乙方承担。乙方在履行合同过程中贿赂甲方工作人员，被纪检监察</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司法机关立案查处的，甲方有权</w:t>
      </w:r>
      <w:r>
        <w:rPr>
          <w:rFonts w:hint="eastAsia" w:ascii="宋体" w:hAnsi="宋体" w:eastAsia="宋体" w:cs="宋体"/>
          <w:color w:val="auto"/>
          <w:sz w:val="21"/>
          <w:szCs w:val="21"/>
          <w:highlight w:val="none"/>
          <w:lang w:eastAsia="zh-CN"/>
        </w:rPr>
        <w:t>终止</w:t>
      </w:r>
      <w:r>
        <w:rPr>
          <w:rFonts w:hint="eastAsia" w:ascii="宋体" w:hAnsi="宋体" w:eastAsia="宋体" w:cs="宋体"/>
          <w:color w:val="auto"/>
          <w:sz w:val="21"/>
          <w:szCs w:val="21"/>
          <w:highlight w:val="none"/>
        </w:rPr>
        <w:t>合同或协议，由此造成甲方损失的（包括但不限于律师费、诉讼费）均由乙方承担。</w:t>
      </w:r>
    </w:p>
    <w:p w14:paraId="0CD1F5C5">
      <w:pPr>
        <w:pageBreakBefore w:val="0"/>
        <w:tabs>
          <w:tab w:val="left" w:pos="315"/>
        </w:tabs>
        <w:kinsoku/>
        <w:wordWrap/>
        <w:overflowPunct/>
        <w:topLinePunct w:val="0"/>
        <w:autoSpaceDE w:val="0"/>
        <w:autoSpaceDN w:val="0"/>
        <w:bidi w:val="0"/>
        <w:adjustRightIn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十二、本廉洁协议是甲乙双方所签订的合同附件，作为甲乙双方的行为规范，应共同遵守。</w:t>
      </w:r>
    </w:p>
    <w:p w14:paraId="16C7EBB0">
      <w:pPr>
        <w:pageBreakBefore w:val="0"/>
        <w:tabs>
          <w:tab w:val="left" w:pos="315"/>
        </w:tabs>
        <w:kinsoku/>
        <w:wordWrap/>
        <w:overflowPunct/>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十三、本协议自主合同生效之日起生效，在主合同履行完毕并经考核后自动终止。</w:t>
      </w:r>
    </w:p>
    <w:p w14:paraId="1FDF6963">
      <w:pPr>
        <w:pageBreakBefore w:val="0"/>
        <w:tabs>
          <w:tab w:val="left" w:pos="315"/>
        </w:tabs>
        <w:kinsoku/>
        <w:wordWrap/>
        <w:overflowPunct/>
        <w:topLinePunct w:val="0"/>
        <w:bidi w:val="0"/>
        <w:spacing w:line="360" w:lineRule="auto"/>
        <w:ind w:firstLine="420" w:firstLineChars="200"/>
        <w:rPr>
          <w:rFonts w:hint="eastAsia" w:ascii="宋体" w:hAnsi="宋体" w:eastAsia="宋体" w:cs="宋体"/>
          <w:color w:val="auto"/>
          <w:sz w:val="21"/>
          <w:szCs w:val="21"/>
          <w:highlight w:val="none"/>
        </w:rPr>
      </w:pPr>
    </w:p>
    <w:p w14:paraId="3E9B3E84">
      <w:pPr>
        <w:pageBreakBefore w:val="0"/>
        <w:tabs>
          <w:tab w:val="left" w:pos="315"/>
        </w:tabs>
        <w:kinsoku/>
        <w:wordWrap/>
        <w:overflowPunct/>
        <w:topLinePunct w:val="0"/>
        <w:bidi w:val="0"/>
        <w:spacing w:line="360" w:lineRule="auto"/>
        <w:ind w:left="5500" w:hanging="5250" w:hangingChars="2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                                 乙方：  </w:t>
      </w:r>
    </w:p>
    <w:p w14:paraId="78042721">
      <w:pPr>
        <w:pageBreakBefore w:val="0"/>
        <w:tabs>
          <w:tab w:val="left" w:pos="4305"/>
        </w:tabs>
        <w:kinsoku/>
        <w:wordWrap/>
        <w:overflowPunct/>
        <w:topLinePunct w:val="0"/>
        <w:bidi w:val="0"/>
        <w:spacing w:line="360" w:lineRule="auto"/>
        <w:rPr>
          <w:rFonts w:hint="eastAsia" w:ascii="宋体" w:hAnsi="宋体" w:eastAsia="宋体" w:cs="宋体"/>
          <w:color w:val="auto"/>
          <w:sz w:val="21"/>
          <w:szCs w:val="21"/>
          <w:highlight w:val="none"/>
        </w:rPr>
      </w:pPr>
    </w:p>
    <w:p w14:paraId="6E90A78A">
      <w:pPr>
        <w:pageBreakBefore w:val="0"/>
        <w:tabs>
          <w:tab w:val="left" w:pos="4305"/>
        </w:tabs>
        <w:kinsoku/>
        <w:wordWrap/>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甲方代表（签名）：                     乙方代表（签名）：</w:t>
      </w:r>
    </w:p>
    <w:p w14:paraId="5CC3FEA5">
      <w:pPr>
        <w:pageBreakBefore w:val="0"/>
        <w:tabs>
          <w:tab w:val="left" w:pos="315"/>
        </w:tabs>
        <w:kinsoku/>
        <w:wordWrap/>
        <w:overflowPunct/>
        <w:topLinePunct w:val="0"/>
        <w:bidi w:val="0"/>
        <w:spacing w:line="360" w:lineRule="auto"/>
        <w:rPr>
          <w:rFonts w:hint="eastAsia" w:ascii="宋体" w:hAnsi="宋体" w:eastAsia="宋体" w:cs="宋体"/>
          <w:color w:val="auto"/>
          <w:sz w:val="21"/>
          <w:szCs w:val="21"/>
          <w:highlight w:val="none"/>
        </w:rPr>
      </w:pPr>
    </w:p>
    <w:p w14:paraId="3DA625DE">
      <w:pPr>
        <w:pageBreakBefore w:val="0"/>
        <w:tabs>
          <w:tab w:val="left" w:pos="315"/>
        </w:tabs>
        <w:kinsoku/>
        <w:wordWrap/>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     年   月   日            签约日期：  年   月   日</w:t>
      </w:r>
    </w:p>
    <w:p w14:paraId="5B0C3525">
      <w:pPr>
        <w:pageBreakBefore w:val="0"/>
        <w:tabs>
          <w:tab w:val="left" w:pos="315"/>
        </w:tabs>
        <w:kinsoku/>
        <w:wordWrap/>
        <w:overflowPunct/>
        <w:topLinePunct w:val="0"/>
        <w:bidi w:val="0"/>
        <w:spacing w:line="360" w:lineRule="auto"/>
        <w:rPr>
          <w:color w:val="auto"/>
          <w:highlight w:val="none"/>
        </w:rPr>
      </w:pPr>
      <w:bookmarkStart w:id="1" w:name="_Toc3306840"/>
      <w:bookmarkStart w:id="2" w:name="_Toc5175385"/>
      <w:r>
        <w:rPr>
          <w:rFonts w:hint="eastAsia" w:ascii="Calibri" w:hAnsi="Calibri" w:cs="Times New Roman"/>
          <w:b w:val="0"/>
          <w:bCs w:val="0"/>
          <w:color w:val="auto"/>
          <w:sz w:val="24"/>
          <w:szCs w:val="24"/>
          <w:highlight w:val="none"/>
        </w:rPr>
        <w:br w:type="page"/>
      </w:r>
      <w:r>
        <w:rPr>
          <w:rFonts w:hint="eastAsia" w:ascii="宋体" w:hAnsi="宋体" w:eastAsia="宋体" w:cs="宋体"/>
          <w:b w:val="0"/>
          <w:bCs w:val="0"/>
          <w:color w:val="auto"/>
          <w:sz w:val="24"/>
          <w:szCs w:val="24"/>
          <w:highlight w:val="none"/>
        </w:rPr>
        <w:t>合同附件02</w:t>
      </w:r>
      <w:bookmarkEnd w:id="1"/>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安全生产协议书</w:t>
      </w:r>
      <w:bookmarkEnd w:id="2"/>
    </w:p>
    <w:p w14:paraId="61209C9C">
      <w:pPr>
        <w:pageBreakBefore w:val="0"/>
        <w:tabs>
          <w:tab w:val="left" w:pos="315"/>
        </w:tabs>
        <w:kinsoku/>
        <w:wordWrap/>
        <w:overflowPunct/>
        <w:topLinePunct w:val="0"/>
        <w:bidi w:val="0"/>
        <w:spacing w:afterLines="50" w:line="360" w:lineRule="auto"/>
        <w:ind w:firstLine="562" w:firstLineChars="200"/>
        <w:jc w:val="center"/>
        <w:rPr>
          <w:rFonts w:ascii="宋体" w:hAnsi="宋体"/>
          <w:b/>
          <w:color w:val="auto"/>
          <w:sz w:val="28"/>
          <w:szCs w:val="28"/>
          <w:highlight w:val="none"/>
        </w:rPr>
      </w:pPr>
      <w:r>
        <w:rPr>
          <w:rFonts w:hint="eastAsia" w:ascii="宋体" w:hAnsi="宋体"/>
          <w:b/>
          <w:color w:val="auto"/>
          <w:sz w:val="28"/>
          <w:szCs w:val="28"/>
          <w:highlight w:val="none"/>
        </w:rPr>
        <w:t>安全生产协议书</w:t>
      </w:r>
    </w:p>
    <w:p w14:paraId="3ED77A68">
      <w:pPr>
        <w:pageBreakBefore w:val="0"/>
        <w:tabs>
          <w:tab w:val="left" w:pos="315"/>
        </w:tabs>
        <w:kinsoku/>
        <w:wordWrap/>
        <w:overflowPunct/>
        <w:topLinePunct w:val="0"/>
        <w:autoSpaceDE w:val="0"/>
        <w:autoSpaceDN w:val="0"/>
        <w:bidi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一、协议目的</w:t>
      </w:r>
    </w:p>
    <w:p w14:paraId="3BC6071D">
      <w:pPr>
        <w:pageBreakBefore w:val="0"/>
        <w:tabs>
          <w:tab w:val="left" w:pos="315"/>
        </w:tabs>
        <w:kinsoku/>
        <w:wordWrap/>
        <w:overflowPunct/>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为贯彻“安全第一，预防为主、综合治理”</w:t>
      </w:r>
      <w:r>
        <w:rPr>
          <w:rFonts w:hint="eastAsia" w:ascii="宋体" w:hAnsi="宋体" w:eastAsia="宋体" w:cs="宋体"/>
          <w:color w:val="auto"/>
          <w:sz w:val="21"/>
          <w:szCs w:val="21"/>
          <w:highlight w:val="none"/>
          <w:lang w:val="en-US" w:eastAsia="zh-Hans"/>
        </w:rPr>
        <w:t>和</w:t>
      </w:r>
      <w:r>
        <w:rPr>
          <w:rFonts w:hint="eastAsia" w:ascii="宋体" w:hAnsi="宋体" w:eastAsia="宋体" w:cs="宋体"/>
          <w:color w:val="auto"/>
          <w:sz w:val="21"/>
          <w:szCs w:val="21"/>
          <w:highlight w:val="none"/>
        </w:rPr>
        <w:t>“防治污染、保护环境”的方针，根据国家有关法律、法规，</w:t>
      </w:r>
      <w:r>
        <w:rPr>
          <w:rFonts w:hint="eastAsia" w:ascii="宋体" w:hAnsi="宋体" w:eastAsia="宋体" w:cs="宋体"/>
          <w:color w:val="auto"/>
          <w:sz w:val="21"/>
          <w:szCs w:val="21"/>
          <w:highlight w:val="none"/>
          <w:lang w:val="en-US" w:eastAsia="zh-Hans"/>
        </w:rPr>
        <w:t>为</w:t>
      </w:r>
      <w:r>
        <w:rPr>
          <w:rFonts w:hint="eastAsia" w:ascii="宋体" w:hAnsi="宋体" w:eastAsia="宋体" w:cs="宋体"/>
          <w:color w:val="auto"/>
          <w:sz w:val="21"/>
          <w:szCs w:val="21"/>
          <w:highlight w:val="none"/>
        </w:rPr>
        <w:t>明确双方的安全生产和环保责任，确保施工安全、减少对环境的污染，双方在签订工程项目承包合同时，签订本协议。</w:t>
      </w:r>
    </w:p>
    <w:p w14:paraId="6ED08BE2">
      <w:pPr>
        <w:pageBreakBefore w:val="0"/>
        <w:tabs>
          <w:tab w:val="left" w:pos="315"/>
        </w:tabs>
        <w:kinsoku/>
        <w:wordWrap/>
        <w:overflowPunct/>
        <w:topLinePunct w:val="0"/>
        <w:autoSpaceDE w:val="0"/>
        <w:autoSpaceDN w:val="0"/>
        <w:bidi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二、协议内容</w:t>
      </w:r>
    </w:p>
    <w:p w14:paraId="4C40194E">
      <w:pPr>
        <w:pageBreakBefore w:val="0"/>
        <w:tabs>
          <w:tab w:val="left" w:pos="315"/>
        </w:tabs>
        <w:kinsoku/>
        <w:wordWrap/>
        <w:overflowPunct/>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1、甲乙双方必须认真贯彻国家、地方各级政府、相关主管部门颁发的有关安全生产、职业健康、消防和环保工作的方针、政策、法规、标准、条例。</w:t>
      </w:r>
    </w:p>
    <w:p w14:paraId="68E20C02">
      <w:pPr>
        <w:pageBreakBefore w:val="0"/>
        <w:tabs>
          <w:tab w:val="left" w:pos="315"/>
        </w:tabs>
        <w:kinsoku/>
        <w:wordWrap/>
        <w:overflowPunct/>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2、甲乙双方要建立各级安全生产岗位责任制及安全检查制度、安全教育制度等相应的安全管理制度，各工种要有安全操作规程，特种作业人员要持证上岗。</w:t>
      </w:r>
    </w:p>
    <w:p w14:paraId="3D21037B">
      <w:pPr>
        <w:pageBreakBefore w:val="0"/>
        <w:tabs>
          <w:tab w:val="left" w:pos="315"/>
        </w:tabs>
        <w:kinsoku/>
        <w:wordWrap/>
        <w:overflowPunct/>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3、双方要明确该工程项目的施工、安全负责人。</w:t>
      </w:r>
    </w:p>
    <w:p w14:paraId="68215791">
      <w:pPr>
        <w:pageBreakBefore w:val="0"/>
        <w:tabs>
          <w:tab w:val="left" w:pos="315"/>
        </w:tabs>
        <w:kinsoku/>
        <w:wordWrap/>
        <w:overflowPunct/>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4、乙方所有人员必须在甲方项目部登记并办理工作证，无证严禁出入工地及生活区。</w:t>
      </w:r>
    </w:p>
    <w:p w14:paraId="1A75DA66">
      <w:pPr>
        <w:pageBreakBefore w:val="0"/>
        <w:tabs>
          <w:tab w:val="left" w:pos="315"/>
        </w:tabs>
        <w:kinsoku/>
        <w:wordWrap/>
        <w:overflowPunct/>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5、乙方所有人员</w:t>
      </w:r>
      <w:r>
        <w:rPr>
          <w:rFonts w:hint="eastAsia" w:ascii="宋体" w:hAnsi="宋体" w:eastAsia="宋体" w:cs="宋体"/>
          <w:color w:val="auto"/>
          <w:sz w:val="21"/>
          <w:szCs w:val="21"/>
          <w:highlight w:val="none"/>
          <w:lang w:val="en-US" w:eastAsia="zh-Hans"/>
        </w:rPr>
        <w:t>需</w:t>
      </w:r>
      <w:r>
        <w:rPr>
          <w:rFonts w:hint="eastAsia" w:ascii="宋体" w:hAnsi="宋体" w:eastAsia="宋体" w:cs="宋体"/>
          <w:color w:val="auto"/>
          <w:sz w:val="21"/>
          <w:szCs w:val="21"/>
          <w:highlight w:val="none"/>
        </w:rPr>
        <w:t>在施工前进行安全教育，教育合格后方可上岗，并应做好相关记录。同时，应参加甲方组织的安全教育。</w:t>
      </w:r>
    </w:p>
    <w:p w14:paraId="06CAEF0E">
      <w:pPr>
        <w:pageBreakBefore w:val="0"/>
        <w:tabs>
          <w:tab w:val="left" w:pos="315"/>
        </w:tabs>
        <w:kinsoku/>
        <w:wordWrap/>
        <w:overflowPunct/>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6、乙方的施工应确保污染排放不超标，无重大环境投诉，不得采用国家或地方禁止使用的生产工艺与施工设备。</w:t>
      </w:r>
    </w:p>
    <w:p w14:paraId="14B9D22B">
      <w:pPr>
        <w:pageBreakBefore w:val="0"/>
        <w:tabs>
          <w:tab w:val="left" w:pos="315"/>
        </w:tabs>
        <w:kinsoku/>
        <w:wordWrap/>
        <w:overflowPunct/>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7、乙方设置职工生活设施时，必须符合卫生、通风、照明等要求，职工的膳食饮水供应符合卫生要求。禁止乙方施工人员在施工现场生火煮食；注意消除烟头、火种、易燃物品等消防隐患。</w:t>
      </w:r>
    </w:p>
    <w:p w14:paraId="725D23D5">
      <w:pPr>
        <w:pageBreakBefore w:val="0"/>
        <w:tabs>
          <w:tab w:val="left" w:pos="315"/>
        </w:tabs>
        <w:kinsoku/>
        <w:wordWrap/>
        <w:overflowPunct/>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8、乙方对现场安全施工、职工生活设施、周围环境保护达不到规定要求的，所产生的一切费用及罚款由乙方负责。</w:t>
      </w:r>
    </w:p>
    <w:p w14:paraId="7DC81797">
      <w:pPr>
        <w:pageBreakBefore w:val="0"/>
        <w:tabs>
          <w:tab w:val="left" w:pos="315"/>
        </w:tabs>
        <w:kinsoku/>
        <w:wordWrap/>
        <w:overflowPunct/>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9、禁止乙方施工人员在工地内打架、闹事、赌博，一经发现即报公安部门处理。</w:t>
      </w:r>
    </w:p>
    <w:p w14:paraId="2D54B00A">
      <w:pPr>
        <w:pageBreakBefore w:val="0"/>
        <w:tabs>
          <w:tab w:val="left" w:pos="315"/>
        </w:tabs>
        <w:kinsoku/>
        <w:wordWrap/>
        <w:overflowPunct/>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10、禁止施工人员在施工现场住宿。</w:t>
      </w:r>
    </w:p>
    <w:p w14:paraId="2A163C41">
      <w:pPr>
        <w:pageBreakBefore w:val="0"/>
        <w:tabs>
          <w:tab w:val="left" w:pos="315"/>
        </w:tabs>
        <w:kinsoku/>
        <w:wordWrap/>
        <w:overflowPunct/>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乙方施工人员必须安全用电，在施工现场内不准乱拉、乱接电线；禁止使用不符合标准的施工机具、电器；如发现漏电现象，应及时处理。乙方应自带符合容量要求和质量合格的分配电箱和开关箱(带漏电保护器)，并派持证专职电工一名</w:t>
      </w:r>
      <w:r>
        <w:rPr>
          <w:rFonts w:hint="eastAsia" w:ascii="宋体" w:hAnsi="宋体" w:eastAsia="宋体" w:cs="宋体"/>
          <w:color w:val="auto"/>
          <w:sz w:val="21"/>
          <w:szCs w:val="21"/>
          <w:highlight w:val="none"/>
          <w:lang w:eastAsia="zh-CN"/>
        </w:rPr>
        <w:t>常驻</w:t>
      </w:r>
      <w:r>
        <w:rPr>
          <w:rFonts w:hint="eastAsia" w:ascii="宋体" w:hAnsi="宋体" w:eastAsia="宋体" w:cs="宋体"/>
          <w:color w:val="auto"/>
          <w:sz w:val="21"/>
          <w:szCs w:val="21"/>
          <w:highlight w:val="none"/>
        </w:rPr>
        <w:t>工地。</w:t>
      </w:r>
    </w:p>
    <w:p w14:paraId="161EBF2A">
      <w:pPr>
        <w:pageBreakBefore w:val="0"/>
        <w:tabs>
          <w:tab w:val="left" w:pos="315"/>
        </w:tabs>
        <w:kinsoku/>
        <w:wordWrap/>
        <w:overflowPunct/>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12、不得在施工现场内大、小便，否则甲方有权每个位置每次扣罚乙方50元。如几个班组同时施工无法明确责任班组时，由各班组平均分摊。此款可以在工程款中扣除。</w:t>
      </w:r>
    </w:p>
    <w:p w14:paraId="57BD21F3">
      <w:pPr>
        <w:pageBreakBefore w:val="0"/>
        <w:tabs>
          <w:tab w:val="left" w:pos="315"/>
        </w:tabs>
        <w:kinsoku/>
        <w:wordWrap/>
        <w:overflowPunct/>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13、政府相关部门收取的乙方工人暂住证手续费和劳务管理费由乙方自行负责。</w:t>
      </w:r>
    </w:p>
    <w:p w14:paraId="0C599C52">
      <w:pPr>
        <w:pageBreakBefore w:val="0"/>
        <w:tabs>
          <w:tab w:val="left" w:pos="315"/>
        </w:tabs>
        <w:kinsoku/>
        <w:wordWrap/>
        <w:overflowPunct/>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14、乙方施工作业前必须办理下列手续：</w:t>
      </w:r>
    </w:p>
    <w:p w14:paraId="3B33ECCD">
      <w:pPr>
        <w:pageBreakBefore w:val="0"/>
        <w:tabs>
          <w:tab w:val="left" w:pos="315"/>
        </w:tabs>
        <w:kinsoku/>
        <w:wordWrap/>
        <w:overflowPunct/>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14.1施工如需动火，必须申请办理《用火作业许可证》</w:t>
      </w:r>
    </w:p>
    <w:p w14:paraId="1459CE38">
      <w:pPr>
        <w:pageBreakBefore w:val="0"/>
        <w:tabs>
          <w:tab w:val="left" w:pos="315"/>
        </w:tabs>
        <w:kinsoku/>
        <w:wordWrap/>
        <w:overflowPunct/>
        <w:topLinePunct w:val="0"/>
        <w:autoSpaceDE w:val="0"/>
        <w:autoSpaceDN w:val="0"/>
        <w:bidi w:val="0"/>
        <w:adjustRightInd w:val="0"/>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14.2凡是进行重大项目施工和较大设备吊装，都必须将施工安全措施及吊装方案提前报</w:t>
      </w:r>
      <w:r>
        <w:rPr>
          <w:rFonts w:hint="eastAsia" w:ascii="宋体" w:hAnsi="宋体" w:eastAsia="宋体" w:cs="宋体"/>
          <w:b w:val="0"/>
          <w:bCs w:val="0"/>
          <w:color w:val="auto"/>
          <w:sz w:val="21"/>
          <w:szCs w:val="21"/>
          <w:highlight w:val="none"/>
        </w:rPr>
        <w:t xml:space="preserve">甲方批准。 </w:t>
      </w:r>
    </w:p>
    <w:p w14:paraId="2FFF21EC">
      <w:pPr>
        <w:pageBreakBefore w:val="0"/>
        <w:numPr>
          <w:ilvl w:val="0"/>
          <w:numId w:val="0"/>
        </w:numPr>
        <w:tabs>
          <w:tab w:val="left" w:pos="315"/>
        </w:tabs>
        <w:kinsoku/>
        <w:wordWrap/>
        <w:overflowPunct/>
        <w:topLinePunct w:val="0"/>
        <w:autoSpaceDE w:val="0"/>
        <w:autoSpaceDN w:val="0"/>
        <w:bidi w:val="0"/>
        <w:adjustRightInd w:val="0"/>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15、乙方施工中必须严格遵守下列规定：</w:t>
      </w:r>
    </w:p>
    <w:p w14:paraId="1C142AE8">
      <w:pPr>
        <w:pageBreakBefore w:val="0"/>
        <w:tabs>
          <w:tab w:val="left" w:pos="315"/>
        </w:tabs>
        <w:kinsoku/>
        <w:wordWrap/>
        <w:overflowPunct/>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15.1乙方</w:t>
      </w:r>
      <w:r>
        <w:rPr>
          <w:rFonts w:hint="eastAsia" w:ascii="宋体" w:hAnsi="宋体" w:eastAsia="宋体" w:cs="宋体"/>
          <w:color w:val="auto"/>
          <w:sz w:val="21"/>
          <w:szCs w:val="21"/>
          <w:highlight w:val="none"/>
        </w:rPr>
        <w:t>在确定作业场所后，必须在现场配置适当的灭火器具，作为意外火灾发生时初期扑救措施。</w:t>
      </w:r>
    </w:p>
    <w:p w14:paraId="1DA707C9">
      <w:pPr>
        <w:pageBreakBefore w:val="0"/>
        <w:tabs>
          <w:tab w:val="left" w:pos="315"/>
        </w:tabs>
        <w:kinsoku/>
        <w:wordWrap/>
        <w:overflowPunct/>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15.2乙方机动车辆在甲方场区进行运输工作，按照有关部门制订的行车路线、速度行驶。</w:t>
      </w:r>
    </w:p>
    <w:p w14:paraId="1E4D9119">
      <w:pPr>
        <w:pageBreakBefore w:val="0"/>
        <w:tabs>
          <w:tab w:val="left" w:pos="315"/>
        </w:tabs>
        <w:kinsoku/>
        <w:wordWrap/>
        <w:overflowPunct/>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15.3乙方施工所用电器、机械设备要符合作业场所的安全要求并有专人负责，防雨设施和接地保护应符合规定。</w:t>
      </w:r>
    </w:p>
    <w:p w14:paraId="6265763C">
      <w:pPr>
        <w:pageBreakBefore w:val="0"/>
        <w:tabs>
          <w:tab w:val="left" w:pos="315"/>
        </w:tabs>
        <w:kinsoku/>
        <w:wordWrap/>
        <w:overflowPunct/>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15.4施工用边角料要在指定地点集中堆放，并及时运走。</w:t>
      </w:r>
    </w:p>
    <w:p w14:paraId="041EC3DE">
      <w:pPr>
        <w:pageBreakBefore w:val="0"/>
        <w:tabs>
          <w:tab w:val="left" w:pos="315"/>
        </w:tabs>
        <w:kinsoku/>
        <w:wordWrap/>
        <w:overflowPunct/>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15.5易燃易爆物料应设专用仓库，指定专人负责保管。燃油、气瓶等危险品的运输应符合国家、广东省的《危险化学品安全管理条例》中的相关规定，禁止在现场大量存储。</w:t>
      </w:r>
    </w:p>
    <w:p w14:paraId="0452C73A">
      <w:pPr>
        <w:pageBreakBefore w:val="0"/>
        <w:tabs>
          <w:tab w:val="left" w:pos="315"/>
        </w:tabs>
        <w:kinsoku/>
        <w:wordWrap/>
        <w:overflowPunct/>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15.6所有施工作业场地绝不允许随便占用或堵塞交通要道和消防通道，确因施工需要占用消防通道时，应提前48小时报甲方，经批准后方可实施。</w:t>
      </w:r>
    </w:p>
    <w:p w14:paraId="4C8F7235">
      <w:pPr>
        <w:pageBreakBefore w:val="0"/>
        <w:tabs>
          <w:tab w:val="left" w:pos="315"/>
        </w:tabs>
        <w:kinsoku/>
        <w:wordWrap/>
        <w:overflowPunct/>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15.7危险作业区域（大型设备吊装对接、电气设备试压、各类焊口探伤、爆破作业等）应按规定设置明显的警示牌及防护设施，设立警戒。</w:t>
      </w:r>
    </w:p>
    <w:p w14:paraId="7E0E30BB">
      <w:pPr>
        <w:pageBreakBefore w:val="0"/>
        <w:tabs>
          <w:tab w:val="left" w:pos="315"/>
        </w:tabs>
        <w:kinsoku/>
        <w:wordWrap/>
        <w:overflowPunct/>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 施工作业时，必须按作业规范和要求为作业人员配备各种安全防护措施和人身防护措施，施工人员必须戴安全帽、穿工鞋、长袖工服等劳动保护用品。</w:t>
      </w:r>
    </w:p>
    <w:p w14:paraId="3FDB7652">
      <w:pPr>
        <w:pageBreakBefore w:val="0"/>
        <w:tabs>
          <w:tab w:val="left" w:pos="315"/>
        </w:tabs>
        <w:kinsoku/>
        <w:wordWrap/>
        <w:overflowPunct/>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15.9 高空作业人员必须系安全带，禁止抛扔工具、物件和杂物。否则甲方有权每次扣罚乙方500元，乙方还应承担由此引起的全部责任。</w:t>
      </w:r>
    </w:p>
    <w:p w14:paraId="63C83058">
      <w:pPr>
        <w:pageBreakBefore w:val="0"/>
        <w:tabs>
          <w:tab w:val="left" w:pos="315"/>
        </w:tabs>
        <w:kinsoku/>
        <w:wordWrap/>
        <w:overflowPunct/>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15.10施工过程中要节约用水用电，如发现浪费现象，第一次警告，之后每次罚款200元。</w:t>
      </w:r>
    </w:p>
    <w:p w14:paraId="40028C21">
      <w:pPr>
        <w:pageBreakBefore w:val="0"/>
        <w:tabs>
          <w:tab w:val="left" w:pos="315"/>
        </w:tabs>
        <w:kinsoku/>
        <w:wordWrap/>
        <w:overflowPunct/>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15.11在施工中因钻孔等打坏管线的，要及时向甲方现场管理人员汇报，经甲方处理后才能进行下道工序施工。</w:t>
      </w:r>
    </w:p>
    <w:p w14:paraId="2B0B95BB">
      <w:pPr>
        <w:pageBreakBefore w:val="0"/>
        <w:tabs>
          <w:tab w:val="left" w:pos="315"/>
        </w:tabs>
        <w:kinsoku/>
        <w:wordWrap/>
        <w:overflowPunct/>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16</w:t>
      </w:r>
      <w:r>
        <w:rPr>
          <w:rFonts w:hint="eastAsia" w:ascii="宋体" w:hAnsi="宋体" w:eastAsia="宋体" w:cs="宋体"/>
          <w:color w:val="auto"/>
          <w:sz w:val="21"/>
          <w:szCs w:val="21"/>
          <w:highlight w:val="none"/>
        </w:rPr>
        <w:t>、施工消防管理</w:t>
      </w:r>
    </w:p>
    <w:p w14:paraId="4717A359">
      <w:pPr>
        <w:pageBreakBefore w:val="0"/>
        <w:tabs>
          <w:tab w:val="left" w:pos="315"/>
        </w:tabs>
        <w:kinsoku/>
        <w:wordWrap/>
        <w:overflowPunct/>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16.1乙方应做好设备、机械入场消防安全的检查；乙方人员入场施工作业前必须接受过消防安全（防火常识、火灾防范、医疗救护、应急事件处置、自救互救、报警及紧急应急响应）培训；</w:t>
      </w:r>
    </w:p>
    <w:p w14:paraId="5904ED3A">
      <w:pPr>
        <w:pageBreakBefore w:val="0"/>
        <w:tabs>
          <w:tab w:val="left" w:pos="315"/>
        </w:tabs>
        <w:kinsoku/>
        <w:wordWrap/>
        <w:overflowPunct/>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16.2乙方施工作业现场必须有消防安全指示、警告、警示及施工作业区消防安全制度、规定；</w:t>
      </w:r>
    </w:p>
    <w:p w14:paraId="38463F77">
      <w:pPr>
        <w:pageBreakBefore w:val="0"/>
        <w:tabs>
          <w:tab w:val="left" w:pos="315"/>
        </w:tabs>
        <w:kinsoku/>
        <w:wordWrap/>
        <w:overflowPunct/>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16.3乙方作业现场必须严格执行遵守和执行《消防安全管理规定》</w:t>
      </w:r>
    </w:p>
    <w:p w14:paraId="1DC9910F">
      <w:pPr>
        <w:pageBreakBefore w:val="0"/>
        <w:tabs>
          <w:tab w:val="left" w:pos="315"/>
        </w:tabs>
        <w:kinsoku/>
        <w:wordWrap/>
        <w:overflowPunct/>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16.4依照《</w:t>
      </w:r>
      <w:r>
        <w:rPr>
          <w:rFonts w:hint="eastAsia" w:ascii="宋体" w:hAnsi="宋体" w:eastAsia="宋体" w:cs="宋体"/>
          <w:color w:val="auto"/>
          <w:sz w:val="21"/>
          <w:szCs w:val="21"/>
          <w:highlight w:val="none"/>
          <w:lang w:eastAsia="zh-CN"/>
        </w:rPr>
        <w:t>中华人民共和国消防法》《</w:t>
      </w:r>
      <w:r>
        <w:rPr>
          <w:rFonts w:hint="eastAsia" w:ascii="宋体" w:hAnsi="宋体" w:eastAsia="宋体" w:cs="宋体"/>
          <w:color w:val="auto"/>
          <w:sz w:val="21"/>
          <w:szCs w:val="21"/>
          <w:highlight w:val="none"/>
        </w:rPr>
        <w:t>建筑设计防火规范GB50016-2014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广东省消防安全管理规定实施细则》在作业现场设置、布置足够数量的消防灭火设施；</w:t>
      </w:r>
    </w:p>
    <w:p w14:paraId="31BAA201">
      <w:pPr>
        <w:pageBreakBefore w:val="0"/>
        <w:tabs>
          <w:tab w:val="left" w:pos="315"/>
        </w:tabs>
        <w:kinsoku/>
        <w:wordWrap/>
        <w:overflowPunct/>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16.5乙方必须建立施工作业现场紧急应急预案，针对施工作业现场存在的受限空间、密闭空间、压力容器、危险化学品、易燃固体、液体等，应派专人看护或监护，填写记录；</w:t>
      </w:r>
    </w:p>
    <w:p w14:paraId="5FB225F2">
      <w:pPr>
        <w:pageBreakBefore w:val="0"/>
        <w:tabs>
          <w:tab w:val="left" w:pos="315"/>
        </w:tabs>
        <w:kinsoku/>
        <w:wordWrap/>
        <w:overflowPunct/>
        <w:topLinePunct w:val="0"/>
        <w:autoSpaceDE w:val="0"/>
        <w:autoSpaceDN w:val="0"/>
        <w:bidi w:val="0"/>
        <w:adjustRightInd w:val="0"/>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17、乙方营地、加工预制场等与项目有关的场地、临时建筑均应遵守甲方的相关管理规定，并接受甲方的检查。</w:t>
      </w:r>
    </w:p>
    <w:p w14:paraId="7D462C1B">
      <w:pPr>
        <w:pageBreakBefore w:val="0"/>
        <w:tabs>
          <w:tab w:val="left" w:pos="315"/>
        </w:tabs>
        <w:kinsoku/>
        <w:wordWrap/>
        <w:overflowPunct/>
        <w:topLinePunct w:val="0"/>
        <w:autoSpaceDE w:val="0"/>
        <w:autoSpaceDN w:val="0"/>
        <w:bidi w:val="0"/>
        <w:adjustRightInd w:val="0"/>
        <w:spacing w:line="360" w:lineRule="auto"/>
        <w:ind w:firstLine="420" w:firstLineChars="200"/>
        <w:rPr>
          <w:rFonts w:ascii="宋体" w:hAnsi="宋体" w:cs="宋体"/>
          <w:b w:val="0"/>
          <w:bCs w:val="0"/>
          <w:color w:val="auto"/>
          <w:sz w:val="21"/>
          <w:szCs w:val="21"/>
          <w:highlight w:val="none"/>
        </w:rPr>
      </w:pPr>
      <w:r>
        <w:rPr>
          <w:rFonts w:hint="eastAsia" w:ascii="宋体" w:hAnsi="宋体" w:eastAsia="宋体" w:cs="宋体"/>
          <w:b w:val="0"/>
          <w:bCs w:val="0"/>
          <w:color w:val="auto"/>
          <w:sz w:val="21"/>
          <w:szCs w:val="21"/>
          <w:highlight w:val="none"/>
        </w:rPr>
        <w:t>18、本协议未尽</w:t>
      </w:r>
      <w:r>
        <w:rPr>
          <w:rFonts w:hint="eastAsia" w:ascii="宋体" w:hAnsi="宋体" w:cs="宋体"/>
          <w:b w:val="0"/>
          <w:bCs w:val="0"/>
          <w:color w:val="auto"/>
          <w:sz w:val="22"/>
          <w:szCs w:val="22"/>
          <w:highlight w:val="none"/>
        </w:rPr>
        <w:t>事宜，双方应依据有关规定协商解决，本协议与工程承包合同具有同等法律</w:t>
      </w:r>
      <w:r>
        <w:rPr>
          <w:rFonts w:hint="eastAsia" w:ascii="宋体" w:hAnsi="宋体" w:cs="宋体"/>
          <w:b w:val="0"/>
          <w:bCs w:val="0"/>
          <w:color w:val="auto"/>
          <w:sz w:val="21"/>
          <w:szCs w:val="21"/>
          <w:highlight w:val="none"/>
        </w:rPr>
        <w:t>效力。</w:t>
      </w:r>
    </w:p>
    <w:p w14:paraId="7D380BFD">
      <w:pPr>
        <w:pageBreakBefore w:val="0"/>
        <w:tabs>
          <w:tab w:val="left" w:pos="315"/>
        </w:tabs>
        <w:kinsoku/>
        <w:wordWrap/>
        <w:overflowPunct/>
        <w:topLinePunct w:val="0"/>
        <w:autoSpaceDE w:val="0"/>
        <w:autoSpaceDN w:val="0"/>
        <w:bidi w:val="0"/>
        <w:adjustRightInd w:val="0"/>
        <w:spacing w:line="360" w:lineRule="auto"/>
        <w:ind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19、双方发生争议，可协商解决，协商不成则任何一方可将该争议提交中国广州仲裁委员会，按照该会现行有效的仲裁规则进行仲裁。</w:t>
      </w:r>
    </w:p>
    <w:p w14:paraId="1E337329">
      <w:pPr>
        <w:pageBreakBefore w:val="0"/>
        <w:tabs>
          <w:tab w:val="left" w:pos="315"/>
        </w:tabs>
        <w:kinsoku/>
        <w:wordWrap/>
        <w:overflowPunct/>
        <w:topLinePunct w:val="0"/>
        <w:autoSpaceDE w:val="0"/>
        <w:autoSpaceDN w:val="0"/>
        <w:bidi w:val="0"/>
        <w:adjustRightInd w:val="0"/>
        <w:spacing w:line="360" w:lineRule="auto"/>
        <w:ind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20、本协议书一式四份，甲方</w:t>
      </w:r>
      <w:r>
        <w:rPr>
          <w:rFonts w:hint="eastAsia" w:hAnsi="宋体" w:cs="宋体"/>
          <w:b w:val="0"/>
          <w:bCs w:val="0"/>
          <w:color w:val="auto"/>
          <w:sz w:val="21"/>
          <w:szCs w:val="21"/>
          <w:highlight w:val="none"/>
        </w:rPr>
        <w:t>两</w:t>
      </w:r>
      <w:r>
        <w:rPr>
          <w:rFonts w:hint="eastAsia" w:ascii="宋体" w:hAnsi="宋体" w:cs="宋体"/>
          <w:b w:val="0"/>
          <w:bCs w:val="0"/>
          <w:color w:val="auto"/>
          <w:sz w:val="21"/>
          <w:szCs w:val="21"/>
          <w:highlight w:val="none"/>
        </w:rPr>
        <w:t>份、乙方</w:t>
      </w:r>
      <w:r>
        <w:rPr>
          <w:rFonts w:hint="eastAsia" w:hAnsi="宋体" w:cs="宋体"/>
          <w:b w:val="0"/>
          <w:bCs w:val="0"/>
          <w:color w:val="auto"/>
          <w:sz w:val="21"/>
          <w:szCs w:val="21"/>
          <w:highlight w:val="none"/>
        </w:rPr>
        <w:t>两</w:t>
      </w:r>
      <w:r>
        <w:rPr>
          <w:rFonts w:hint="eastAsia" w:ascii="宋体" w:hAnsi="宋体" w:cs="宋体"/>
          <w:b w:val="0"/>
          <w:bCs w:val="0"/>
          <w:color w:val="auto"/>
          <w:sz w:val="21"/>
          <w:szCs w:val="21"/>
          <w:highlight w:val="none"/>
        </w:rPr>
        <w:t>份。</w:t>
      </w:r>
    </w:p>
    <w:p w14:paraId="38F43B4F">
      <w:pPr>
        <w:pageBreakBefore w:val="0"/>
        <w:tabs>
          <w:tab w:val="left" w:pos="315"/>
        </w:tabs>
        <w:kinsoku/>
        <w:wordWrap/>
        <w:overflowPunct/>
        <w:topLinePunct w:val="0"/>
        <w:autoSpaceDE w:val="0"/>
        <w:autoSpaceDN w:val="0"/>
        <w:bidi w:val="0"/>
        <w:adjustRightInd w:val="0"/>
        <w:spacing w:line="360" w:lineRule="auto"/>
        <w:ind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21、本协议自工程项目合同签字后生效，工程结束后，乙方应迅速办理离场手续，本协议书即行终止。</w:t>
      </w:r>
    </w:p>
    <w:p w14:paraId="7789A232">
      <w:pPr>
        <w:pageBreakBefore w:val="0"/>
        <w:tabs>
          <w:tab w:val="left" w:pos="315"/>
        </w:tabs>
        <w:kinsoku/>
        <w:wordWrap/>
        <w:overflowPunct/>
        <w:topLinePunct w:val="0"/>
        <w:bidi w:val="0"/>
        <w:spacing w:line="360" w:lineRule="auto"/>
        <w:ind w:left="5500" w:hanging="5250" w:hangingChars="2500"/>
        <w:rPr>
          <w:rFonts w:hint="eastAsia" w:ascii="宋体" w:hAnsi="宋体" w:cs="宋体"/>
          <w:color w:val="auto"/>
          <w:sz w:val="21"/>
          <w:szCs w:val="21"/>
          <w:highlight w:val="none"/>
        </w:rPr>
      </w:pPr>
    </w:p>
    <w:p w14:paraId="60F5BD22">
      <w:pPr>
        <w:pageBreakBefore w:val="0"/>
        <w:tabs>
          <w:tab w:val="left" w:pos="315"/>
        </w:tabs>
        <w:kinsoku/>
        <w:wordWrap/>
        <w:overflowPunct/>
        <w:topLinePunct w:val="0"/>
        <w:bidi w:val="0"/>
        <w:spacing w:line="360" w:lineRule="auto"/>
        <w:ind w:left="5500" w:hanging="5250" w:hangingChars="2500"/>
        <w:rPr>
          <w:rFonts w:ascii="宋体" w:hAnsi="宋体" w:cs="宋体"/>
          <w:color w:val="auto"/>
          <w:sz w:val="21"/>
          <w:szCs w:val="21"/>
          <w:highlight w:val="none"/>
        </w:rPr>
      </w:pPr>
      <w:r>
        <w:rPr>
          <w:rFonts w:hint="eastAsia" w:ascii="宋体" w:hAnsi="宋体" w:cs="宋体"/>
          <w:color w:val="auto"/>
          <w:sz w:val="21"/>
          <w:szCs w:val="21"/>
          <w:highlight w:val="none"/>
        </w:rPr>
        <w:t xml:space="preserve">甲方：                                 乙方：  </w:t>
      </w:r>
    </w:p>
    <w:p w14:paraId="76450DB7">
      <w:pPr>
        <w:pageBreakBefore w:val="0"/>
        <w:tabs>
          <w:tab w:val="left" w:pos="4305"/>
        </w:tabs>
        <w:kinsoku/>
        <w:wordWrap/>
        <w:overflowPunct/>
        <w:topLinePunct w:val="0"/>
        <w:bidi w:val="0"/>
        <w:spacing w:line="360" w:lineRule="auto"/>
        <w:rPr>
          <w:rFonts w:ascii="宋体" w:hAnsi="宋体" w:cs="宋体"/>
          <w:color w:val="auto"/>
          <w:sz w:val="21"/>
          <w:szCs w:val="21"/>
          <w:highlight w:val="none"/>
        </w:rPr>
      </w:pPr>
    </w:p>
    <w:p w14:paraId="46B62F04">
      <w:pPr>
        <w:pageBreakBefore w:val="0"/>
        <w:tabs>
          <w:tab w:val="left" w:pos="4305"/>
        </w:tabs>
        <w:kinsoku/>
        <w:wordWrap/>
        <w:overflowPunct/>
        <w:topLinePunct w:val="0"/>
        <w:bidi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甲方代表（签名）：                     乙方代表（签名）：</w:t>
      </w:r>
    </w:p>
    <w:p w14:paraId="2FBC5D8B">
      <w:pPr>
        <w:pageBreakBefore w:val="0"/>
        <w:tabs>
          <w:tab w:val="left" w:pos="315"/>
        </w:tabs>
        <w:kinsoku/>
        <w:wordWrap/>
        <w:overflowPunct/>
        <w:topLinePunct w:val="0"/>
        <w:bidi w:val="0"/>
        <w:spacing w:line="360" w:lineRule="auto"/>
        <w:rPr>
          <w:rFonts w:ascii="宋体" w:hAnsi="宋体" w:cs="宋体"/>
          <w:color w:val="auto"/>
          <w:sz w:val="21"/>
          <w:szCs w:val="21"/>
          <w:highlight w:val="none"/>
        </w:rPr>
      </w:pPr>
    </w:p>
    <w:p w14:paraId="4F7E7D95">
      <w:pPr>
        <w:pageBreakBefore w:val="0"/>
        <w:tabs>
          <w:tab w:val="left" w:pos="315"/>
        </w:tabs>
        <w:kinsoku/>
        <w:wordWrap/>
        <w:overflowPunct/>
        <w:topLinePunct w:val="0"/>
        <w:bidi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签约日期：     年   月   日            签约日期：  年   月   日</w:t>
      </w:r>
    </w:p>
    <w:p w14:paraId="16D98117">
      <w:pPr>
        <w:pageBreakBefore w:val="0"/>
        <w:tabs>
          <w:tab w:val="left" w:pos="315"/>
        </w:tabs>
        <w:kinsoku/>
        <w:wordWrap/>
        <w:overflowPunct/>
        <w:topLinePunct w:val="0"/>
        <w:bidi w:val="0"/>
        <w:spacing w:line="360" w:lineRule="auto"/>
        <w:rPr>
          <w:rFonts w:hint="eastAsia" w:ascii="Calibri" w:hAnsi="Calibri" w:cs="Times New Roman"/>
          <w:b w:val="0"/>
          <w:bCs w:val="0"/>
          <w:color w:val="auto"/>
          <w:sz w:val="24"/>
          <w:szCs w:val="24"/>
          <w:highlight w:val="none"/>
        </w:rPr>
      </w:pPr>
      <w:bookmarkStart w:id="3" w:name="_Toc3306841"/>
      <w:bookmarkStart w:id="4" w:name="_Toc5175386"/>
      <w:r>
        <w:rPr>
          <w:rFonts w:hint="eastAsia" w:ascii="Calibri" w:hAnsi="Calibri" w:cs="Times New Roman"/>
          <w:b w:val="0"/>
          <w:bCs w:val="0"/>
          <w:color w:val="auto"/>
          <w:sz w:val="21"/>
          <w:szCs w:val="21"/>
          <w:highlight w:val="none"/>
        </w:rPr>
        <w:br w:type="page"/>
      </w:r>
      <w:r>
        <w:rPr>
          <w:rFonts w:hint="eastAsia" w:ascii="Calibri" w:hAnsi="Calibri" w:cs="Times New Roman"/>
          <w:b w:val="0"/>
          <w:bCs w:val="0"/>
          <w:color w:val="auto"/>
          <w:sz w:val="24"/>
          <w:szCs w:val="24"/>
          <w:highlight w:val="none"/>
        </w:rPr>
        <w:t>合同附件</w:t>
      </w:r>
      <w:r>
        <w:rPr>
          <w:rFonts w:hint="eastAsia" w:ascii="宋体" w:hAnsi="宋体" w:eastAsia="宋体" w:cs="宋体"/>
          <w:b w:val="0"/>
          <w:bCs w:val="0"/>
          <w:color w:val="auto"/>
          <w:sz w:val="24"/>
          <w:szCs w:val="24"/>
          <w:highlight w:val="none"/>
        </w:rPr>
        <w:t>03</w:t>
      </w:r>
      <w:bookmarkEnd w:id="3"/>
      <w:r>
        <w:rPr>
          <w:rFonts w:hint="eastAsia" w:cs="Times New Roman"/>
          <w:b w:val="0"/>
          <w:bCs w:val="0"/>
          <w:color w:val="auto"/>
          <w:sz w:val="24"/>
          <w:szCs w:val="24"/>
          <w:highlight w:val="none"/>
          <w:lang w:eastAsia="zh-CN"/>
        </w:rPr>
        <w:t>：</w:t>
      </w:r>
      <w:r>
        <w:rPr>
          <w:rFonts w:hint="eastAsia" w:ascii="Calibri" w:hAnsi="Calibri" w:cs="Times New Roman"/>
          <w:b w:val="0"/>
          <w:bCs w:val="0"/>
          <w:color w:val="auto"/>
          <w:sz w:val="24"/>
          <w:szCs w:val="24"/>
          <w:highlight w:val="none"/>
        </w:rPr>
        <w:t>工人权益保障承诺书</w:t>
      </w:r>
      <w:bookmarkEnd w:id="4"/>
    </w:p>
    <w:p w14:paraId="36960B6E">
      <w:pPr>
        <w:pageBreakBefore w:val="0"/>
        <w:tabs>
          <w:tab w:val="left" w:pos="315"/>
        </w:tabs>
        <w:kinsoku/>
        <w:wordWrap/>
        <w:overflowPunct/>
        <w:topLinePunct w:val="0"/>
        <w:bidi w:val="0"/>
        <w:spacing w:line="360" w:lineRule="auto"/>
        <w:rPr>
          <w:color w:val="auto"/>
          <w:highlight w:val="none"/>
        </w:rPr>
      </w:pPr>
    </w:p>
    <w:p w14:paraId="0AA99B33">
      <w:pPr>
        <w:pageBreakBefore w:val="0"/>
        <w:tabs>
          <w:tab w:val="left" w:pos="315"/>
        </w:tabs>
        <w:kinsoku/>
        <w:wordWrap/>
        <w:overflowPunct/>
        <w:topLinePunct w:val="0"/>
        <w:bidi w:val="0"/>
        <w:spacing w:afterLines="50" w:line="360" w:lineRule="auto"/>
        <w:ind w:firstLine="422" w:firstLineChars="200"/>
        <w:jc w:val="center"/>
        <w:rPr>
          <w:rFonts w:ascii="宋体" w:hAnsi="宋体"/>
          <w:b/>
          <w:color w:val="auto"/>
          <w:sz w:val="21"/>
          <w:szCs w:val="21"/>
          <w:highlight w:val="none"/>
        </w:rPr>
      </w:pPr>
      <w:r>
        <w:rPr>
          <w:rFonts w:hint="eastAsia" w:ascii="宋体" w:hAnsi="宋体"/>
          <w:b/>
          <w:color w:val="auto"/>
          <w:sz w:val="21"/>
          <w:szCs w:val="21"/>
          <w:highlight w:val="none"/>
        </w:rPr>
        <w:t>工人权益保障承诺书</w:t>
      </w:r>
    </w:p>
    <w:p w14:paraId="3C0FAD61">
      <w:pPr>
        <w:pageBreakBefore w:val="0"/>
        <w:tabs>
          <w:tab w:val="left" w:pos="315"/>
        </w:tabs>
        <w:kinsoku/>
        <w:wordWrap/>
        <w:overflowPunct/>
        <w:topLinePunct w:val="0"/>
        <w:bidi w:val="0"/>
        <w:spacing w:line="360" w:lineRule="auto"/>
        <w:rPr>
          <w:rFonts w:ascii="宋体" w:hAnsi="宋体"/>
          <w:b/>
          <w:color w:val="auto"/>
          <w:sz w:val="21"/>
          <w:szCs w:val="21"/>
          <w:highlight w:val="none"/>
        </w:rPr>
      </w:pPr>
      <w:r>
        <w:rPr>
          <w:rFonts w:hint="eastAsia" w:ascii="宋体" w:hAnsi="宋体"/>
          <w:b/>
          <w:color w:val="auto"/>
          <w:sz w:val="21"/>
          <w:szCs w:val="21"/>
          <w:highlight w:val="none"/>
        </w:rPr>
        <w:t>致</w:t>
      </w:r>
      <w:r>
        <w:rPr>
          <w:rFonts w:hint="eastAsia" w:ascii="宋体" w:hAnsi="宋体"/>
          <w:b/>
          <w:color w:val="auto"/>
          <w:sz w:val="21"/>
          <w:szCs w:val="21"/>
          <w:highlight w:val="none"/>
          <w:lang w:eastAsia="zh-CN"/>
        </w:rPr>
        <w:t>：</w:t>
      </w:r>
      <w:r>
        <w:rPr>
          <w:rFonts w:hint="eastAsia" w:ascii="宋体" w:hAnsi="宋体"/>
          <w:b/>
          <w:color w:val="auto"/>
          <w:sz w:val="21"/>
          <w:szCs w:val="21"/>
          <w:highlight w:val="none"/>
          <w:u w:val="single"/>
        </w:rPr>
        <w:t xml:space="preserve">                           </w:t>
      </w:r>
    </w:p>
    <w:p w14:paraId="2BBA30D6">
      <w:pPr>
        <w:pageBreakBefore w:val="0"/>
        <w:tabs>
          <w:tab w:val="left" w:pos="315"/>
        </w:tabs>
        <w:kinsoku/>
        <w:wordWrap/>
        <w:overflowPunct/>
        <w:topLinePunct w:val="0"/>
        <w:autoSpaceDE w:val="0"/>
        <w:autoSpaceDN w:val="0"/>
        <w:bidi w:val="0"/>
        <w:adjustRightInd w:val="0"/>
        <w:spacing w:beforeLines="50"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本公司愿接受贵司</w:t>
      </w:r>
      <w:r>
        <w:rPr>
          <w:rFonts w:hint="eastAsia" w:ascii="宋体" w:hAnsi="宋体"/>
          <w:b/>
          <w:color w:val="auto"/>
          <w:sz w:val="21"/>
          <w:szCs w:val="21"/>
          <w:highlight w:val="none"/>
          <w:u w:val="single"/>
        </w:rPr>
        <w:t xml:space="preserve">           </w:t>
      </w:r>
      <w:r>
        <w:rPr>
          <w:rFonts w:hint="eastAsia" w:ascii="宋体" w:hAnsi="宋体"/>
          <w:color w:val="auto"/>
          <w:sz w:val="21"/>
          <w:szCs w:val="21"/>
          <w:highlight w:val="none"/>
        </w:rPr>
        <w:t>项目的所有合同条款，我司同意在合同履行过程中，向贵司就工人权益保障工作做如下郑重承诺：</w:t>
      </w:r>
    </w:p>
    <w:p w14:paraId="6D85AC8A">
      <w:pPr>
        <w:pageBreakBefore w:val="0"/>
        <w:tabs>
          <w:tab w:val="left" w:pos="315"/>
        </w:tabs>
        <w:kinsoku/>
        <w:wordWrap/>
        <w:overflowPunct/>
        <w:topLinePunct w:val="0"/>
        <w:autoSpaceDE w:val="0"/>
        <w:autoSpaceDN w:val="0"/>
        <w:bidi w:val="0"/>
        <w:adjustRightInd w:val="0"/>
        <w:spacing w:line="360"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我司承诺认真履行职责，做好本施工队在贵部承建的施工项目的工人用工和管理工作，确保按时足额将工人工资发放到工人本人，安排好本施工队工人的生活，做好本施工队工人的安全教育和管理工作，发放劳保和安全用品。</w:t>
      </w:r>
    </w:p>
    <w:p w14:paraId="2B7F5B67">
      <w:pPr>
        <w:pageBreakBefore w:val="0"/>
        <w:tabs>
          <w:tab w:val="left" w:pos="315"/>
        </w:tabs>
        <w:kinsoku/>
        <w:wordWrap/>
        <w:overflowPunct/>
        <w:topLinePunct w:val="0"/>
        <w:autoSpaceDE w:val="0"/>
        <w:autoSpaceDN w:val="0"/>
        <w:bidi w:val="0"/>
        <w:adjustRightInd w:val="0"/>
        <w:spacing w:line="360" w:lineRule="auto"/>
        <w:ind w:firstLine="420" w:firstLineChars="200"/>
        <w:jc w:val="left"/>
        <w:rPr>
          <w:rFonts w:ascii="宋体" w:hAnsi="宋体"/>
          <w:color w:val="auto"/>
          <w:sz w:val="21"/>
          <w:szCs w:val="21"/>
          <w:highlight w:val="none"/>
        </w:rPr>
      </w:pPr>
      <w:r>
        <w:rPr>
          <w:rFonts w:hint="eastAsia" w:hAnsi="宋体"/>
          <w:color w:val="auto"/>
          <w:sz w:val="21"/>
          <w:szCs w:val="21"/>
          <w:highlight w:val="none"/>
        </w:rPr>
        <w:t>2</w:t>
      </w:r>
      <w:r>
        <w:rPr>
          <w:rFonts w:hint="eastAsia" w:ascii="宋体" w:hAnsi="宋体"/>
          <w:color w:val="auto"/>
          <w:sz w:val="21"/>
          <w:szCs w:val="21"/>
          <w:highlight w:val="none"/>
        </w:rPr>
        <w:t>、一旦出现本施工队严重拖欠工人工资，导致工人因欠薪闹事，同意由贵司直接代为支付工人工资，并在下期进度款中扣除。</w:t>
      </w:r>
    </w:p>
    <w:p w14:paraId="026A9C86">
      <w:pPr>
        <w:pageBreakBefore w:val="0"/>
        <w:tabs>
          <w:tab w:val="left" w:pos="315"/>
        </w:tabs>
        <w:kinsoku/>
        <w:wordWrap/>
        <w:overflowPunct/>
        <w:topLinePunct w:val="0"/>
        <w:autoSpaceDE w:val="0"/>
        <w:autoSpaceDN w:val="0"/>
        <w:bidi w:val="0"/>
        <w:adjustRightInd w:val="0"/>
        <w:spacing w:line="360" w:lineRule="auto"/>
        <w:ind w:firstLine="420" w:firstLineChars="200"/>
        <w:jc w:val="left"/>
        <w:rPr>
          <w:rFonts w:ascii="宋体" w:hAnsi="宋体"/>
          <w:color w:val="auto"/>
          <w:spacing w:val="-6"/>
          <w:sz w:val="21"/>
          <w:szCs w:val="21"/>
          <w:highlight w:val="none"/>
        </w:rPr>
      </w:pPr>
      <w:r>
        <w:rPr>
          <w:rFonts w:hint="eastAsia" w:hAnsi="宋体"/>
          <w:color w:val="auto"/>
          <w:sz w:val="21"/>
          <w:szCs w:val="21"/>
          <w:highlight w:val="none"/>
        </w:rPr>
        <w:t>3</w:t>
      </w:r>
      <w:r>
        <w:rPr>
          <w:rFonts w:hint="eastAsia" w:ascii="宋体" w:hAnsi="宋体"/>
          <w:color w:val="auto"/>
          <w:sz w:val="21"/>
          <w:szCs w:val="21"/>
          <w:highlight w:val="none"/>
        </w:rPr>
        <w:t>、一旦出现本施工队因工人权益保障工作不到位，导致重大突发事件，并造成一定影响，我司承担由此产生的全部责任，并承诺向贵部偿付违反承诺赔偿金。</w:t>
      </w:r>
    </w:p>
    <w:p w14:paraId="6E33C473">
      <w:pPr>
        <w:pageBreakBefore w:val="0"/>
        <w:tabs>
          <w:tab w:val="left" w:pos="315"/>
        </w:tabs>
        <w:kinsoku/>
        <w:wordWrap/>
        <w:overflowPunct/>
        <w:topLinePunct w:val="0"/>
        <w:autoSpaceDE w:val="0"/>
        <w:autoSpaceDN w:val="0"/>
        <w:bidi w:val="0"/>
        <w:adjustRightInd w:val="0"/>
        <w:spacing w:line="360" w:lineRule="auto"/>
        <w:ind w:firstLine="396" w:firstLineChars="200"/>
        <w:jc w:val="left"/>
        <w:rPr>
          <w:rFonts w:ascii="宋体" w:hAnsi="宋体"/>
          <w:color w:val="auto"/>
          <w:sz w:val="21"/>
          <w:szCs w:val="21"/>
          <w:highlight w:val="none"/>
        </w:rPr>
      </w:pPr>
      <w:r>
        <w:rPr>
          <w:rFonts w:hint="eastAsia" w:ascii="宋体" w:hAnsi="宋体"/>
          <w:color w:val="auto"/>
          <w:spacing w:val="-6"/>
          <w:sz w:val="21"/>
          <w:szCs w:val="21"/>
          <w:highlight w:val="none"/>
        </w:rPr>
        <w:t>特此承诺</w:t>
      </w:r>
    </w:p>
    <w:p w14:paraId="10D1A8F1">
      <w:pPr>
        <w:pageBreakBefore w:val="0"/>
        <w:tabs>
          <w:tab w:val="left" w:pos="315"/>
        </w:tabs>
        <w:kinsoku/>
        <w:wordWrap/>
        <w:overflowPunct/>
        <w:topLinePunct w:val="0"/>
        <w:autoSpaceDE w:val="0"/>
        <w:autoSpaceDN w:val="0"/>
        <w:bidi w:val="0"/>
        <w:adjustRightInd w:val="0"/>
        <w:spacing w:line="360" w:lineRule="auto"/>
        <w:rPr>
          <w:rFonts w:ascii="宋体" w:hAnsi="宋体"/>
          <w:color w:val="auto"/>
          <w:sz w:val="21"/>
          <w:szCs w:val="21"/>
          <w:highlight w:val="none"/>
        </w:rPr>
      </w:pPr>
    </w:p>
    <w:p w14:paraId="43F2E960">
      <w:pPr>
        <w:pageBreakBefore w:val="0"/>
        <w:tabs>
          <w:tab w:val="left" w:pos="315"/>
        </w:tabs>
        <w:kinsoku/>
        <w:wordWrap/>
        <w:overflowPunct/>
        <w:topLinePunct w:val="0"/>
        <w:autoSpaceDE w:val="0"/>
        <w:autoSpaceDN w:val="0"/>
        <w:bidi w:val="0"/>
        <w:adjustRightInd w:val="0"/>
        <w:spacing w:line="360" w:lineRule="auto"/>
        <w:rPr>
          <w:rFonts w:ascii="宋体" w:hAnsi="宋体"/>
          <w:color w:val="auto"/>
          <w:sz w:val="21"/>
          <w:szCs w:val="21"/>
          <w:highlight w:val="none"/>
        </w:rPr>
      </w:pPr>
    </w:p>
    <w:p w14:paraId="3929A1BD">
      <w:pPr>
        <w:pageBreakBefore w:val="0"/>
        <w:tabs>
          <w:tab w:val="left" w:pos="315"/>
        </w:tabs>
        <w:kinsoku/>
        <w:wordWrap/>
        <w:overflowPunct/>
        <w:topLinePunct w:val="0"/>
        <w:autoSpaceDE w:val="0"/>
        <w:autoSpaceDN w:val="0"/>
        <w:bidi w:val="0"/>
        <w:adjustRightInd w:val="0"/>
        <w:spacing w:line="360" w:lineRule="auto"/>
        <w:ind w:firstLine="5040" w:firstLineChars="2400"/>
        <w:rPr>
          <w:rFonts w:ascii="宋体" w:hAnsi="宋体"/>
          <w:color w:val="auto"/>
          <w:sz w:val="21"/>
          <w:szCs w:val="21"/>
          <w:highlight w:val="none"/>
        </w:rPr>
      </w:pPr>
      <w:r>
        <w:rPr>
          <w:rFonts w:hint="eastAsia" w:ascii="宋体" w:hAnsi="宋体"/>
          <w:color w:val="auto"/>
          <w:sz w:val="21"/>
          <w:szCs w:val="21"/>
          <w:highlight w:val="none"/>
        </w:rPr>
        <w:t>承诺单位：</w:t>
      </w:r>
      <w:r>
        <w:rPr>
          <w:rFonts w:hint="eastAsia" w:ascii="宋体" w:hAnsi="宋体"/>
          <w:color w:val="auto"/>
          <w:sz w:val="21"/>
          <w:szCs w:val="21"/>
          <w:highlight w:val="none"/>
          <w:u w:val="single"/>
        </w:rPr>
        <w:t xml:space="preserve"> </w:t>
      </w:r>
      <w:r>
        <w:rPr>
          <w:rFonts w:hint="eastAsia" w:ascii="宋体" w:hAnsi="宋体"/>
          <w:b/>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14:paraId="04F6BBEF">
      <w:pPr>
        <w:pageBreakBefore w:val="0"/>
        <w:tabs>
          <w:tab w:val="left" w:pos="315"/>
        </w:tabs>
        <w:kinsoku/>
        <w:wordWrap/>
        <w:overflowPunct/>
        <w:topLinePunct w:val="0"/>
        <w:bidi w:val="0"/>
        <w:spacing w:line="360" w:lineRule="auto"/>
        <w:ind w:firstLine="5040" w:firstLineChars="2400"/>
        <w:rPr>
          <w:rFonts w:ascii="宋体" w:hAnsi="宋体"/>
          <w:color w:val="auto"/>
          <w:sz w:val="21"/>
          <w:szCs w:val="21"/>
          <w:highlight w:val="none"/>
        </w:rPr>
      </w:pPr>
      <w:r>
        <w:rPr>
          <w:rFonts w:hint="eastAsia" w:ascii="宋体" w:hAnsi="宋体"/>
          <w:color w:val="auto"/>
          <w:sz w:val="21"/>
          <w:szCs w:val="21"/>
          <w:highlight w:val="none"/>
        </w:rPr>
        <w:t>法定代表人：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14:paraId="4EB6C807">
      <w:pPr>
        <w:pageBreakBefore w:val="0"/>
        <w:tabs>
          <w:tab w:val="left" w:pos="315"/>
        </w:tabs>
        <w:kinsoku/>
        <w:wordWrap/>
        <w:overflowPunct/>
        <w:topLinePunct w:val="0"/>
        <w:bidi w:val="0"/>
        <w:spacing w:line="360" w:lineRule="auto"/>
        <w:ind w:firstLine="5040" w:firstLineChars="2400"/>
        <w:rPr>
          <w:rFonts w:hint="eastAsia" w:ascii="宋体" w:hAnsi="宋体" w:eastAsia="宋体" w:cs="宋体"/>
          <w:b/>
          <w:color w:val="auto"/>
          <w:sz w:val="21"/>
          <w:szCs w:val="21"/>
          <w:highlight w:val="none"/>
          <w:lang w:eastAsia="zh-CN"/>
        </w:rPr>
      </w:pPr>
      <w:r>
        <w:rPr>
          <w:rFonts w:hint="eastAsia" w:ascii="宋体" w:hAnsi="宋体"/>
          <w:bCs/>
          <w:color w:val="auto"/>
          <w:sz w:val="21"/>
          <w:szCs w:val="21"/>
          <w:highlight w:val="none"/>
        </w:rPr>
        <w:t>日</w:t>
      </w:r>
      <w:r>
        <w:rPr>
          <w:rFonts w:hint="eastAsia" w:ascii="宋体" w:hAnsi="宋体"/>
          <w:bCs/>
          <w:color w:val="auto"/>
          <w:sz w:val="21"/>
          <w:szCs w:val="21"/>
          <w:highlight w:val="none"/>
          <w:lang w:val="en-US" w:eastAsia="zh-CN"/>
        </w:rPr>
        <w:t xml:space="preserve">   </w:t>
      </w:r>
      <w:r>
        <w:rPr>
          <w:rFonts w:hint="eastAsia" w:ascii="宋体" w:hAnsi="宋体"/>
          <w:bCs/>
          <w:color w:val="auto"/>
          <w:sz w:val="21"/>
          <w:szCs w:val="21"/>
          <w:highlight w:val="none"/>
        </w:rPr>
        <w:t>期：     年   月   日</w:t>
      </w:r>
    </w:p>
    <w:p w14:paraId="6A307CA4">
      <w:pPr>
        <w:pStyle w:val="27"/>
        <w:spacing w:line="360" w:lineRule="auto"/>
        <w:ind w:firstLine="520" w:firstLineChars="200"/>
        <w:rPr>
          <w:rFonts w:hint="eastAsia"/>
          <w:lang w:eastAsia="zh-CN"/>
        </w:rPr>
      </w:pPr>
    </w:p>
    <w:sectPr>
      <w:footerReference r:id="rId11" w:type="default"/>
      <w:pgSz w:w="11906" w:h="16838"/>
      <w:pgMar w:top="1134" w:right="1247" w:bottom="1134"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B5971">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0BAE80">
                          <w:pPr>
                            <w:pStyle w:val="11"/>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5B0BAE80">
                    <w:pPr>
                      <w:pStyle w:val="11"/>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7159F">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A5718">
    <w:pPr>
      <w:pStyle w:val="11"/>
      <w:framePr w:wrap="around" w:vAnchor="text" w:hAnchor="margin" w:xAlign="center" w:y="1"/>
      <w:rPr>
        <w:rStyle w:val="23"/>
      </w:rPr>
    </w:pPr>
    <w:r>
      <w:fldChar w:fldCharType="begin"/>
    </w:r>
    <w:r>
      <w:rPr>
        <w:rStyle w:val="23"/>
      </w:rPr>
      <w:instrText xml:space="preserve">PAGE  </w:instrText>
    </w:r>
    <w:r>
      <w:fldChar w:fldCharType="end"/>
    </w:r>
  </w:p>
  <w:p w14:paraId="5FD7E4BC">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AFF37">
    <w:pPr>
      <w:pStyle w:val="11"/>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D2D6C">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945F1B3">
                          <w:pPr>
                            <w:pStyle w:val="11"/>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2945F1B3">
                    <w:pPr>
                      <w:pStyle w:val="11"/>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18DEA">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DA8F5">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B7685">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3F8CF">
    <w:pPr>
      <w:pStyle w:val="12"/>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63A757"/>
    <w:multiLevelType w:val="singleLevel"/>
    <w:tmpl w:val="B663A75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yMzY5OGVjMzU4M2ZjMmU4OGFmNGUyMTljYmYwNWQifQ=="/>
  </w:docVars>
  <w:rsids>
    <w:rsidRoot w:val="627B514A"/>
    <w:rsid w:val="00055C9D"/>
    <w:rsid w:val="000D47FD"/>
    <w:rsid w:val="000E1869"/>
    <w:rsid w:val="000F7E85"/>
    <w:rsid w:val="0010477B"/>
    <w:rsid w:val="00113BA4"/>
    <w:rsid w:val="00120171"/>
    <w:rsid w:val="001208D5"/>
    <w:rsid w:val="0014115A"/>
    <w:rsid w:val="00197984"/>
    <w:rsid w:val="00204A48"/>
    <w:rsid w:val="00226A43"/>
    <w:rsid w:val="00240BD9"/>
    <w:rsid w:val="002A3D47"/>
    <w:rsid w:val="002A65E2"/>
    <w:rsid w:val="002E62CA"/>
    <w:rsid w:val="002F5034"/>
    <w:rsid w:val="00345E43"/>
    <w:rsid w:val="0037468D"/>
    <w:rsid w:val="003A7B64"/>
    <w:rsid w:val="003B58BD"/>
    <w:rsid w:val="00410BAB"/>
    <w:rsid w:val="004137B5"/>
    <w:rsid w:val="00443D5E"/>
    <w:rsid w:val="00451A20"/>
    <w:rsid w:val="00490DCE"/>
    <w:rsid w:val="004E7552"/>
    <w:rsid w:val="00513193"/>
    <w:rsid w:val="005149A2"/>
    <w:rsid w:val="005323AD"/>
    <w:rsid w:val="0054553B"/>
    <w:rsid w:val="005B0745"/>
    <w:rsid w:val="005D6349"/>
    <w:rsid w:val="005E0718"/>
    <w:rsid w:val="00613397"/>
    <w:rsid w:val="006247AF"/>
    <w:rsid w:val="00641D55"/>
    <w:rsid w:val="00656B6C"/>
    <w:rsid w:val="00663B4B"/>
    <w:rsid w:val="006654CE"/>
    <w:rsid w:val="00667483"/>
    <w:rsid w:val="006A0D64"/>
    <w:rsid w:val="006D32E5"/>
    <w:rsid w:val="006E4C35"/>
    <w:rsid w:val="006F1491"/>
    <w:rsid w:val="006F26FD"/>
    <w:rsid w:val="0073070D"/>
    <w:rsid w:val="007A1E3B"/>
    <w:rsid w:val="007A2E96"/>
    <w:rsid w:val="007D58B4"/>
    <w:rsid w:val="007F70AD"/>
    <w:rsid w:val="00841EA4"/>
    <w:rsid w:val="0085774A"/>
    <w:rsid w:val="008B20E3"/>
    <w:rsid w:val="00911DBE"/>
    <w:rsid w:val="009343BD"/>
    <w:rsid w:val="00966869"/>
    <w:rsid w:val="00980BAB"/>
    <w:rsid w:val="00A21D17"/>
    <w:rsid w:val="00A40C84"/>
    <w:rsid w:val="00A41C5C"/>
    <w:rsid w:val="00AA147D"/>
    <w:rsid w:val="00AE7757"/>
    <w:rsid w:val="00AF6FFF"/>
    <w:rsid w:val="00BE36AF"/>
    <w:rsid w:val="00C05AE6"/>
    <w:rsid w:val="00C61589"/>
    <w:rsid w:val="00C668BA"/>
    <w:rsid w:val="00CD2933"/>
    <w:rsid w:val="00CF6A5B"/>
    <w:rsid w:val="00DA4AC2"/>
    <w:rsid w:val="00DB3061"/>
    <w:rsid w:val="00E7141E"/>
    <w:rsid w:val="00E81830"/>
    <w:rsid w:val="00EA777E"/>
    <w:rsid w:val="00EF1BB5"/>
    <w:rsid w:val="00F22994"/>
    <w:rsid w:val="00F42A83"/>
    <w:rsid w:val="00F43D66"/>
    <w:rsid w:val="00FA02C9"/>
    <w:rsid w:val="015920E6"/>
    <w:rsid w:val="01C025F7"/>
    <w:rsid w:val="028C2252"/>
    <w:rsid w:val="02E23D40"/>
    <w:rsid w:val="030248F4"/>
    <w:rsid w:val="03062D2F"/>
    <w:rsid w:val="03135EA4"/>
    <w:rsid w:val="031E5534"/>
    <w:rsid w:val="03484227"/>
    <w:rsid w:val="0352438D"/>
    <w:rsid w:val="035F7A6E"/>
    <w:rsid w:val="03826412"/>
    <w:rsid w:val="038F01CA"/>
    <w:rsid w:val="039A2127"/>
    <w:rsid w:val="03CF1F49"/>
    <w:rsid w:val="04242F8F"/>
    <w:rsid w:val="049D16AC"/>
    <w:rsid w:val="04B07E70"/>
    <w:rsid w:val="04C214DE"/>
    <w:rsid w:val="05506696"/>
    <w:rsid w:val="05B46E41"/>
    <w:rsid w:val="05FF7A21"/>
    <w:rsid w:val="062D64A9"/>
    <w:rsid w:val="067E16C6"/>
    <w:rsid w:val="06963877"/>
    <w:rsid w:val="070E2A03"/>
    <w:rsid w:val="07335618"/>
    <w:rsid w:val="076A0983"/>
    <w:rsid w:val="07AB2D48"/>
    <w:rsid w:val="07BA37D4"/>
    <w:rsid w:val="085D0BF5"/>
    <w:rsid w:val="08A208CF"/>
    <w:rsid w:val="08A73F74"/>
    <w:rsid w:val="08BF646D"/>
    <w:rsid w:val="093B407F"/>
    <w:rsid w:val="09636AD3"/>
    <w:rsid w:val="0A0E618E"/>
    <w:rsid w:val="0A2E3052"/>
    <w:rsid w:val="0A3E25DB"/>
    <w:rsid w:val="0AAC2A36"/>
    <w:rsid w:val="0AEA7555"/>
    <w:rsid w:val="0B24481C"/>
    <w:rsid w:val="0B733B91"/>
    <w:rsid w:val="0B9E269F"/>
    <w:rsid w:val="0BBD1AAE"/>
    <w:rsid w:val="0BC92C55"/>
    <w:rsid w:val="0C621F6A"/>
    <w:rsid w:val="0CF40BFF"/>
    <w:rsid w:val="0D39193D"/>
    <w:rsid w:val="0D6A533A"/>
    <w:rsid w:val="0D8B382B"/>
    <w:rsid w:val="0D9C7564"/>
    <w:rsid w:val="0DAB2D00"/>
    <w:rsid w:val="0DBC56D6"/>
    <w:rsid w:val="0DD440B2"/>
    <w:rsid w:val="0E9D18A0"/>
    <w:rsid w:val="0ED31CB3"/>
    <w:rsid w:val="0F02605D"/>
    <w:rsid w:val="0F45293E"/>
    <w:rsid w:val="0F4E6F6D"/>
    <w:rsid w:val="0F620D66"/>
    <w:rsid w:val="0FC53975"/>
    <w:rsid w:val="103376FE"/>
    <w:rsid w:val="10B05364"/>
    <w:rsid w:val="111E1DA8"/>
    <w:rsid w:val="113D1C97"/>
    <w:rsid w:val="117B065F"/>
    <w:rsid w:val="11AB1E5B"/>
    <w:rsid w:val="11AE4D28"/>
    <w:rsid w:val="11BA26C6"/>
    <w:rsid w:val="11F50F09"/>
    <w:rsid w:val="122D0321"/>
    <w:rsid w:val="123D7A7E"/>
    <w:rsid w:val="12B93D4E"/>
    <w:rsid w:val="12F048B5"/>
    <w:rsid w:val="13017C0B"/>
    <w:rsid w:val="13082AF4"/>
    <w:rsid w:val="1322355B"/>
    <w:rsid w:val="13357D7D"/>
    <w:rsid w:val="13495E7B"/>
    <w:rsid w:val="136F36E6"/>
    <w:rsid w:val="137F7791"/>
    <w:rsid w:val="14205A7D"/>
    <w:rsid w:val="144A419F"/>
    <w:rsid w:val="15012D82"/>
    <w:rsid w:val="153F10A8"/>
    <w:rsid w:val="155F41A9"/>
    <w:rsid w:val="156C786F"/>
    <w:rsid w:val="15A424BA"/>
    <w:rsid w:val="160F1A16"/>
    <w:rsid w:val="16252EC4"/>
    <w:rsid w:val="16282316"/>
    <w:rsid w:val="163F6D54"/>
    <w:rsid w:val="174F1922"/>
    <w:rsid w:val="176837BB"/>
    <w:rsid w:val="176C7839"/>
    <w:rsid w:val="17915536"/>
    <w:rsid w:val="179B0451"/>
    <w:rsid w:val="17AF7690"/>
    <w:rsid w:val="17B207CF"/>
    <w:rsid w:val="17C843F7"/>
    <w:rsid w:val="18A04371"/>
    <w:rsid w:val="18E516A7"/>
    <w:rsid w:val="18EB1D4E"/>
    <w:rsid w:val="19184517"/>
    <w:rsid w:val="192D5FB0"/>
    <w:rsid w:val="193121C6"/>
    <w:rsid w:val="19500972"/>
    <w:rsid w:val="195B2E3E"/>
    <w:rsid w:val="1967449A"/>
    <w:rsid w:val="19A634F3"/>
    <w:rsid w:val="19A94137"/>
    <w:rsid w:val="19E00183"/>
    <w:rsid w:val="19E7635A"/>
    <w:rsid w:val="1A4C7CAD"/>
    <w:rsid w:val="1A905489"/>
    <w:rsid w:val="1B0C7D6C"/>
    <w:rsid w:val="1B2C653D"/>
    <w:rsid w:val="1B7949D0"/>
    <w:rsid w:val="1B7B1157"/>
    <w:rsid w:val="1B7E2E20"/>
    <w:rsid w:val="1B930F6E"/>
    <w:rsid w:val="1BD40CC2"/>
    <w:rsid w:val="1C05537E"/>
    <w:rsid w:val="1C525D04"/>
    <w:rsid w:val="1C8030A1"/>
    <w:rsid w:val="1CBF4AF5"/>
    <w:rsid w:val="1CDD143C"/>
    <w:rsid w:val="1D553D15"/>
    <w:rsid w:val="1D62771E"/>
    <w:rsid w:val="1D844DA7"/>
    <w:rsid w:val="1D852864"/>
    <w:rsid w:val="1DB02442"/>
    <w:rsid w:val="1DBF5484"/>
    <w:rsid w:val="1DCB16B5"/>
    <w:rsid w:val="1E244567"/>
    <w:rsid w:val="1EC23116"/>
    <w:rsid w:val="1EDE4A76"/>
    <w:rsid w:val="1EF85FCE"/>
    <w:rsid w:val="1F213A08"/>
    <w:rsid w:val="1FAF6DF9"/>
    <w:rsid w:val="1FC87EE2"/>
    <w:rsid w:val="1FDF460E"/>
    <w:rsid w:val="20585129"/>
    <w:rsid w:val="20DA038C"/>
    <w:rsid w:val="212D744C"/>
    <w:rsid w:val="213A5A45"/>
    <w:rsid w:val="21784B14"/>
    <w:rsid w:val="21E104B6"/>
    <w:rsid w:val="21E90B1B"/>
    <w:rsid w:val="22022C8D"/>
    <w:rsid w:val="22297C49"/>
    <w:rsid w:val="225844BF"/>
    <w:rsid w:val="228E3B5E"/>
    <w:rsid w:val="22903CCB"/>
    <w:rsid w:val="230E6DA1"/>
    <w:rsid w:val="23834D08"/>
    <w:rsid w:val="23C2658F"/>
    <w:rsid w:val="23E54204"/>
    <w:rsid w:val="23F851A0"/>
    <w:rsid w:val="24484F7A"/>
    <w:rsid w:val="2486485D"/>
    <w:rsid w:val="24A02B8C"/>
    <w:rsid w:val="24B17001"/>
    <w:rsid w:val="24CC00AE"/>
    <w:rsid w:val="25482397"/>
    <w:rsid w:val="25A82E4B"/>
    <w:rsid w:val="25DA61E5"/>
    <w:rsid w:val="25FB7D42"/>
    <w:rsid w:val="261F0910"/>
    <w:rsid w:val="262B6CB9"/>
    <w:rsid w:val="263D0E80"/>
    <w:rsid w:val="26564BB9"/>
    <w:rsid w:val="271C0A6D"/>
    <w:rsid w:val="27260B86"/>
    <w:rsid w:val="272D03FB"/>
    <w:rsid w:val="272E5954"/>
    <w:rsid w:val="277F0280"/>
    <w:rsid w:val="278232A1"/>
    <w:rsid w:val="281E0619"/>
    <w:rsid w:val="2824152A"/>
    <w:rsid w:val="28274495"/>
    <w:rsid w:val="286C65D9"/>
    <w:rsid w:val="287D34BF"/>
    <w:rsid w:val="289933A8"/>
    <w:rsid w:val="28AA0815"/>
    <w:rsid w:val="28B94A27"/>
    <w:rsid w:val="29050F36"/>
    <w:rsid w:val="29327D87"/>
    <w:rsid w:val="29C95945"/>
    <w:rsid w:val="29E27707"/>
    <w:rsid w:val="29F52C84"/>
    <w:rsid w:val="2A064844"/>
    <w:rsid w:val="2A3240AB"/>
    <w:rsid w:val="2A3B43DC"/>
    <w:rsid w:val="2B103DE7"/>
    <w:rsid w:val="2B2F08F9"/>
    <w:rsid w:val="2B451CDF"/>
    <w:rsid w:val="2B5F064A"/>
    <w:rsid w:val="2B944D5C"/>
    <w:rsid w:val="2B9609F6"/>
    <w:rsid w:val="2BC82E06"/>
    <w:rsid w:val="2C081609"/>
    <w:rsid w:val="2C5D0F6E"/>
    <w:rsid w:val="2CA3795A"/>
    <w:rsid w:val="2CC52B9F"/>
    <w:rsid w:val="2CD93CB0"/>
    <w:rsid w:val="2CDE4B7D"/>
    <w:rsid w:val="2CF7591C"/>
    <w:rsid w:val="2D2C439F"/>
    <w:rsid w:val="2D34476D"/>
    <w:rsid w:val="2D72469D"/>
    <w:rsid w:val="2DCF1E61"/>
    <w:rsid w:val="2E3B2A44"/>
    <w:rsid w:val="2E400F76"/>
    <w:rsid w:val="2E7A0916"/>
    <w:rsid w:val="2EA971CB"/>
    <w:rsid w:val="2ECC5F08"/>
    <w:rsid w:val="2F0F49FC"/>
    <w:rsid w:val="2F2640D2"/>
    <w:rsid w:val="2F843A14"/>
    <w:rsid w:val="2FA64686"/>
    <w:rsid w:val="309E472B"/>
    <w:rsid w:val="30E2570B"/>
    <w:rsid w:val="30F23A80"/>
    <w:rsid w:val="30F247C7"/>
    <w:rsid w:val="30F76577"/>
    <w:rsid w:val="3126370E"/>
    <w:rsid w:val="312A381F"/>
    <w:rsid w:val="312C4EE2"/>
    <w:rsid w:val="31324BB5"/>
    <w:rsid w:val="314F77B3"/>
    <w:rsid w:val="319542C8"/>
    <w:rsid w:val="31AA3502"/>
    <w:rsid w:val="31DA67A3"/>
    <w:rsid w:val="31ED16D0"/>
    <w:rsid w:val="320F52CE"/>
    <w:rsid w:val="322F2DFB"/>
    <w:rsid w:val="3256716F"/>
    <w:rsid w:val="32817AE8"/>
    <w:rsid w:val="33551156"/>
    <w:rsid w:val="338203CF"/>
    <w:rsid w:val="33E36E11"/>
    <w:rsid w:val="34013F9B"/>
    <w:rsid w:val="341722F3"/>
    <w:rsid w:val="34536518"/>
    <w:rsid w:val="34600745"/>
    <w:rsid w:val="34846DC7"/>
    <w:rsid w:val="34B70C73"/>
    <w:rsid w:val="34D26AD8"/>
    <w:rsid w:val="34FC58C9"/>
    <w:rsid w:val="35347051"/>
    <w:rsid w:val="353C5C05"/>
    <w:rsid w:val="35517EB4"/>
    <w:rsid w:val="357609E7"/>
    <w:rsid w:val="35E21183"/>
    <w:rsid w:val="35EA57D0"/>
    <w:rsid w:val="36073F54"/>
    <w:rsid w:val="36746C35"/>
    <w:rsid w:val="36D54A6D"/>
    <w:rsid w:val="373C3014"/>
    <w:rsid w:val="376812F3"/>
    <w:rsid w:val="377B1FA5"/>
    <w:rsid w:val="37BD0889"/>
    <w:rsid w:val="38AD0489"/>
    <w:rsid w:val="38D9551D"/>
    <w:rsid w:val="38F75745"/>
    <w:rsid w:val="390C51EB"/>
    <w:rsid w:val="39663727"/>
    <w:rsid w:val="39797A4B"/>
    <w:rsid w:val="397A40C7"/>
    <w:rsid w:val="3A4102BB"/>
    <w:rsid w:val="3A6E02E8"/>
    <w:rsid w:val="3A920C89"/>
    <w:rsid w:val="3AE46E74"/>
    <w:rsid w:val="3B374A1B"/>
    <w:rsid w:val="3B4A2B26"/>
    <w:rsid w:val="3B673925"/>
    <w:rsid w:val="3B6E70E8"/>
    <w:rsid w:val="3BA25D43"/>
    <w:rsid w:val="3C34496D"/>
    <w:rsid w:val="3C6D2AB5"/>
    <w:rsid w:val="3CB12222"/>
    <w:rsid w:val="3D55550F"/>
    <w:rsid w:val="3DBF063F"/>
    <w:rsid w:val="3DF23D1B"/>
    <w:rsid w:val="3E1B636A"/>
    <w:rsid w:val="3EA20912"/>
    <w:rsid w:val="3EAE39F8"/>
    <w:rsid w:val="3EBF695E"/>
    <w:rsid w:val="3EE739A5"/>
    <w:rsid w:val="3F00455A"/>
    <w:rsid w:val="3F780D60"/>
    <w:rsid w:val="3FA430FF"/>
    <w:rsid w:val="3FD352F3"/>
    <w:rsid w:val="3FE35CB7"/>
    <w:rsid w:val="3FFC74D0"/>
    <w:rsid w:val="40036F4F"/>
    <w:rsid w:val="40201F71"/>
    <w:rsid w:val="403223AB"/>
    <w:rsid w:val="40564462"/>
    <w:rsid w:val="4073666E"/>
    <w:rsid w:val="40DC1FE0"/>
    <w:rsid w:val="412A1E39"/>
    <w:rsid w:val="4149607A"/>
    <w:rsid w:val="415A09F8"/>
    <w:rsid w:val="41BA50B7"/>
    <w:rsid w:val="41EE044E"/>
    <w:rsid w:val="420344D8"/>
    <w:rsid w:val="421B1DB3"/>
    <w:rsid w:val="422D1347"/>
    <w:rsid w:val="422D7465"/>
    <w:rsid w:val="428A40D3"/>
    <w:rsid w:val="42C473EC"/>
    <w:rsid w:val="42D55FEE"/>
    <w:rsid w:val="433258AA"/>
    <w:rsid w:val="433C41C7"/>
    <w:rsid w:val="43431927"/>
    <w:rsid w:val="437874F0"/>
    <w:rsid w:val="43971AF1"/>
    <w:rsid w:val="442666FF"/>
    <w:rsid w:val="44311DBE"/>
    <w:rsid w:val="4448141B"/>
    <w:rsid w:val="447559C2"/>
    <w:rsid w:val="44C21FF8"/>
    <w:rsid w:val="44E61491"/>
    <w:rsid w:val="45046509"/>
    <w:rsid w:val="45702723"/>
    <w:rsid w:val="457C3D98"/>
    <w:rsid w:val="457C3DB9"/>
    <w:rsid w:val="46275121"/>
    <w:rsid w:val="46481CD7"/>
    <w:rsid w:val="469806A1"/>
    <w:rsid w:val="46AB27CF"/>
    <w:rsid w:val="46C33102"/>
    <w:rsid w:val="46E5317D"/>
    <w:rsid w:val="47226469"/>
    <w:rsid w:val="4770243A"/>
    <w:rsid w:val="48273D30"/>
    <w:rsid w:val="483F1F93"/>
    <w:rsid w:val="48B94570"/>
    <w:rsid w:val="48EB2A45"/>
    <w:rsid w:val="48FD6FC2"/>
    <w:rsid w:val="49432FE4"/>
    <w:rsid w:val="494A1826"/>
    <w:rsid w:val="498C4253"/>
    <w:rsid w:val="4A280DAA"/>
    <w:rsid w:val="4A55765D"/>
    <w:rsid w:val="4A7C09D7"/>
    <w:rsid w:val="4AD6393C"/>
    <w:rsid w:val="4B2C1FBD"/>
    <w:rsid w:val="4B457CDA"/>
    <w:rsid w:val="4B8476DC"/>
    <w:rsid w:val="4C4F1B21"/>
    <w:rsid w:val="4CA23096"/>
    <w:rsid w:val="4CBE77A4"/>
    <w:rsid w:val="4CC22A6E"/>
    <w:rsid w:val="4D060F7E"/>
    <w:rsid w:val="4D7628FC"/>
    <w:rsid w:val="4D986116"/>
    <w:rsid w:val="4DB028D4"/>
    <w:rsid w:val="4DB04780"/>
    <w:rsid w:val="4DDD76F0"/>
    <w:rsid w:val="4DF74F7B"/>
    <w:rsid w:val="4E3D3A03"/>
    <w:rsid w:val="4E550A86"/>
    <w:rsid w:val="4E7242BD"/>
    <w:rsid w:val="4EBB464A"/>
    <w:rsid w:val="4FA273C7"/>
    <w:rsid w:val="4FCC5DAE"/>
    <w:rsid w:val="50054C31"/>
    <w:rsid w:val="500572D8"/>
    <w:rsid w:val="503704FE"/>
    <w:rsid w:val="507B5EB9"/>
    <w:rsid w:val="509138E2"/>
    <w:rsid w:val="50F05775"/>
    <w:rsid w:val="51056018"/>
    <w:rsid w:val="516636D4"/>
    <w:rsid w:val="51855BD5"/>
    <w:rsid w:val="51C043F6"/>
    <w:rsid w:val="51C3384A"/>
    <w:rsid w:val="51D44E2B"/>
    <w:rsid w:val="51D61C6B"/>
    <w:rsid w:val="51FD38FB"/>
    <w:rsid w:val="5202519C"/>
    <w:rsid w:val="520515E9"/>
    <w:rsid w:val="520D000A"/>
    <w:rsid w:val="520D70A9"/>
    <w:rsid w:val="52334561"/>
    <w:rsid w:val="524424F9"/>
    <w:rsid w:val="52567240"/>
    <w:rsid w:val="52A7081B"/>
    <w:rsid w:val="52BB35D4"/>
    <w:rsid w:val="531E77D7"/>
    <w:rsid w:val="534C2774"/>
    <w:rsid w:val="53A73901"/>
    <w:rsid w:val="546568CE"/>
    <w:rsid w:val="548E79C2"/>
    <w:rsid w:val="54923ED7"/>
    <w:rsid w:val="54AA2051"/>
    <w:rsid w:val="54C02592"/>
    <w:rsid w:val="54CA3EF4"/>
    <w:rsid w:val="54F70B62"/>
    <w:rsid w:val="55082CE4"/>
    <w:rsid w:val="555E05BD"/>
    <w:rsid w:val="55CC4CE0"/>
    <w:rsid w:val="55DD69C5"/>
    <w:rsid w:val="560843BD"/>
    <w:rsid w:val="563F2C98"/>
    <w:rsid w:val="567A2105"/>
    <w:rsid w:val="568F6F48"/>
    <w:rsid w:val="577F64FE"/>
    <w:rsid w:val="579B414A"/>
    <w:rsid w:val="57BC5DB5"/>
    <w:rsid w:val="57C22377"/>
    <w:rsid w:val="57FA6D09"/>
    <w:rsid w:val="57FE64BE"/>
    <w:rsid w:val="580674D1"/>
    <w:rsid w:val="580C438B"/>
    <w:rsid w:val="58733AB9"/>
    <w:rsid w:val="588A186D"/>
    <w:rsid w:val="58E510D6"/>
    <w:rsid w:val="59256910"/>
    <w:rsid w:val="596C28D9"/>
    <w:rsid w:val="59854569"/>
    <w:rsid w:val="5A094E26"/>
    <w:rsid w:val="5A341C76"/>
    <w:rsid w:val="5A70086E"/>
    <w:rsid w:val="5A801878"/>
    <w:rsid w:val="5ABA1B56"/>
    <w:rsid w:val="5AE218AB"/>
    <w:rsid w:val="5B485CC5"/>
    <w:rsid w:val="5B68613B"/>
    <w:rsid w:val="5B7C609C"/>
    <w:rsid w:val="5B9E5CD2"/>
    <w:rsid w:val="5C1C68CC"/>
    <w:rsid w:val="5C2871E8"/>
    <w:rsid w:val="5CDC62BE"/>
    <w:rsid w:val="5D1D5BF9"/>
    <w:rsid w:val="5D53605C"/>
    <w:rsid w:val="5DC24B30"/>
    <w:rsid w:val="5EDA280E"/>
    <w:rsid w:val="5F037C5A"/>
    <w:rsid w:val="5F2C0ADD"/>
    <w:rsid w:val="5F3D616E"/>
    <w:rsid w:val="5F5402D4"/>
    <w:rsid w:val="60174B2C"/>
    <w:rsid w:val="605B09AA"/>
    <w:rsid w:val="606068C8"/>
    <w:rsid w:val="60695C6B"/>
    <w:rsid w:val="60996106"/>
    <w:rsid w:val="612A490D"/>
    <w:rsid w:val="61811D14"/>
    <w:rsid w:val="61844122"/>
    <w:rsid w:val="61B27CCA"/>
    <w:rsid w:val="62062595"/>
    <w:rsid w:val="62233FAA"/>
    <w:rsid w:val="627B514A"/>
    <w:rsid w:val="62AF7FD8"/>
    <w:rsid w:val="63723DDC"/>
    <w:rsid w:val="63A912D4"/>
    <w:rsid w:val="63B15ED7"/>
    <w:rsid w:val="63B459AC"/>
    <w:rsid w:val="640B2766"/>
    <w:rsid w:val="642C5A24"/>
    <w:rsid w:val="6430547D"/>
    <w:rsid w:val="644F48B8"/>
    <w:rsid w:val="646A3838"/>
    <w:rsid w:val="646F6EB2"/>
    <w:rsid w:val="6543326E"/>
    <w:rsid w:val="663A04A3"/>
    <w:rsid w:val="664A67C1"/>
    <w:rsid w:val="667872D3"/>
    <w:rsid w:val="67C36D7A"/>
    <w:rsid w:val="67DF5789"/>
    <w:rsid w:val="68177B8B"/>
    <w:rsid w:val="6834238E"/>
    <w:rsid w:val="68AC436A"/>
    <w:rsid w:val="68EA5BC2"/>
    <w:rsid w:val="69246726"/>
    <w:rsid w:val="69FB1ABF"/>
    <w:rsid w:val="6A295766"/>
    <w:rsid w:val="6A643408"/>
    <w:rsid w:val="6A8B07EC"/>
    <w:rsid w:val="6AB12E9F"/>
    <w:rsid w:val="6AC80AE2"/>
    <w:rsid w:val="6AF63342"/>
    <w:rsid w:val="6B1F0F38"/>
    <w:rsid w:val="6B3F664B"/>
    <w:rsid w:val="6B7101AB"/>
    <w:rsid w:val="6BA337CB"/>
    <w:rsid w:val="6BBA0A95"/>
    <w:rsid w:val="6BDE67FC"/>
    <w:rsid w:val="6BDF3622"/>
    <w:rsid w:val="6BE22662"/>
    <w:rsid w:val="6C0E6C5B"/>
    <w:rsid w:val="6C6861F7"/>
    <w:rsid w:val="6C7849EB"/>
    <w:rsid w:val="6D0F4B23"/>
    <w:rsid w:val="6D477A1E"/>
    <w:rsid w:val="6D7521E3"/>
    <w:rsid w:val="6DC13622"/>
    <w:rsid w:val="6E043F85"/>
    <w:rsid w:val="6E49678A"/>
    <w:rsid w:val="6E511DCE"/>
    <w:rsid w:val="6E8E3B2D"/>
    <w:rsid w:val="6E983F07"/>
    <w:rsid w:val="6EDE48E6"/>
    <w:rsid w:val="6EF77725"/>
    <w:rsid w:val="6F901504"/>
    <w:rsid w:val="6FA112D5"/>
    <w:rsid w:val="6FB22598"/>
    <w:rsid w:val="6FEF34EB"/>
    <w:rsid w:val="70223A22"/>
    <w:rsid w:val="708149C4"/>
    <w:rsid w:val="71100E7D"/>
    <w:rsid w:val="71956929"/>
    <w:rsid w:val="71B8158D"/>
    <w:rsid w:val="720A5883"/>
    <w:rsid w:val="720B7F2F"/>
    <w:rsid w:val="721675B6"/>
    <w:rsid w:val="72AB357D"/>
    <w:rsid w:val="72B77903"/>
    <w:rsid w:val="735F2A85"/>
    <w:rsid w:val="738B7CE8"/>
    <w:rsid w:val="73A33DAA"/>
    <w:rsid w:val="73F43989"/>
    <w:rsid w:val="745F5557"/>
    <w:rsid w:val="74600677"/>
    <w:rsid w:val="74AF2487"/>
    <w:rsid w:val="758E56B6"/>
    <w:rsid w:val="75AE2B6F"/>
    <w:rsid w:val="75B92E28"/>
    <w:rsid w:val="75C51CC1"/>
    <w:rsid w:val="760E27A4"/>
    <w:rsid w:val="7619590C"/>
    <w:rsid w:val="76442E27"/>
    <w:rsid w:val="766A1934"/>
    <w:rsid w:val="76C06C8E"/>
    <w:rsid w:val="77724317"/>
    <w:rsid w:val="77724822"/>
    <w:rsid w:val="77856E70"/>
    <w:rsid w:val="77AC329D"/>
    <w:rsid w:val="78116641"/>
    <w:rsid w:val="78525FC2"/>
    <w:rsid w:val="7867253A"/>
    <w:rsid w:val="78910D7C"/>
    <w:rsid w:val="78DB6C4C"/>
    <w:rsid w:val="7928142C"/>
    <w:rsid w:val="797846DD"/>
    <w:rsid w:val="79BB7EFF"/>
    <w:rsid w:val="7A0435D5"/>
    <w:rsid w:val="7A5F3EEE"/>
    <w:rsid w:val="7A64118D"/>
    <w:rsid w:val="7A70363A"/>
    <w:rsid w:val="7AAC480B"/>
    <w:rsid w:val="7B033F8E"/>
    <w:rsid w:val="7B7A75CB"/>
    <w:rsid w:val="7BE70A0A"/>
    <w:rsid w:val="7C49639B"/>
    <w:rsid w:val="7CDC2AC4"/>
    <w:rsid w:val="7D0F50EC"/>
    <w:rsid w:val="7D567990"/>
    <w:rsid w:val="7D8C1309"/>
    <w:rsid w:val="7D965A4F"/>
    <w:rsid w:val="7DA44322"/>
    <w:rsid w:val="7DC357A6"/>
    <w:rsid w:val="7DD736B5"/>
    <w:rsid w:val="7E2E3EDA"/>
    <w:rsid w:val="7E32526C"/>
    <w:rsid w:val="7F003204"/>
    <w:rsid w:val="7F3E1B4E"/>
    <w:rsid w:val="7F545C77"/>
    <w:rsid w:val="7F5C7BC4"/>
    <w:rsid w:val="7FAA7B47"/>
    <w:rsid w:val="7FB97B8B"/>
    <w:rsid w:val="7FF529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100" w:after="90" w:line="578" w:lineRule="auto"/>
      <w:outlineLvl w:val="0"/>
    </w:pPr>
    <w:rPr>
      <w:rFonts w:ascii="Times New Roman" w:hAnsi="Times New Roman" w:eastAsia="宋体"/>
      <w:b/>
      <w:bCs/>
      <w:kern w:val="44"/>
      <w:sz w:val="28"/>
      <w:szCs w:val="44"/>
    </w:rPr>
  </w:style>
  <w:style w:type="paragraph" w:styleId="3">
    <w:name w:val="heading 2"/>
    <w:basedOn w:val="1"/>
    <w:next w:val="1"/>
    <w:qFormat/>
    <w:uiPriority w:val="0"/>
    <w:pPr>
      <w:keepNext/>
      <w:keepLines/>
      <w:spacing w:before="240" w:after="120" w:line="360" w:lineRule="auto"/>
      <w:jc w:val="center"/>
      <w:outlineLvl w:val="1"/>
    </w:pPr>
    <w:rPr>
      <w:rFonts w:ascii="仿宋_GB2312" w:hAnsi="宋体" w:eastAsia="仿宋_GB2312"/>
      <w:b/>
      <w:kern w:val="0"/>
      <w:sz w:val="30"/>
      <w:szCs w:val="3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Document Map"/>
    <w:basedOn w:val="2"/>
    <w:next w:val="1"/>
    <w:semiHidden/>
    <w:qFormat/>
    <w:uiPriority w:val="0"/>
    <w:pPr>
      <w:shd w:val="clear" w:color="auto" w:fill="000080"/>
    </w:pPr>
    <w:rPr>
      <w:rFonts w:ascii="Times New Roman" w:hAnsi="Times New Roman" w:eastAsia="宋体"/>
      <w:szCs w:val="24"/>
    </w:rPr>
  </w:style>
  <w:style w:type="paragraph" w:styleId="6">
    <w:name w:val="Body Text"/>
    <w:basedOn w:val="1"/>
    <w:link w:val="45"/>
    <w:qFormat/>
    <w:uiPriority w:val="0"/>
    <w:pPr>
      <w:spacing w:after="120" w:afterLines="0"/>
    </w:pPr>
    <w:rPr>
      <w:rFonts w:eastAsia="楷体_GB2312"/>
      <w:kern w:val="2"/>
      <w:sz w:val="21"/>
      <w:lang w:val="en-US" w:eastAsia="zh-CN" w:bidi="ar-SA"/>
    </w:rPr>
  </w:style>
  <w:style w:type="paragraph" w:styleId="7">
    <w:name w:val="Body Text Indent"/>
    <w:basedOn w:val="1"/>
    <w:link w:val="43"/>
    <w:qFormat/>
    <w:uiPriority w:val="0"/>
    <w:pPr>
      <w:spacing w:after="120" w:afterLines="0"/>
      <w:ind w:left="420" w:leftChars="200"/>
    </w:pPr>
    <w:rPr>
      <w:rFonts w:eastAsia="楷体_GB2312"/>
      <w:kern w:val="2"/>
      <w:sz w:val="21"/>
      <w:lang w:val="en-US" w:eastAsia="zh-CN" w:bidi="ar-SA"/>
    </w:rPr>
  </w:style>
  <w:style w:type="paragraph" w:styleId="8">
    <w:name w:val="List 2"/>
    <w:basedOn w:val="1"/>
    <w:qFormat/>
    <w:uiPriority w:val="0"/>
    <w:pPr>
      <w:ind w:left="840" w:hanging="420"/>
    </w:pPr>
    <w:rPr>
      <w:rFonts w:eastAsia="宋体"/>
    </w:rPr>
  </w:style>
  <w:style w:type="paragraph" w:styleId="9">
    <w:name w:val="Plain Text"/>
    <w:basedOn w:val="1"/>
    <w:qFormat/>
    <w:uiPriority w:val="0"/>
    <w:rPr>
      <w:rFonts w:ascii="宋体" w:hAnsi="Courier New" w:eastAsia="Times New Roman"/>
      <w:szCs w:val="20"/>
    </w:rPr>
  </w:style>
  <w:style w:type="paragraph" w:styleId="10">
    <w:name w:val="Balloon Text"/>
    <w:basedOn w:val="1"/>
    <w:link w:val="39"/>
    <w:qFormat/>
    <w:uiPriority w:val="0"/>
    <w:rPr>
      <w:sz w:val="18"/>
      <w:szCs w:val="18"/>
    </w:rPr>
  </w:style>
  <w:style w:type="paragraph" w:styleId="11">
    <w:name w:val="footer"/>
    <w:basedOn w:val="1"/>
    <w:link w:val="37"/>
    <w:qFormat/>
    <w:uiPriority w:val="0"/>
    <w:pPr>
      <w:tabs>
        <w:tab w:val="center" w:pos="4153"/>
        <w:tab w:val="right" w:pos="8306"/>
      </w:tabs>
      <w:snapToGrid w:val="0"/>
      <w:jc w:val="left"/>
    </w:pPr>
    <w:rPr>
      <w:sz w:val="18"/>
      <w:szCs w:val="18"/>
    </w:rPr>
  </w:style>
  <w:style w:type="paragraph" w:styleId="12">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3">
    <w:name w:val="index heading"/>
    <w:basedOn w:val="1"/>
    <w:next w:val="14"/>
    <w:unhideWhenUsed/>
    <w:qFormat/>
    <w:uiPriority w:val="99"/>
    <w:rPr>
      <w:szCs w:val="24"/>
    </w:rPr>
  </w:style>
  <w:style w:type="paragraph" w:styleId="14">
    <w:name w:val="index 1"/>
    <w:basedOn w:val="1"/>
    <w:next w:val="1"/>
    <w:qFormat/>
    <w:uiPriority w:val="0"/>
  </w:style>
  <w:style w:type="paragraph" w:styleId="15">
    <w:name w:val="Body Text 2"/>
    <w:basedOn w:val="1"/>
    <w:qFormat/>
    <w:uiPriority w:val="0"/>
    <w:pPr>
      <w:spacing w:after="120" w:line="480" w:lineRule="auto"/>
    </w:pPr>
  </w:style>
  <w:style w:type="paragraph" w:styleId="16">
    <w:name w:val="List 4"/>
    <w:basedOn w:val="1"/>
    <w:qFormat/>
    <w:uiPriority w:val="0"/>
    <w:pPr>
      <w:ind w:left="1680" w:hanging="420"/>
    </w:pPr>
    <w:rPr>
      <w:rFonts w:eastAsia="宋体"/>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8">
    <w:name w:val="Body Text First Indent 2"/>
    <w:basedOn w:val="7"/>
    <w:qFormat/>
    <w:uiPriority w:val="0"/>
    <w:pPr>
      <w:ind w:firstLine="420" w:firstLineChars="200"/>
    </w:pPr>
    <w:rPr>
      <w:rFonts w:eastAsia="宋体"/>
    </w:rPr>
  </w:style>
  <w:style w:type="table" w:styleId="20">
    <w:name w:val="Table Grid"/>
    <w:basedOn w:val="19"/>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FollowedHyperlink"/>
    <w:basedOn w:val="21"/>
    <w:qFormat/>
    <w:uiPriority w:val="0"/>
    <w:rPr>
      <w:color w:val="000000"/>
      <w:u w:val="none"/>
    </w:rPr>
  </w:style>
  <w:style w:type="character" w:styleId="25">
    <w:name w:val="Hyperlink"/>
    <w:basedOn w:val="21"/>
    <w:qFormat/>
    <w:uiPriority w:val="0"/>
    <w:rPr>
      <w:color w:val="000000"/>
      <w:u w:val="none"/>
    </w:rPr>
  </w:style>
  <w:style w:type="paragraph" w:customStyle="1" w:styleId="26">
    <w:name w:val="PlainText"/>
    <w:basedOn w:val="1"/>
    <w:qFormat/>
    <w:uiPriority w:val="0"/>
    <w:pPr>
      <w:textAlignment w:val="baseline"/>
    </w:pPr>
    <w:rPr>
      <w:rFonts w:ascii="宋体" w:hAnsi="Courier New" w:cs="Calibri"/>
      <w:color w:val="000000"/>
      <w:kern w:val="0"/>
      <w:sz w:val="20"/>
      <w:szCs w:val="20"/>
    </w:rPr>
  </w:style>
  <w:style w:type="paragraph" w:customStyle="1" w:styleId="27">
    <w:name w:val="表格文字"/>
    <w:basedOn w:val="1"/>
    <w:next w:val="28"/>
    <w:qFormat/>
    <w:uiPriority w:val="0"/>
    <w:pPr>
      <w:spacing w:before="25" w:after="25"/>
      <w:jc w:val="left"/>
    </w:pPr>
    <w:rPr>
      <w:bCs/>
      <w:spacing w:val="10"/>
      <w:kern w:val="0"/>
      <w:sz w:val="24"/>
      <w:szCs w:val="20"/>
    </w:rPr>
  </w:style>
  <w:style w:type="paragraph" w:customStyle="1" w:styleId="28">
    <w:name w:val="font5"/>
    <w:basedOn w:val="1"/>
    <w:next w:val="5"/>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29">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0">
    <w:name w:val="正文正"/>
    <w:basedOn w:val="1"/>
    <w:qFormat/>
    <w:uiPriority w:val="0"/>
    <w:pPr>
      <w:spacing w:line="560" w:lineRule="exact"/>
      <w:ind w:firstLine="561"/>
    </w:pPr>
    <w:rPr>
      <w:rFonts w:eastAsia="仿宋_GB2312"/>
      <w:sz w:val="28"/>
      <w:szCs w:val="24"/>
    </w:rPr>
  </w:style>
  <w:style w:type="character" w:customStyle="1" w:styleId="31">
    <w:name w:val="times"/>
    <w:basedOn w:val="21"/>
    <w:qFormat/>
    <w:uiPriority w:val="0"/>
    <w:rPr>
      <w:color w:val="3399FF"/>
      <w:bdr w:val="single" w:color="D1EDF8" w:sz="6" w:space="0"/>
      <w:shd w:val="clear" w:color="auto" w:fill="EAF9FF"/>
    </w:rPr>
  </w:style>
  <w:style w:type="character" w:customStyle="1" w:styleId="32">
    <w:name w:val="times1"/>
    <w:basedOn w:val="21"/>
    <w:qFormat/>
    <w:uiPriority w:val="0"/>
    <w:rPr>
      <w:color w:val="CDCDCD"/>
      <w:bdr w:val="single" w:color="CDCDCD" w:sz="6" w:space="0"/>
      <w:shd w:val="clear" w:color="auto" w:fill="EFEFEF"/>
    </w:rPr>
  </w:style>
  <w:style w:type="character" w:customStyle="1" w:styleId="33">
    <w:name w:val="hover41"/>
    <w:basedOn w:val="21"/>
    <w:qFormat/>
    <w:uiPriority w:val="0"/>
  </w:style>
  <w:style w:type="character" w:customStyle="1" w:styleId="34">
    <w:name w:val="hover42"/>
    <w:basedOn w:val="21"/>
    <w:qFormat/>
    <w:uiPriority w:val="0"/>
  </w:style>
  <w:style w:type="character" w:customStyle="1" w:styleId="35">
    <w:name w:val="hover31"/>
    <w:basedOn w:val="21"/>
    <w:qFormat/>
    <w:uiPriority w:val="0"/>
  </w:style>
  <w:style w:type="character" w:customStyle="1" w:styleId="36">
    <w:name w:val="页眉 Char"/>
    <w:basedOn w:val="21"/>
    <w:link w:val="12"/>
    <w:qFormat/>
    <w:uiPriority w:val="0"/>
    <w:rPr>
      <w:rFonts w:ascii="Calibri" w:hAnsi="Calibri"/>
      <w:kern w:val="2"/>
      <w:sz w:val="18"/>
      <w:szCs w:val="18"/>
    </w:rPr>
  </w:style>
  <w:style w:type="character" w:customStyle="1" w:styleId="37">
    <w:name w:val="页脚 Char"/>
    <w:basedOn w:val="21"/>
    <w:link w:val="11"/>
    <w:qFormat/>
    <w:uiPriority w:val="0"/>
    <w:rPr>
      <w:rFonts w:ascii="Calibri" w:hAnsi="Calibri"/>
      <w:kern w:val="2"/>
      <w:sz w:val="18"/>
      <w:szCs w:val="18"/>
    </w:rPr>
  </w:style>
  <w:style w:type="paragraph" w:customStyle="1" w:styleId="38">
    <w:name w:val="文一"/>
    <w:basedOn w:val="1"/>
    <w:qFormat/>
    <w:uiPriority w:val="0"/>
    <w:pPr>
      <w:topLinePunct/>
      <w:adjustRightInd w:val="0"/>
      <w:snapToGrid w:val="0"/>
      <w:spacing w:line="360" w:lineRule="auto"/>
      <w:ind w:firstLine="200" w:firstLineChars="200"/>
    </w:pPr>
    <w:rPr>
      <w:snapToGrid w:val="0"/>
      <w:spacing w:val="4"/>
      <w:kern w:val="0"/>
      <w:sz w:val="24"/>
      <w:szCs w:val="24"/>
    </w:rPr>
  </w:style>
  <w:style w:type="character" w:customStyle="1" w:styleId="39">
    <w:name w:val="批注框文本 Char"/>
    <w:basedOn w:val="21"/>
    <w:link w:val="10"/>
    <w:qFormat/>
    <w:uiPriority w:val="0"/>
    <w:rPr>
      <w:rFonts w:ascii="Calibri" w:hAnsi="Calibri"/>
      <w:kern w:val="2"/>
      <w:sz w:val="18"/>
      <w:szCs w:val="18"/>
    </w:rPr>
  </w:style>
  <w:style w:type="character" w:customStyle="1" w:styleId="40">
    <w:name w:val="font01"/>
    <w:basedOn w:val="21"/>
    <w:qFormat/>
    <w:uiPriority w:val="0"/>
    <w:rPr>
      <w:rFonts w:hint="default" w:ascii="Times New Roman" w:hAnsi="Times New Roman" w:cs="Times New Roman"/>
      <w:color w:val="000000"/>
      <w:sz w:val="22"/>
      <w:szCs w:val="22"/>
      <w:u w:val="none"/>
    </w:rPr>
  </w:style>
  <w:style w:type="character" w:customStyle="1" w:styleId="41">
    <w:name w:val="font11"/>
    <w:basedOn w:val="21"/>
    <w:qFormat/>
    <w:uiPriority w:val="0"/>
    <w:rPr>
      <w:rFonts w:hint="eastAsia" w:ascii="宋体" w:hAnsi="宋体" w:eastAsia="宋体" w:cs="宋体"/>
      <w:color w:val="000000"/>
      <w:sz w:val="22"/>
      <w:szCs w:val="22"/>
      <w:u w:val="none"/>
    </w:rPr>
  </w:style>
  <w:style w:type="paragraph" w:customStyle="1" w:styleId="42">
    <w:name w:val="Table Paragraph"/>
    <w:basedOn w:val="1"/>
    <w:qFormat/>
    <w:uiPriority w:val="1"/>
    <w:pPr>
      <w:jc w:val="left"/>
    </w:pPr>
    <w:rPr>
      <w:kern w:val="0"/>
      <w:sz w:val="22"/>
      <w:lang w:eastAsia="en-US"/>
    </w:rPr>
  </w:style>
  <w:style w:type="character" w:customStyle="1" w:styleId="43">
    <w:name w:val="正文文本缩进 Char Char"/>
    <w:basedOn w:val="21"/>
    <w:link w:val="7"/>
    <w:qFormat/>
    <w:uiPriority w:val="0"/>
    <w:rPr>
      <w:rFonts w:eastAsia="楷体_GB2312"/>
      <w:kern w:val="2"/>
      <w:sz w:val="21"/>
      <w:lang w:val="en-US" w:eastAsia="zh-CN" w:bidi="ar-SA"/>
    </w:rPr>
  </w:style>
  <w:style w:type="paragraph" w:customStyle="1" w:styleId="44">
    <w:name w:val=" Char Char Char Char Char Char Char Char Char Char Char Char Char"/>
    <w:basedOn w:val="1"/>
    <w:qFormat/>
    <w:uiPriority w:val="0"/>
    <w:pPr>
      <w:widowControl/>
      <w:jc w:val="left"/>
    </w:pPr>
  </w:style>
  <w:style w:type="character" w:customStyle="1" w:styleId="45">
    <w:name w:val="正文文本 Char Char"/>
    <w:basedOn w:val="21"/>
    <w:link w:val="6"/>
    <w:qFormat/>
    <w:uiPriority w:val="0"/>
    <w:rPr>
      <w:rFonts w:eastAsia="楷体_GB2312"/>
      <w:kern w:val="2"/>
      <w:sz w:val="21"/>
      <w:lang w:val="en-US" w:eastAsia="zh-CN" w:bidi="ar-SA"/>
    </w:rPr>
  </w:style>
  <w:style w:type="paragraph" w:customStyle="1" w:styleId="46">
    <w:name w:val="正文 New New New New New New"/>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styleId="47">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13546</Words>
  <Characters>13914</Characters>
  <Lines>80</Lines>
  <Paragraphs>22</Paragraphs>
  <TotalTime>17</TotalTime>
  <ScaleCrop>false</ScaleCrop>
  <LinksUpToDate>false</LinksUpToDate>
  <CharactersWithSpaces>14672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2019-04-10T04:23:00Z</dcterms:created>
  <dc:creator>Administrator</dc:creator>
  <cp:lastModifiedBy>LGW</cp:lastModifiedBy>
  <cp:lastPrinted>2021-09-29T07:47:00Z</cp:lastPrinted>
  <dcterms:modified xsi:type="dcterms:W3CDTF">2025-01-16T16:39:38Z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2473DAB603E8463184E215BFDA5510FE_13</vt:lpwstr>
  </property>
  <property fmtid="{D5CDD505-2E9C-101B-9397-08002B2CF9AE}" pid="4" name="KSOTemplateDocerSaveRecord">
    <vt:lpwstr>eyJoZGlkIjoiMjk5ZmRmMWQxNDY4MzIxNzBlMGUwMjIwMTc4ZDk5ZDkiLCJ1c2VySWQiOiI0MjM3NDc2OTIifQ==</vt:lpwstr>
  </property>
</Properties>
</file>