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ECAF4">
      <w:pPr>
        <w:rPr>
          <w:rFonts w:hint="eastAsia" w:ascii="宋体" w:hAnsi="宋体" w:eastAsia="宋体" w:cs="宋体"/>
          <w:b/>
          <w:color w:val="auto"/>
          <w:sz w:val="28"/>
          <w:szCs w:val="28"/>
          <w:highlight w:val="none"/>
        </w:rPr>
      </w:pPr>
      <w:bookmarkStart w:id="3" w:name="_GoBack"/>
      <w:bookmarkEnd w:id="3"/>
      <w:r>
        <w:rPr>
          <w:rFonts w:hint="eastAsia" w:ascii="宋体" w:hAnsi="宋体" w:eastAsia="宋体" w:cs="宋体"/>
          <w:b/>
          <w:color w:val="auto"/>
          <w:sz w:val="28"/>
          <w:szCs w:val="28"/>
          <w:highlight w:val="none"/>
        </w:rPr>
        <w:t xml:space="preserve">  </w:t>
      </w:r>
    </w:p>
    <w:p w14:paraId="5545601A">
      <w:pPr>
        <w:spacing w:line="360" w:lineRule="auto"/>
        <w:jc w:val="center"/>
        <w:rPr>
          <w:rFonts w:hint="eastAsia" w:ascii="宋体" w:hAnsi="宋体" w:eastAsia="宋体" w:cs="宋体"/>
          <w:b/>
          <w:bCs/>
          <w:color w:val="auto"/>
          <w:sz w:val="48"/>
          <w:szCs w:val="48"/>
          <w:highlight w:val="none"/>
          <w:u w:val="single"/>
        </w:rPr>
      </w:pPr>
      <w:r>
        <w:rPr>
          <w:rFonts w:hint="eastAsia" w:ascii="宋体" w:hAnsi="宋体" w:cs="宋体"/>
          <w:b/>
          <w:bCs/>
          <w:color w:val="auto"/>
          <w:sz w:val="44"/>
          <w:szCs w:val="44"/>
          <w:highlight w:val="none"/>
          <w:u w:val="single"/>
          <w:lang w:eastAsia="zh-CN"/>
        </w:rPr>
        <w:t>如意坊放射线系统工程（二期）物资回收项目</w:t>
      </w:r>
    </w:p>
    <w:p w14:paraId="78E6EB03">
      <w:pPr>
        <w:pStyle w:val="37"/>
        <w:rPr>
          <w:rFonts w:hint="eastAsia" w:ascii="宋体" w:hAnsi="宋体" w:eastAsia="宋体" w:cs="宋体"/>
          <w:b/>
          <w:bCs/>
          <w:color w:val="auto"/>
          <w:w w:val="150"/>
          <w:sz w:val="52"/>
          <w:szCs w:val="52"/>
          <w:highlight w:val="none"/>
        </w:rPr>
      </w:pPr>
    </w:p>
    <w:p w14:paraId="5F2E0D87">
      <w:pPr>
        <w:spacing w:line="360" w:lineRule="auto"/>
        <w:jc w:val="both"/>
        <w:rPr>
          <w:rFonts w:hint="eastAsia" w:ascii="宋体" w:hAnsi="宋体" w:eastAsia="宋体" w:cs="宋体"/>
          <w:b/>
          <w:bCs/>
          <w:color w:val="auto"/>
          <w:sz w:val="52"/>
          <w:szCs w:val="52"/>
          <w:highlight w:val="none"/>
        </w:rPr>
      </w:pPr>
    </w:p>
    <w:p w14:paraId="36713555">
      <w:pPr>
        <w:spacing w:line="360" w:lineRule="auto"/>
        <w:jc w:val="center"/>
        <w:rPr>
          <w:rFonts w:hint="eastAsia" w:ascii="宋体" w:hAnsi="宋体" w:eastAsia="宋体" w:cs="宋体"/>
          <w:b/>
          <w:bCs/>
          <w:color w:val="auto"/>
          <w:sz w:val="52"/>
          <w:szCs w:val="52"/>
          <w:highlight w:val="none"/>
        </w:rPr>
      </w:pPr>
    </w:p>
    <w:p w14:paraId="07DAEE2A">
      <w:pPr>
        <w:spacing w:line="360" w:lineRule="auto"/>
        <w:jc w:val="center"/>
        <w:rPr>
          <w:rFonts w:hint="eastAsia" w:ascii="宋体" w:hAnsi="宋体" w:eastAsia="宋体" w:cs="宋体"/>
          <w:b/>
          <w:bCs/>
          <w:color w:val="auto"/>
          <w:sz w:val="52"/>
          <w:szCs w:val="52"/>
          <w:highlight w:val="none"/>
        </w:rPr>
      </w:pPr>
    </w:p>
    <w:p w14:paraId="0757EC8D">
      <w:pPr>
        <w:spacing w:line="360" w:lineRule="auto"/>
        <w:jc w:val="center"/>
        <w:rPr>
          <w:rFonts w:hint="eastAsia" w:ascii="宋体" w:hAnsi="宋体" w:eastAsia="宋体" w:cs="宋体"/>
          <w:b/>
          <w:bCs/>
          <w:color w:val="auto"/>
          <w:sz w:val="52"/>
          <w:szCs w:val="52"/>
          <w:highlight w:val="none"/>
        </w:rPr>
      </w:pPr>
    </w:p>
    <w:p w14:paraId="18AD83D5">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52"/>
          <w:szCs w:val="52"/>
          <w:highlight w:val="none"/>
        </w:rPr>
        <w:t>询比文件</w:t>
      </w:r>
    </w:p>
    <w:p w14:paraId="15274D48">
      <w:pPr>
        <w:spacing w:line="360" w:lineRule="auto"/>
        <w:jc w:val="center"/>
        <w:rPr>
          <w:rFonts w:hint="eastAsia" w:ascii="宋体" w:hAnsi="宋体" w:eastAsia="宋体" w:cs="宋体"/>
          <w:b/>
          <w:bCs/>
          <w:color w:val="auto"/>
          <w:w w:val="150"/>
          <w:sz w:val="44"/>
          <w:szCs w:val="44"/>
          <w:highlight w:val="none"/>
        </w:rPr>
      </w:pPr>
      <w:r>
        <w:rPr>
          <w:rFonts w:hint="eastAsia" w:ascii="宋体" w:hAnsi="宋体" w:eastAsia="宋体" w:cs="宋体"/>
          <w:b/>
          <w:bCs/>
          <w:color w:val="auto"/>
          <w:w w:val="150"/>
          <w:sz w:val="44"/>
          <w:szCs w:val="44"/>
          <w:highlight w:val="none"/>
        </w:rPr>
        <w:t xml:space="preserve"> </w:t>
      </w:r>
    </w:p>
    <w:p w14:paraId="205651EA">
      <w:pPr>
        <w:pStyle w:val="37"/>
        <w:rPr>
          <w:rFonts w:hint="eastAsia" w:ascii="宋体" w:hAnsi="宋体" w:eastAsia="宋体" w:cs="宋体"/>
          <w:b/>
          <w:bCs/>
          <w:color w:val="auto"/>
          <w:w w:val="150"/>
          <w:sz w:val="44"/>
          <w:szCs w:val="44"/>
          <w:highlight w:val="none"/>
        </w:rPr>
      </w:pPr>
    </w:p>
    <w:p w14:paraId="48F6B198">
      <w:pPr>
        <w:pStyle w:val="37"/>
        <w:rPr>
          <w:rFonts w:hint="eastAsia" w:ascii="宋体" w:hAnsi="宋体" w:eastAsia="宋体" w:cs="宋体"/>
          <w:b/>
          <w:bCs/>
          <w:color w:val="auto"/>
          <w:w w:val="150"/>
          <w:sz w:val="44"/>
          <w:szCs w:val="44"/>
          <w:highlight w:val="none"/>
        </w:rPr>
      </w:pPr>
    </w:p>
    <w:p w14:paraId="13FF2CF7">
      <w:pPr>
        <w:spacing w:line="360" w:lineRule="auto"/>
        <w:jc w:val="center"/>
        <w:rPr>
          <w:rFonts w:hint="eastAsia" w:ascii="宋体" w:hAnsi="宋体" w:eastAsia="宋体" w:cs="宋体"/>
          <w:b/>
          <w:bCs/>
          <w:color w:val="auto"/>
          <w:sz w:val="36"/>
          <w:szCs w:val="36"/>
          <w:highlight w:val="none"/>
        </w:rPr>
      </w:pPr>
    </w:p>
    <w:p w14:paraId="0016BF27">
      <w:pPr>
        <w:spacing w:line="360" w:lineRule="auto"/>
        <w:jc w:val="center"/>
        <w:rPr>
          <w:rFonts w:hint="eastAsia" w:ascii="宋体" w:hAnsi="宋体" w:eastAsia="宋体" w:cs="宋体"/>
          <w:b/>
          <w:bCs/>
          <w:color w:val="auto"/>
          <w:sz w:val="36"/>
          <w:szCs w:val="36"/>
          <w:highlight w:val="none"/>
        </w:rPr>
      </w:pPr>
    </w:p>
    <w:p w14:paraId="31132DBE">
      <w:pPr>
        <w:spacing w:line="360" w:lineRule="auto"/>
        <w:jc w:val="center"/>
        <w:rPr>
          <w:rFonts w:hint="eastAsia" w:ascii="宋体" w:hAnsi="宋体" w:eastAsia="宋体" w:cs="宋体"/>
          <w:b/>
          <w:bCs/>
          <w:color w:val="auto"/>
          <w:sz w:val="36"/>
          <w:szCs w:val="36"/>
          <w:highlight w:val="none"/>
        </w:rPr>
      </w:pPr>
    </w:p>
    <w:p w14:paraId="28DEEDA7">
      <w:pPr>
        <w:spacing w:line="360" w:lineRule="auto"/>
        <w:jc w:val="center"/>
        <w:rPr>
          <w:rFonts w:hint="eastAsia" w:ascii="宋体" w:hAnsi="宋体" w:eastAsia="宋体" w:cs="宋体"/>
          <w:b/>
          <w:bCs/>
          <w:color w:val="auto"/>
          <w:sz w:val="36"/>
          <w:szCs w:val="36"/>
          <w:highlight w:val="none"/>
        </w:rPr>
      </w:pPr>
    </w:p>
    <w:p w14:paraId="286F5994">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询比单位：</w:t>
      </w:r>
      <w:r>
        <w:rPr>
          <w:rFonts w:hint="eastAsia" w:ascii="宋体" w:hAnsi="宋体" w:cs="宋体"/>
          <w:b/>
          <w:bCs/>
          <w:color w:val="auto"/>
          <w:sz w:val="32"/>
          <w:szCs w:val="32"/>
          <w:highlight w:val="none"/>
          <w:lang w:eastAsia="zh-CN"/>
        </w:rPr>
        <w:t>广州市荔湾区道路扩建工程办公室</w:t>
      </w:r>
    </w:p>
    <w:p w14:paraId="7C6B91BC">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询比代理</w:t>
      </w:r>
      <w:r>
        <w:rPr>
          <w:rFonts w:hint="eastAsia" w:ascii="宋体" w:hAnsi="宋体" w:cs="宋体"/>
          <w:b/>
          <w:bCs/>
          <w:color w:val="auto"/>
          <w:sz w:val="32"/>
          <w:szCs w:val="32"/>
          <w:highlight w:val="none"/>
          <w:lang w:val="en-US" w:eastAsia="zh-CN"/>
        </w:rPr>
        <w:t>机构</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中投德创建工有限公司</w:t>
      </w:r>
    </w:p>
    <w:p w14:paraId="7441332E">
      <w:pPr>
        <w:jc w:val="center"/>
        <w:rPr>
          <w:rFonts w:hint="eastAsia" w:ascii="宋体" w:hAnsi="宋体" w:eastAsia="宋体" w:cs="宋体"/>
          <w:b/>
          <w:color w:val="auto"/>
          <w:sz w:val="36"/>
          <w:szCs w:val="36"/>
          <w:highlight w:val="none"/>
        </w:rPr>
        <w:sectPr>
          <w:headerReference r:id="rId3" w:type="default"/>
          <w:headerReference r:id="rId4" w:type="even"/>
          <w:pgSz w:w="11906" w:h="16838"/>
          <w:pgMar w:top="1134" w:right="1134" w:bottom="1134" w:left="1247" w:header="510" w:footer="510" w:gutter="0"/>
          <w:pgNumType w:start="1"/>
          <w:cols w:space="0" w:num="1"/>
          <w:rtlGutter w:val="0"/>
          <w:docGrid w:type="lines" w:linePitch="312" w:charSpace="0"/>
        </w:sectPr>
      </w:pPr>
      <w:r>
        <w:rPr>
          <w:rFonts w:hint="eastAsia" w:ascii="宋体" w:hAnsi="宋体" w:eastAsia="宋体" w:cs="宋体"/>
          <w:b/>
          <w:color w:val="auto"/>
          <w:sz w:val="32"/>
          <w:szCs w:val="32"/>
          <w:highlight w:val="none"/>
        </w:rPr>
        <w:t>二○二</w:t>
      </w:r>
      <w:r>
        <w:rPr>
          <w:rFonts w:hint="eastAsia" w:ascii="宋体" w:hAnsi="宋体" w:eastAsia="宋体" w:cs="宋体"/>
          <w:b/>
          <w:color w:val="auto"/>
          <w:sz w:val="32"/>
          <w:szCs w:val="32"/>
          <w:highlight w:val="none"/>
          <w:lang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月</w:t>
      </w:r>
    </w:p>
    <w:p w14:paraId="1C75C5CD">
      <w:pPr>
        <w:pStyle w:val="16"/>
        <w:widowControl/>
        <w:shd w:val="clear" w:color="auto" w:fill="FFFFFF"/>
        <w:spacing w:before="150" w:beforeAutospacing="0" w:after="150" w:afterAutospacing="0" w:line="360" w:lineRule="auto"/>
        <w:jc w:val="center"/>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第一章 询比公告</w:t>
      </w:r>
    </w:p>
    <w:p w14:paraId="4684CDFF">
      <w:pPr>
        <w:spacing w:line="360" w:lineRule="auto"/>
        <w:ind w:firstLine="480" w:firstLineChars="200"/>
        <w:jc w:val="left"/>
        <w:textAlignment w:val="top"/>
        <w:rPr>
          <w:rFonts w:hint="eastAsia" w:ascii="宋体" w:hAnsi="宋体" w:eastAsia="宋体" w:cs="宋体"/>
          <w:b/>
          <w:bCs/>
          <w:color w:val="auto"/>
          <w:sz w:val="24"/>
          <w:highlight w:val="none"/>
        </w:rPr>
      </w:pPr>
      <w:bookmarkStart w:id="0" w:name="EB4031cd9436d540afae2ad391deff5c0e"/>
      <w:r>
        <w:rPr>
          <w:rFonts w:hint="eastAsia" w:ascii="宋体" w:hAnsi="宋体" w:eastAsia="宋体" w:cs="宋体"/>
          <w:color w:val="auto"/>
          <w:sz w:val="24"/>
          <w:highlight w:val="none"/>
          <w:shd w:val="clear" w:color="auto" w:fill="FFFFFF"/>
        </w:rPr>
        <w:t>为更好地择优选取</w:t>
      </w:r>
      <w:bookmarkEnd w:id="0"/>
      <w:r>
        <w:rPr>
          <w:rFonts w:hint="eastAsia" w:ascii="宋体" w:hAnsi="宋体" w:cs="宋体"/>
          <w:color w:val="auto"/>
          <w:sz w:val="24"/>
          <w:highlight w:val="none"/>
          <w:u w:val="single"/>
          <w:shd w:val="clear" w:color="auto" w:fill="FFFFFF"/>
          <w:lang w:eastAsia="zh-CN"/>
        </w:rPr>
        <w:t>如意坊放射线系统工程（二期）物资回收项目</w:t>
      </w:r>
      <w:r>
        <w:rPr>
          <w:rFonts w:hint="eastAsia" w:ascii="宋体" w:hAnsi="宋体" w:eastAsia="宋体" w:cs="宋体"/>
          <w:color w:val="auto"/>
          <w:sz w:val="24"/>
          <w:highlight w:val="none"/>
          <w:shd w:val="clear" w:color="auto" w:fill="FFFFFF"/>
        </w:rPr>
        <w:t>单位，现</w:t>
      </w:r>
      <w:r>
        <w:rPr>
          <w:rFonts w:hint="eastAsia" w:ascii="宋体" w:hAnsi="宋体" w:cs="宋体"/>
          <w:color w:val="auto"/>
          <w:sz w:val="24"/>
          <w:highlight w:val="none"/>
          <w:lang w:eastAsia="zh-CN"/>
        </w:rPr>
        <w:t>广州市荔湾区道路扩建工程办公室</w:t>
      </w:r>
      <w:r>
        <w:rPr>
          <w:rFonts w:hint="eastAsia" w:ascii="宋体" w:hAnsi="宋体" w:eastAsia="宋体" w:cs="宋体"/>
          <w:color w:val="auto"/>
          <w:sz w:val="24"/>
          <w:highlight w:val="none"/>
          <w:shd w:val="clear" w:color="auto" w:fill="FFFFFF"/>
        </w:rPr>
        <w:t>进行公开询比，在报名并</w:t>
      </w:r>
      <w:r>
        <w:rPr>
          <w:rFonts w:hint="eastAsia" w:ascii="宋体" w:hAnsi="宋体" w:eastAsia="宋体" w:cs="宋体"/>
          <w:color w:val="auto"/>
          <w:sz w:val="24"/>
          <w:highlight w:val="none"/>
        </w:rPr>
        <w:t>符合要求的企业内选取一家承办单位</w:t>
      </w:r>
      <w:r>
        <w:rPr>
          <w:rFonts w:hint="eastAsia" w:ascii="宋体" w:hAnsi="宋体" w:eastAsia="宋体" w:cs="宋体"/>
          <w:color w:val="auto"/>
          <w:sz w:val="24"/>
          <w:highlight w:val="none"/>
          <w:shd w:val="clear" w:color="auto" w:fill="FFFFFF"/>
        </w:rPr>
        <w:t>，</w:t>
      </w:r>
      <w:bookmarkStart w:id="1" w:name="EBf5670e6d291445918fbaeeb8f3e1df8e"/>
      <w:r>
        <w:rPr>
          <w:rFonts w:hint="eastAsia" w:ascii="宋体" w:hAnsi="宋体" w:eastAsia="宋体" w:cs="宋体"/>
          <w:color w:val="auto"/>
          <w:sz w:val="24"/>
          <w:highlight w:val="none"/>
          <w:shd w:val="clear" w:color="auto" w:fill="FFFFFF"/>
        </w:rPr>
        <w:t>欢迎符合资格条件的意向人报名参加。</w:t>
      </w:r>
      <w:bookmarkEnd w:id="1"/>
    </w:p>
    <w:p w14:paraId="1595DFD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73C6FFC9">
      <w:pPr>
        <w:pStyle w:val="16"/>
        <w:spacing w:beforeAutospacing="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1.1项目名称：</w:t>
      </w:r>
      <w:r>
        <w:rPr>
          <w:rFonts w:hint="eastAsia" w:ascii="宋体" w:hAnsi="宋体" w:cs="宋体"/>
          <w:color w:val="auto"/>
          <w:highlight w:val="none"/>
          <w:u w:val="single"/>
          <w:shd w:val="clear" w:color="auto" w:fill="FFFFFF"/>
          <w:lang w:eastAsia="zh-CN"/>
        </w:rPr>
        <w:t>如意坊放射线系统工程（二期）物资回收项目</w:t>
      </w:r>
      <w:r>
        <w:rPr>
          <w:rFonts w:hint="eastAsia" w:ascii="宋体" w:hAnsi="宋体" w:eastAsia="宋体" w:cs="宋体"/>
          <w:color w:val="auto"/>
          <w:highlight w:val="none"/>
        </w:rPr>
        <w:t>。</w:t>
      </w:r>
    </w:p>
    <w:p w14:paraId="1BC8B46C">
      <w:pPr>
        <w:pStyle w:val="16"/>
        <w:spacing w:beforeAutospacing="0" w:afterAutospacing="0"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1.2</w:t>
      </w:r>
      <w:r>
        <w:rPr>
          <w:rFonts w:hint="eastAsia" w:ascii="宋体" w:hAnsi="宋体" w:cs="宋体"/>
          <w:color w:val="auto"/>
          <w:highlight w:val="none"/>
          <w:lang w:val="en-US" w:eastAsia="zh-CN"/>
        </w:rPr>
        <w:t>工作内容</w:t>
      </w:r>
      <w:r>
        <w:rPr>
          <w:rFonts w:hint="eastAsia" w:ascii="宋体" w:hAnsi="宋体" w:eastAsia="宋体" w:cs="宋体"/>
          <w:color w:val="auto"/>
          <w:highlight w:val="none"/>
        </w:rPr>
        <w:t>：</w:t>
      </w:r>
      <w:r>
        <w:rPr>
          <w:rFonts w:hint="eastAsia" w:ascii="宋体" w:hAnsi="宋体" w:cs="宋体"/>
          <w:color w:val="auto"/>
          <w:highlight w:val="none"/>
          <w:lang w:val="en-US" w:eastAsia="zh-CN"/>
        </w:rPr>
        <w:t>回收物资详见附件五《报价明细表》，</w:t>
      </w:r>
      <w:r>
        <w:rPr>
          <w:rFonts w:hint="eastAsia" w:ascii="Calibri" w:hAnsi="Calibri" w:eastAsia="宋体" w:cs="Times New Roman"/>
          <w:sz w:val="24"/>
          <w:szCs w:val="24"/>
          <w:highlight w:val="none"/>
          <w:lang w:val="en-US"/>
        </w:rPr>
        <w:t>本项目的</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分多次进行，每次具备</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条件，</w:t>
      </w:r>
      <w:r>
        <w:rPr>
          <w:rFonts w:hint="eastAsia" w:ascii="Calibri" w:hAnsi="Calibri" w:eastAsia="宋体" w:cs="Times New Roman"/>
          <w:sz w:val="24"/>
          <w:szCs w:val="24"/>
          <w:highlight w:val="none"/>
          <w:lang w:val="en-US" w:eastAsia="zh-CN"/>
        </w:rPr>
        <w:t>招标人</w:t>
      </w:r>
      <w:r>
        <w:rPr>
          <w:rFonts w:hint="eastAsia" w:ascii="Calibri" w:hAnsi="Calibri" w:eastAsia="宋体" w:cs="Times New Roman"/>
          <w:sz w:val="24"/>
          <w:szCs w:val="24"/>
          <w:highlight w:val="none"/>
          <w:lang w:val="en-US"/>
        </w:rPr>
        <w:t>以书面</w:t>
      </w:r>
      <w:r>
        <w:rPr>
          <w:rFonts w:hint="eastAsia" w:ascii="Calibri" w:hAnsi="Calibri" w:eastAsia="宋体" w:cs="Times New Roman"/>
          <w:sz w:val="24"/>
          <w:szCs w:val="24"/>
          <w:highlight w:val="none"/>
          <w:lang w:val="en-US" w:eastAsia="zh-CN"/>
        </w:rPr>
        <w:t>方式</w:t>
      </w:r>
      <w:r>
        <w:rPr>
          <w:rFonts w:hint="eastAsia" w:ascii="Calibri" w:hAnsi="Calibri" w:eastAsia="宋体" w:cs="Times New Roman"/>
          <w:sz w:val="24"/>
          <w:szCs w:val="24"/>
          <w:highlight w:val="none"/>
          <w:lang w:val="en-US"/>
        </w:rPr>
        <w:t>通知</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进行</w:t>
      </w:r>
      <w:r>
        <w:rPr>
          <w:rFonts w:hint="eastAsia" w:ascii="Calibri" w:hAnsi="Calibri" w:eastAsia="宋体" w:cs="Times New Roman"/>
          <w:sz w:val="24"/>
          <w:szCs w:val="24"/>
          <w:highlight w:val="none"/>
          <w:lang w:val="en-US" w:eastAsia="zh-CN"/>
        </w:rPr>
        <w:t>回收</w:t>
      </w:r>
      <w:r>
        <w:rPr>
          <w:rFonts w:hint="eastAsia" w:ascii="Calibri" w:hAnsi="Calibri" w:cs="Times New Roman"/>
          <w:sz w:val="24"/>
          <w:szCs w:val="24"/>
          <w:highlight w:val="none"/>
          <w:lang w:val="en-US" w:eastAsia="zh-CN"/>
        </w:rPr>
        <w:t>，如</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须自行拆除的，由</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安排协调拆除事宜，拆除费用由</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承担</w:t>
      </w:r>
      <w:r>
        <w:rPr>
          <w:rFonts w:hint="eastAsia" w:ascii="宋体" w:hAnsi="宋体" w:cs="宋体"/>
          <w:color w:val="auto"/>
          <w:highlight w:val="none"/>
          <w:lang w:eastAsia="zh-CN"/>
        </w:rPr>
        <w:t>。</w:t>
      </w:r>
    </w:p>
    <w:p w14:paraId="4FB81FF8">
      <w:pPr>
        <w:pStyle w:val="16"/>
        <w:spacing w:beforeAutospacing="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1.3项目地址：</w:t>
      </w:r>
      <w:r>
        <w:rPr>
          <w:rFonts w:hint="eastAsia" w:ascii="宋体" w:hAnsi="宋体" w:eastAsia="宋体" w:cs="宋体"/>
          <w:color w:val="auto"/>
          <w:highlight w:val="none"/>
          <w:u w:val="single"/>
        </w:rPr>
        <w:t>广州市荔湾区</w:t>
      </w:r>
      <w:r>
        <w:rPr>
          <w:rFonts w:hint="eastAsia" w:ascii="宋体" w:hAnsi="宋体" w:eastAsia="宋体" w:cs="宋体"/>
          <w:color w:val="auto"/>
          <w:highlight w:val="none"/>
        </w:rPr>
        <w:t>。</w:t>
      </w:r>
    </w:p>
    <w:p w14:paraId="04F051B2">
      <w:pPr>
        <w:pStyle w:val="16"/>
        <w:spacing w:beforeAutospacing="0" w:afterAutospacing="0" w:line="360" w:lineRule="auto"/>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1.4服务期：从签订合同起至完成</w:t>
      </w:r>
      <w:r>
        <w:rPr>
          <w:rFonts w:hint="eastAsia" w:ascii="宋体" w:hAnsi="宋体" w:cs="宋体"/>
          <w:color w:val="auto"/>
          <w:kern w:val="2"/>
          <w:highlight w:val="none"/>
          <w:lang w:val="en-US" w:eastAsia="zh-CN"/>
        </w:rPr>
        <w:t>物资回收止</w:t>
      </w:r>
      <w:r>
        <w:rPr>
          <w:rFonts w:hint="eastAsia" w:ascii="宋体" w:hAnsi="宋体" w:eastAsia="宋体" w:cs="宋体"/>
          <w:color w:val="auto"/>
          <w:kern w:val="2"/>
          <w:highlight w:val="none"/>
        </w:rPr>
        <w:t>。</w:t>
      </w:r>
    </w:p>
    <w:p w14:paraId="73C03169">
      <w:pPr>
        <w:pStyle w:val="16"/>
        <w:spacing w:beforeAutospacing="0" w:afterAutospacing="0" w:line="360" w:lineRule="auto"/>
        <w:jc w:val="both"/>
        <w:rPr>
          <w:rFonts w:hint="default" w:ascii="宋体" w:hAnsi="宋体" w:eastAsia="宋体" w:cs="宋体"/>
          <w:color w:val="auto"/>
          <w:kern w:val="2"/>
          <w:highlight w:val="none"/>
          <w:lang w:val="en-US" w:eastAsia="zh-CN"/>
        </w:rPr>
      </w:pPr>
      <w:r>
        <w:rPr>
          <w:rFonts w:hint="eastAsia" w:ascii="宋体" w:hAnsi="宋体" w:eastAsia="宋体" w:cs="宋体"/>
          <w:b/>
          <w:bCs/>
          <w:color w:val="auto"/>
          <w:kern w:val="2"/>
          <w:highlight w:val="none"/>
        </w:rPr>
        <w:t>二.</w:t>
      </w:r>
      <w:r>
        <w:rPr>
          <w:rFonts w:hint="eastAsia" w:ascii="宋体" w:hAnsi="宋体" w:cs="宋体"/>
          <w:b/>
          <w:bCs/>
          <w:color w:val="auto"/>
          <w:kern w:val="2"/>
          <w:highlight w:val="none"/>
          <w:lang w:val="en-US" w:eastAsia="zh-CN"/>
        </w:rPr>
        <w:t>服务内容</w:t>
      </w:r>
    </w:p>
    <w:p w14:paraId="7E9B6698">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附件五《报价明细表》。</w:t>
      </w:r>
    </w:p>
    <w:p w14:paraId="060914C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三.报价人资格要求</w:t>
      </w:r>
    </w:p>
    <w:p w14:paraId="594FA9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报价人具有独立法人资格，持有市场监督（工商行政）管理部门核发的法人营业执照或各级登记管理机关颁发的事业单位法人证书，按国家法律经营。</w:t>
      </w:r>
    </w:p>
    <w:p w14:paraId="233F7A12">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kern w:val="0"/>
          <w:sz w:val="24"/>
          <w:highlight w:val="none"/>
          <w:lang w:eastAsia="zh-CN"/>
        </w:rPr>
        <w:t>、单位负责人为同一人或者存在直接控股、 管理关系的不同供应商，不得同时参加本采购项目（或采购包） 投标（响应）。 为本项目提供整体设计、 规范编制或者项目管理、 监理、 检测等服务的供应商，不得再参与本项目投标（响应）。 （提供承诺函，格式自拟）。</w:t>
      </w:r>
    </w:p>
    <w:p w14:paraId="3E62EBBE">
      <w:p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eastAsia="zh-CN"/>
        </w:rPr>
        <w:t>投标人必须具备有效的《再生资源回收经营者备案登记证明》和《废旧金属收购业备案书》</w:t>
      </w:r>
      <w:r>
        <w:rPr>
          <w:rFonts w:hint="eastAsia" w:ascii="宋体" w:hAnsi="宋体" w:cs="宋体"/>
          <w:b w:val="0"/>
          <w:bCs w:val="0"/>
          <w:color w:val="auto"/>
          <w:sz w:val="24"/>
          <w:highlight w:val="none"/>
          <w:lang w:eastAsia="zh-CN"/>
        </w:rPr>
        <w:t>。</w:t>
      </w:r>
    </w:p>
    <w:p w14:paraId="362A95D6">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本</w:t>
      </w:r>
      <w:r>
        <w:rPr>
          <w:rFonts w:hint="eastAsia" w:ascii="宋体" w:hAnsi="宋体" w:cs="宋体"/>
          <w:b/>
          <w:bCs/>
          <w:color w:val="auto"/>
          <w:sz w:val="24"/>
          <w:highlight w:val="none"/>
          <w:lang w:val="en-US" w:eastAsia="zh-CN"/>
        </w:rPr>
        <w:t>项目</w:t>
      </w:r>
      <w:r>
        <w:rPr>
          <w:rFonts w:hint="eastAsia" w:ascii="宋体" w:hAnsi="宋体" w:eastAsia="宋体" w:cs="宋体"/>
          <w:b/>
          <w:bCs/>
          <w:color w:val="auto"/>
          <w:sz w:val="24"/>
          <w:highlight w:val="none"/>
          <w:lang w:eastAsia="zh-CN"/>
        </w:rPr>
        <w:t>不接受联合体。</w:t>
      </w:r>
    </w:p>
    <w:p w14:paraId="6ADC594E">
      <w:pPr>
        <w:numPr>
          <w:ilvl w:val="0"/>
          <w:numId w:val="0"/>
        </w:numPr>
        <w:spacing w:line="360" w:lineRule="auto"/>
        <w:textAlignment w:val="top"/>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四.询比代理服务费及</w:t>
      </w:r>
      <w:r>
        <w:rPr>
          <w:rFonts w:hint="eastAsia" w:ascii="宋体" w:hAnsi="宋体" w:cs="宋体"/>
          <w:b/>
          <w:bCs/>
          <w:color w:val="auto"/>
          <w:sz w:val="24"/>
          <w:highlight w:val="none"/>
          <w:lang w:val="en-US" w:eastAsia="zh-CN"/>
        </w:rPr>
        <w:t>中选</w:t>
      </w:r>
      <w:r>
        <w:rPr>
          <w:rFonts w:hint="eastAsia" w:ascii="宋体" w:hAnsi="宋体" w:eastAsia="宋体" w:cs="宋体"/>
          <w:b/>
          <w:bCs/>
          <w:color w:val="auto"/>
          <w:sz w:val="24"/>
          <w:highlight w:val="none"/>
        </w:rPr>
        <w:t>通知书的交付</w:t>
      </w:r>
    </w:p>
    <w:p w14:paraId="7C53A14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highlight w:val="none"/>
          <w:u w:val="none"/>
          <w:lang w:val="en-US" w:eastAsia="zh-CN"/>
        </w:rPr>
        <w:t>本次招标代理服务费根据所签订的招标代理合同计算收取，由中标单位在领取中标通知书时一次性支付给招标代理服务机构。</w:t>
      </w:r>
    </w:p>
    <w:p w14:paraId="32A13E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五.报价及结算方式</w:t>
      </w:r>
    </w:p>
    <w:p w14:paraId="5AF2CF52">
      <w:pPr>
        <w:pStyle w:val="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sz w:val="24"/>
          <w:highlight w:val="none"/>
        </w:rPr>
        <w:t>回收处置的最低价值</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1106180</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元（大写：</w:t>
      </w:r>
      <w:r>
        <w:rPr>
          <w:rFonts w:hint="eastAsia" w:ascii="宋体" w:hAnsi="宋体" w:cs="宋体"/>
          <w:color w:val="auto"/>
          <w:sz w:val="24"/>
          <w:highlight w:val="none"/>
          <w:lang w:val="en-US" w:eastAsia="zh-CN"/>
        </w:rPr>
        <w:t>壹佰壹拾万零陆仟壹佰捌拾元整</w:t>
      </w:r>
      <w:r>
        <w:rPr>
          <w:rFonts w:hint="eastAsia" w:ascii="宋体" w:hAnsi="宋体" w:eastAsia="宋体" w:cs="宋体"/>
          <w:color w:val="auto"/>
          <w:sz w:val="24"/>
          <w:highlight w:val="none"/>
        </w:rPr>
        <w:t>）。</w:t>
      </w:r>
    </w:p>
    <w:p w14:paraId="3BB2BC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5.2报价要求：报价总金额是固定价且是唯一的，</w:t>
      </w:r>
      <w:r>
        <w:rPr>
          <w:sz w:val="24"/>
          <w:highlight w:val="none"/>
        </w:rPr>
        <w:t>供应商报价不得少于此最低价值</w:t>
      </w:r>
      <w:r>
        <w:rPr>
          <w:rFonts w:hint="eastAsia" w:ascii="宋体" w:hAnsi="宋体" w:eastAsia="宋体" w:cs="宋体"/>
          <w:b/>
          <w:bCs/>
          <w:color w:val="auto"/>
          <w:sz w:val="24"/>
          <w:highlight w:val="none"/>
          <w:lang w:eastAsia="zh-CN"/>
        </w:rPr>
        <w:t>。</w:t>
      </w:r>
    </w:p>
    <w:p w14:paraId="7CE771EC">
      <w:pPr>
        <w:pStyle w:val="5"/>
        <w:spacing w:line="360" w:lineRule="auto"/>
        <w:ind w:firstLine="480" w:firstLineChars="200"/>
        <w:rPr>
          <w:rFonts w:hint="eastAsia" w:ascii="宋体" w:hAnsi="宋体" w:eastAsia="宋体" w:cs="宋体"/>
          <w:color w:val="auto"/>
          <w:sz w:val="24"/>
          <w:highlight w:val="yellow"/>
        </w:rPr>
      </w:pPr>
      <w:r>
        <w:rPr>
          <w:rFonts w:hint="eastAsia" w:ascii="宋体" w:hAnsi="宋体" w:eastAsia="宋体" w:cs="宋体"/>
          <w:color w:val="auto"/>
          <w:sz w:val="24"/>
          <w:highlight w:val="none"/>
        </w:rPr>
        <w:t>5.3本项目中选价为暂定价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最终结算金额</w:t>
      </w:r>
      <w:r>
        <w:rPr>
          <w:rFonts w:hint="eastAsia" w:ascii="宋体" w:hAnsi="宋体" w:cs="宋体"/>
          <w:color w:val="auto"/>
          <w:sz w:val="24"/>
          <w:highlight w:val="none"/>
          <w:lang w:val="en-US" w:eastAsia="zh-CN"/>
        </w:rPr>
        <w:t>按实际工程量结算</w:t>
      </w:r>
      <w:r>
        <w:rPr>
          <w:rFonts w:hint="eastAsia" w:ascii="宋体" w:hAnsi="宋体" w:eastAsia="宋体" w:cs="宋体"/>
          <w:color w:val="auto"/>
          <w:sz w:val="24"/>
          <w:highlight w:val="none"/>
        </w:rPr>
        <w:t>。</w:t>
      </w:r>
    </w:p>
    <w:p w14:paraId="1ADF3CA6">
      <w:pPr>
        <w:pStyle w:val="37"/>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六.</w:t>
      </w:r>
      <w:r>
        <w:rPr>
          <w:rFonts w:hint="eastAsia" w:ascii="宋体" w:hAnsi="宋体" w:eastAsia="宋体" w:cs="宋体"/>
          <w:b/>
          <w:bCs/>
          <w:color w:val="auto"/>
          <w:sz w:val="24"/>
          <w:szCs w:val="24"/>
          <w:highlight w:val="none"/>
        </w:rPr>
        <w:t>询比文件的获取和公告时间</w:t>
      </w:r>
    </w:p>
    <w:p w14:paraId="2F6FB42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1.凡有意参加报价者，请于</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日，登录广州市荔湾区人民政府网站下载询比文件。</w:t>
      </w:r>
    </w:p>
    <w:p w14:paraId="43AD988C">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2.询比公告发布时间：</w:t>
      </w:r>
    </w:p>
    <w:p w14:paraId="77FC427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发布询比公告开始日期（含本日）为：</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日；</w:t>
      </w:r>
    </w:p>
    <w:p w14:paraId="5308CB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发布询比公告截止日期（含本日）为：</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日。</w:t>
      </w:r>
    </w:p>
    <w:p w14:paraId="0002174E">
      <w:pPr>
        <w:spacing w:line="360" w:lineRule="auto"/>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rPr>
        <w:t>七.</w:t>
      </w:r>
      <w:r>
        <w:rPr>
          <w:rFonts w:hint="eastAsia" w:ascii="宋体" w:hAnsi="宋体" w:eastAsia="宋体" w:cs="宋体"/>
          <w:b/>
          <w:bCs/>
          <w:color w:val="auto"/>
          <w:sz w:val="24"/>
          <w:highlight w:val="none"/>
          <w:shd w:val="clear" w:color="auto" w:fill="FFFFFF"/>
        </w:rPr>
        <w:t>报价文件的递交时间和递交地点：</w:t>
      </w:r>
    </w:p>
    <w:p w14:paraId="23020F2C">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由报价意向人的法定代表人或授权代表</w:t>
      </w:r>
      <w:r>
        <w:rPr>
          <w:rFonts w:hint="eastAsia" w:ascii="宋体" w:hAnsi="宋体" w:eastAsia="宋体" w:cs="宋体"/>
          <w:b/>
          <w:bCs/>
          <w:color w:val="auto"/>
          <w:sz w:val="24"/>
          <w:highlight w:val="none"/>
        </w:rPr>
        <w:t>手持法定代表人证明书、授权委托书及身份证原件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none"/>
          <w:lang w:eastAsia="zh-CN"/>
        </w:rPr>
        <w:t>2025年</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u w:val="none"/>
          <w:lang w:val="en-US" w:eastAsia="zh-CN"/>
        </w:rPr>
        <w:t>22</w:t>
      </w:r>
      <w:r>
        <w:rPr>
          <w:rFonts w:hint="eastAsia" w:ascii="宋体" w:hAnsi="宋体" w:eastAsia="宋体" w:cs="宋体"/>
          <w:color w:val="auto"/>
          <w:sz w:val="24"/>
          <w:highlight w:val="none"/>
        </w:rPr>
        <w:t>日</w:t>
      </w:r>
      <w:r>
        <w:rPr>
          <w:rFonts w:hint="eastAsia" w:ascii="宋体" w:hAnsi="宋体" w:eastAsia="宋体" w:cs="宋体"/>
          <w:color w:val="auto"/>
          <w:kern w:val="0"/>
          <w:sz w:val="24"/>
          <w:highlight w:val="none"/>
        </w:rPr>
        <w:t>上午</w:t>
      </w:r>
      <w:r>
        <w:rPr>
          <w:rFonts w:hint="eastAsia" w:ascii="宋体" w:hAnsi="宋体" w:eastAsia="宋体" w:cs="宋体"/>
          <w:color w:val="auto"/>
          <w:kern w:val="0"/>
          <w:sz w:val="24"/>
          <w:highlight w:val="none"/>
          <w:u w:val="single"/>
        </w:rPr>
        <w:t xml:space="preserve"> 9:</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val="en-US" w:eastAsia="zh-CN"/>
        </w:rPr>
        <w:t>9</w:t>
      </w:r>
      <w:r>
        <w:rPr>
          <w:rFonts w:hint="eastAsia" w:ascii="宋体" w:hAnsi="宋体" w:eastAsia="宋体" w:cs="宋体"/>
          <w:color w:val="auto"/>
          <w:kern w:val="0"/>
          <w:sz w:val="24"/>
          <w:highlight w:val="none"/>
          <w:u w:val="single"/>
        </w:rPr>
        <w:t xml:space="preserve">:30 </w:t>
      </w:r>
      <w:r>
        <w:rPr>
          <w:rFonts w:hint="eastAsia" w:ascii="宋体" w:hAnsi="宋体" w:eastAsia="宋体" w:cs="宋体"/>
          <w:color w:val="auto"/>
          <w:sz w:val="24"/>
          <w:highlight w:val="none"/>
        </w:rPr>
        <w:t>递交至</w:t>
      </w:r>
      <w:r>
        <w:rPr>
          <w:rFonts w:hint="eastAsia" w:ascii="宋体" w:hAnsi="宋体" w:eastAsia="宋体" w:cs="宋体"/>
          <w:color w:val="auto"/>
          <w:sz w:val="24"/>
          <w:highlight w:val="none"/>
          <w:u w:val="single"/>
        </w:rPr>
        <w:t>广州市天河区黄埔大道中122号4</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房</w:t>
      </w:r>
      <w:r>
        <w:rPr>
          <w:rFonts w:hint="eastAsia" w:ascii="宋体" w:hAnsi="宋体" w:eastAsia="宋体" w:cs="宋体"/>
          <w:color w:val="auto"/>
          <w:sz w:val="24"/>
          <w:highlight w:val="none"/>
        </w:rPr>
        <w:t>，逾期恕不受理。</w:t>
      </w:r>
    </w:p>
    <w:p w14:paraId="1FF485AC">
      <w:pPr>
        <w:adjustRightInd w:val="0"/>
        <w:snapToGrid w:val="0"/>
        <w:spacing w:line="360" w:lineRule="auto"/>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踏勘现场：报价单位可对项目现场和周围环境进行现场踏勘，以便编制报价文件，踏勘现场产生的费用由报价单位自行承担。如需现场踏勘请联系陈工：020-81032505。</w:t>
      </w:r>
    </w:p>
    <w:p w14:paraId="74D54ED7">
      <w:pPr>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踏勘现场时间：2025年</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15</w:t>
      </w:r>
      <w:r>
        <w:rPr>
          <w:rFonts w:hint="eastAsia" w:ascii="宋体" w:hAnsi="宋体" w:cs="宋体"/>
          <w:b/>
          <w:bCs/>
          <w:color w:val="auto"/>
          <w:sz w:val="24"/>
          <w:highlight w:val="none"/>
        </w:rPr>
        <w:t>时</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分</w:t>
      </w:r>
    </w:p>
    <w:p w14:paraId="329041D3">
      <w:pPr>
        <w:adjustRightInd w:val="0"/>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.询比人不承担报价人参加本次报价活动所发生的任何费用。询比人因故取消或中止询比活动，报价人无条件服从，因报价活动产生的费用报价人自行负责。</w:t>
      </w:r>
    </w:p>
    <w:p w14:paraId="72B925E8">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rPr>
        <w:t>.询比人将在广州市荔湾区人民政府网上发布中选结果，中选公示期为1天。</w:t>
      </w:r>
    </w:p>
    <w:p w14:paraId="2EA67BB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广州市荔湾区道路扩建工程办公室</w:t>
      </w:r>
      <w:r>
        <w:rPr>
          <w:rFonts w:hint="eastAsia" w:ascii="宋体" w:hAnsi="宋体" w:eastAsia="宋体" w:cs="宋体"/>
          <w:b/>
          <w:bCs/>
          <w:color w:val="auto"/>
          <w:sz w:val="24"/>
          <w:highlight w:val="none"/>
        </w:rPr>
        <w:t>对公告及询比文件有最终解释权。</w:t>
      </w:r>
    </w:p>
    <w:p w14:paraId="65945D5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.联系方式：</w:t>
      </w:r>
    </w:p>
    <w:p w14:paraId="4A6895A5">
      <w:pPr>
        <w:spacing w:line="360" w:lineRule="auto"/>
        <w:ind w:firstLine="480" w:firstLineChars="200"/>
        <w:jc w:val="left"/>
        <w:textAlignment w:val="top"/>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询比单位：</w:t>
      </w:r>
      <w:r>
        <w:rPr>
          <w:rFonts w:hint="eastAsia" w:ascii="宋体" w:hAnsi="宋体" w:cs="宋体"/>
          <w:color w:val="auto"/>
          <w:sz w:val="24"/>
          <w:highlight w:val="none"/>
          <w:u w:val="single"/>
          <w:lang w:eastAsia="zh-CN"/>
        </w:rPr>
        <w:t>广州市荔湾区道路扩建工程办公室</w:t>
      </w:r>
    </w:p>
    <w:p w14:paraId="3ED96A46">
      <w:pPr>
        <w:spacing w:line="360" w:lineRule="auto"/>
        <w:ind w:firstLine="480" w:firstLineChars="200"/>
        <w:jc w:val="left"/>
        <w:textAlignment w:val="top"/>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陈</w:t>
      </w:r>
      <w:r>
        <w:rPr>
          <w:rFonts w:hint="eastAsia" w:ascii="宋体" w:hAnsi="宋体" w:eastAsia="宋体" w:cs="宋体"/>
          <w:color w:val="auto"/>
          <w:sz w:val="24"/>
          <w:highlight w:val="none"/>
          <w:u w:val="single"/>
        </w:rPr>
        <w:t xml:space="preserve">工  </w:t>
      </w:r>
    </w:p>
    <w:p w14:paraId="4FF16C6E">
      <w:pPr>
        <w:spacing w:line="360" w:lineRule="auto"/>
        <w:ind w:firstLine="480" w:firstLineChars="200"/>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020-</w:t>
      </w:r>
      <w:r>
        <w:rPr>
          <w:rFonts w:hint="eastAsia" w:ascii="宋体" w:hAnsi="宋体" w:cs="宋体"/>
          <w:color w:val="auto"/>
          <w:sz w:val="24"/>
          <w:highlight w:val="none"/>
          <w:u w:val="single"/>
          <w:lang w:val="en-US" w:eastAsia="zh-CN"/>
        </w:rPr>
        <w:t>81032505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 xml:space="preserve">  </w:t>
      </w:r>
    </w:p>
    <w:p w14:paraId="06ED106E">
      <w:pPr>
        <w:spacing w:line="360" w:lineRule="auto"/>
        <w:ind w:firstLine="480" w:firstLineChars="200"/>
        <w:jc w:val="left"/>
        <w:textAlignment w:val="top"/>
        <w:rPr>
          <w:rFonts w:hint="eastAsia" w:ascii="宋体" w:hAnsi="宋体" w:eastAsia="宋体" w:cs="宋体"/>
          <w:color w:val="auto"/>
          <w:kern w:val="0"/>
          <w:sz w:val="24"/>
          <w:highlight w:val="none"/>
        </w:rPr>
      </w:pPr>
    </w:p>
    <w:p w14:paraId="450C27AD">
      <w:pPr>
        <w:spacing w:line="360" w:lineRule="auto"/>
        <w:ind w:firstLine="480" w:firstLineChars="200"/>
        <w:jc w:val="left"/>
        <w:textAlignment w:val="top"/>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询比代理单位：</w:t>
      </w:r>
      <w:r>
        <w:rPr>
          <w:rFonts w:hint="eastAsia" w:ascii="宋体" w:hAnsi="宋体" w:cs="宋体"/>
          <w:color w:val="auto"/>
          <w:kern w:val="0"/>
          <w:sz w:val="24"/>
          <w:highlight w:val="none"/>
          <w:u w:val="single"/>
          <w:lang w:eastAsia="zh-CN"/>
        </w:rPr>
        <w:t>中投德创建工有限公司</w:t>
      </w:r>
    </w:p>
    <w:p w14:paraId="195954A9">
      <w:pPr>
        <w:spacing w:line="360" w:lineRule="auto"/>
        <w:ind w:firstLine="480" w:firstLineChars="200"/>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w:t>
      </w:r>
      <w:r>
        <w:rPr>
          <w:rFonts w:hint="eastAsia" w:ascii="宋体" w:hAnsi="宋体" w:cs="宋体"/>
          <w:color w:val="auto"/>
          <w:kern w:val="0"/>
          <w:sz w:val="24"/>
          <w:highlight w:val="none"/>
          <w:u w:val="single"/>
          <w:lang w:val="en-US" w:eastAsia="zh-CN"/>
        </w:rPr>
        <w:t xml:space="preserve">  舒工  </w:t>
      </w:r>
      <w:r>
        <w:rPr>
          <w:rFonts w:hint="eastAsia" w:ascii="宋体" w:hAnsi="宋体" w:eastAsia="宋体" w:cs="宋体"/>
          <w:color w:val="auto"/>
          <w:kern w:val="0"/>
          <w:sz w:val="24"/>
          <w:highlight w:val="none"/>
        </w:rPr>
        <w:t xml:space="preserve">                </w:t>
      </w:r>
    </w:p>
    <w:p w14:paraId="4F7030A4">
      <w:pPr>
        <w:spacing w:line="360" w:lineRule="auto"/>
        <w:ind w:firstLine="480" w:firstLineChars="200"/>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020-85589369</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 xml:space="preserve">         </w:t>
      </w:r>
    </w:p>
    <w:p w14:paraId="6FD289FF">
      <w:pPr>
        <w:spacing w:line="360" w:lineRule="auto"/>
        <w:jc w:val="both"/>
        <w:textAlignment w:val="top"/>
        <w:rPr>
          <w:rFonts w:hint="eastAsia" w:ascii="宋体" w:hAnsi="宋体" w:eastAsia="宋体" w:cs="宋体"/>
          <w:color w:val="auto"/>
          <w:sz w:val="24"/>
          <w:highlight w:val="none"/>
        </w:rPr>
      </w:pPr>
    </w:p>
    <w:p w14:paraId="27AEB799">
      <w:pPr>
        <w:spacing w:line="360" w:lineRule="auto"/>
        <w:ind w:firstLine="480" w:firstLineChars="200"/>
        <w:jc w:val="right"/>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eastAsia="zh-CN"/>
        </w:rPr>
        <w:t>广州市荔湾区道路扩建工程办公室</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日</w:t>
      </w:r>
    </w:p>
    <w:p w14:paraId="6AE25C80">
      <w:pPr>
        <w:pStyle w:val="37"/>
        <w:rPr>
          <w:rFonts w:hint="eastAsia" w:ascii="宋体" w:hAnsi="宋体" w:eastAsia="宋体" w:cs="宋体"/>
          <w:color w:val="auto"/>
          <w:sz w:val="24"/>
          <w:highlight w:val="none"/>
        </w:rPr>
        <w:sectPr>
          <w:headerReference r:id="rId5" w:type="default"/>
          <w:footerReference r:id="rId6" w:type="default"/>
          <w:pgSz w:w="11906" w:h="16838"/>
          <w:pgMar w:top="1134" w:right="1134" w:bottom="1134" w:left="1247" w:header="510" w:footer="510" w:gutter="0"/>
          <w:pgNumType w:fmt="decimal" w:start="1"/>
          <w:cols w:space="720" w:num="1"/>
          <w:rtlGutter w:val="0"/>
          <w:docGrid w:type="lines" w:linePitch="312" w:charSpace="0"/>
        </w:sectPr>
      </w:pPr>
    </w:p>
    <w:p w14:paraId="31AE3022">
      <w:pPr>
        <w:pStyle w:val="1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评审办法</w:t>
      </w:r>
    </w:p>
    <w:p w14:paraId="7FD4C3A2">
      <w:pPr>
        <w:pStyle w:val="11"/>
        <w:spacing w:line="360" w:lineRule="auto"/>
        <w:jc w:val="left"/>
        <w:rPr>
          <w:rFonts w:hint="eastAsia" w:ascii="宋体" w:hAnsi="宋体" w:eastAsia="宋体" w:cs="宋体"/>
          <w:color w:val="auto"/>
          <w:sz w:val="24"/>
          <w:szCs w:val="24"/>
          <w:highlight w:val="none"/>
        </w:rPr>
      </w:pPr>
    </w:p>
    <w:p w14:paraId="1149A631">
      <w:pPr>
        <w:pStyle w:val="11"/>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一、评审办法</w:t>
      </w:r>
    </w:p>
    <w:p w14:paraId="0307871F">
      <w:pPr>
        <w:tabs>
          <w:tab w:val="left" w:pos="5220"/>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1.本次评审采用综合评分法。首先审查报价单位的资格性和符合性条件，通过资格性和符合性审查的报价单位的报价文件将进入下一环节的评分（详见附件一：资格性和符合性审查表）。</w:t>
      </w:r>
    </w:p>
    <w:p w14:paraId="7F15E8B8">
      <w:pPr>
        <w:tabs>
          <w:tab w:val="left" w:pos="5220"/>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2.对满足询比文件实质性要求的报价文件，按照询比文件规定的评分标准进行打分，评审过程中如发现存在不满足询比文件实质性要求的报价文件不予评分。</w:t>
      </w:r>
    </w:p>
    <w:p w14:paraId="3D0967CC">
      <w:pPr>
        <w:tabs>
          <w:tab w:val="left" w:pos="5220"/>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14:paraId="57CDE7B7">
      <w:pPr>
        <w:tabs>
          <w:tab w:val="left" w:pos="5220"/>
        </w:tabs>
        <w:adjustRightInd w:val="0"/>
        <w:snapToGrid w:val="0"/>
        <w:spacing w:line="360" w:lineRule="auto"/>
        <w:ind w:firstLine="480" w:firstLineChars="200"/>
        <w:jc w:val="left"/>
        <w:rPr>
          <w:rFonts w:hint="eastAsia" w:ascii="宋体" w:hAnsi="宋体" w:eastAsia="宋体" w:cs="宋体"/>
          <w:color w:val="auto"/>
          <w:kern w:val="0"/>
          <w:sz w:val="24"/>
          <w:highlight w:val="none"/>
        </w:rPr>
        <w:sectPr>
          <w:pgSz w:w="11906" w:h="16838"/>
          <w:pgMar w:top="1134" w:right="1134" w:bottom="1134" w:left="1247" w:header="510" w:footer="510" w:gutter="0"/>
          <w:pgNumType w:fmt="decimal"/>
          <w:cols w:space="720" w:num="1"/>
          <w:rtlGutter w:val="0"/>
          <w:docGrid w:type="lines" w:linePitch="312" w:charSpace="0"/>
        </w:sectPr>
      </w:pPr>
      <w:r>
        <w:rPr>
          <w:rFonts w:hint="eastAsia" w:ascii="宋体" w:hAnsi="宋体" w:eastAsia="宋体" w:cs="宋体"/>
          <w:color w:val="auto"/>
          <w:sz w:val="24"/>
          <w:highlight w:val="none"/>
        </w:rPr>
        <w:t>4.若本项目满足资格性和符合性审查合格条件的报价人不足3家或经评审有效的报价人不足2家，则本次询比失败，询比人将视情况重新组织询比。</w:t>
      </w:r>
    </w:p>
    <w:p w14:paraId="1F427EB7">
      <w:pPr>
        <w:tabs>
          <w:tab w:val="left" w:pos="5220"/>
        </w:tabs>
        <w:adjustRightInd w:val="0"/>
        <w:snapToGrid w:val="0"/>
        <w:spacing w:line="360" w:lineRule="auto"/>
        <w:jc w:val="center"/>
        <w:rPr>
          <w:rFonts w:hint="eastAsia" w:ascii="宋体" w:hAnsi="宋体" w:eastAsia="宋体" w:cs="宋体"/>
          <w:b/>
          <w:bCs/>
          <w:color w:val="auto"/>
          <w:kern w:val="28"/>
          <w:sz w:val="24"/>
          <w:highlight w:val="none"/>
        </w:rPr>
      </w:pPr>
      <w:r>
        <w:rPr>
          <w:rFonts w:hint="eastAsia" w:ascii="宋体" w:hAnsi="宋体" w:eastAsia="宋体" w:cs="宋体"/>
          <w:b/>
          <w:bCs/>
          <w:color w:val="auto"/>
          <w:kern w:val="28"/>
          <w:sz w:val="24"/>
          <w:highlight w:val="none"/>
        </w:rPr>
        <w:t>第三章 报价文件</w:t>
      </w:r>
    </w:p>
    <w:p w14:paraId="3A4E47D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一.报价文件编制要求</w:t>
      </w:r>
    </w:p>
    <w:p w14:paraId="591E80B2">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1.报价文件编制规范、签署合格、报价唯一固定、报价无重大漏项及重大不合理。</w:t>
      </w:r>
    </w:p>
    <w:p w14:paraId="562CF8A8">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2.报价文件份数为一式</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份，一份为正本，</w:t>
      </w:r>
      <w:r>
        <w:rPr>
          <w:rFonts w:hint="eastAsia" w:ascii="宋体" w:hAnsi="宋体" w:eastAsia="宋体" w:cs="宋体"/>
          <w:color w:val="auto"/>
          <w:sz w:val="24"/>
          <w:highlight w:val="none"/>
          <w:lang w:eastAsia="zh-CN"/>
        </w:rPr>
        <w:t>两</w:t>
      </w:r>
      <w:r>
        <w:rPr>
          <w:rFonts w:hint="eastAsia" w:ascii="宋体" w:hAnsi="宋体" w:eastAsia="宋体" w:cs="宋体"/>
          <w:color w:val="auto"/>
          <w:sz w:val="24"/>
          <w:highlight w:val="none"/>
        </w:rPr>
        <w:t>份为副本，正本和副本不一致的以正本为准。报价文件须用不褪色的黑色墨水书写或打印，报价文件应装订成册，</w:t>
      </w:r>
      <w:bookmarkStart w:id="2" w:name="_Hlk93265209"/>
      <w:r>
        <w:rPr>
          <w:rFonts w:hint="eastAsia" w:ascii="宋体" w:hAnsi="宋体" w:eastAsia="宋体" w:cs="宋体"/>
          <w:color w:val="auto"/>
          <w:sz w:val="24"/>
          <w:highlight w:val="none"/>
        </w:rPr>
        <w:t>封面右上角注明正本或副本</w:t>
      </w:r>
      <w:bookmarkEnd w:id="2"/>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报价文件（纸质版）须加盖单位公章后扫描拷贝至光盘或u盘，光盘或u盘内的文件内容应与纸质版的报价文件内容一致，并与报价文件（纸质版）装入同一个密封袋。</w:t>
      </w:r>
      <w:r>
        <w:rPr>
          <w:rFonts w:hint="eastAsia" w:ascii="宋体" w:hAnsi="宋体" w:eastAsia="宋体" w:cs="宋体"/>
          <w:b/>
          <w:bCs/>
          <w:color w:val="auto"/>
          <w:kern w:val="0"/>
          <w:sz w:val="24"/>
          <w:highlight w:val="none"/>
        </w:rPr>
        <w:t>封口须加盖公章密封，否则报价文件当无效处理。</w:t>
      </w:r>
    </w:p>
    <w:p w14:paraId="5AC97D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14:paraId="339374B7">
      <w:pPr>
        <w:adjustRightInd w:val="0"/>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4.报价文件中的所有材料内容（复印件、截图证明等）</w:t>
      </w:r>
      <w:r>
        <w:rPr>
          <w:rFonts w:hint="eastAsia" w:ascii="宋体" w:hAnsi="宋体" w:eastAsia="宋体" w:cs="宋体"/>
          <w:b/>
          <w:bCs/>
          <w:color w:val="auto"/>
          <w:sz w:val="24"/>
          <w:highlight w:val="none"/>
        </w:rPr>
        <w:t>须清晰可见，模糊不清晰的则当无效材料处理</w:t>
      </w:r>
      <w:r>
        <w:rPr>
          <w:rFonts w:hint="eastAsia" w:ascii="宋体" w:hAnsi="宋体" w:eastAsia="宋体" w:cs="宋体"/>
          <w:color w:val="auto"/>
          <w:sz w:val="24"/>
          <w:highlight w:val="none"/>
        </w:rPr>
        <w:t>。报价文件须附上材料目录（附页码）。</w:t>
      </w:r>
    </w:p>
    <w:p w14:paraId="7E510482">
      <w:pPr>
        <w:widowControl/>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二、完整的报价文件至少包括以下内容：</w:t>
      </w:r>
    </w:p>
    <w:p w14:paraId="66A1F02A">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1.报价表、</w:t>
      </w:r>
      <w:r>
        <w:rPr>
          <w:rFonts w:hint="eastAsia" w:ascii="宋体" w:hAnsi="宋体" w:cs="宋体"/>
          <w:color w:val="auto"/>
          <w:sz w:val="24"/>
          <w:highlight w:val="none"/>
          <w:lang w:val="en-US" w:eastAsia="zh-CN"/>
        </w:rPr>
        <w:t>报价明细表</w:t>
      </w:r>
      <w:r>
        <w:rPr>
          <w:rFonts w:hint="eastAsia" w:ascii="宋体" w:hAnsi="宋体" w:eastAsia="宋体" w:cs="宋体"/>
          <w:color w:val="auto"/>
          <w:sz w:val="24"/>
          <w:highlight w:val="none"/>
        </w:rPr>
        <w:t>（原件，格式详见附件三、附件四）；</w:t>
      </w:r>
    </w:p>
    <w:p w14:paraId="7CBD3769">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2.企业营业执照或事业单位法人证书（复印件）；</w:t>
      </w:r>
    </w:p>
    <w:p w14:paraId="642EA69F">
      <w:pPr>
        <w:spacing w:line="312" w:lineRule="auto"/>
        <w:ind w:firstLine="480" w:firstLineChars="200"/>
        <w:textAlignment w:val="top"/>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具备有效的《再生资源回收经营者备案登记证明》和《废旧金属收购业备案书》</w:t>
      </w:r>
      <w:r>
        <w:rPr>
          <w:rFonts w:hint="eastAsia" w:ascii="宋体" w:hAnsi="宋体" w:cs="宋体"/>
          <w:color w:val="auto"/>
          <w:sz w:val="24"/>
          <w:highlight w:val="none"/>
          <w:lang w:eastAsia="zh-CN"/>
        </w:rPr>
        <w:t>；</w:t>
      </w:r>
    </w:p>
    <w:p w14:paraId="20624AAF">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.法定代表人身份证明书（原件）、授权代表委托书（原件）；</w:t>
      </w:r>
    </w:p>
    <w:p w14:paraId="471CD0D5">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报价相关表格</w:t>
      </w:r>
      <w:r>
        <w:rPr>
          <w:rFonts w:hint="eastAsia" w:ascii="宋体" w:hAnsi="宋体" w:eastAsia="宋体" w:cs="宋体"/>
          <w:color w:val="auto"/>
          <w:sz w:val="24"/>
          <w:highlight w:val="none"/>
        </w:rPr>
        <w:t>（原件，格式详见附件</w:t>
      </w:r>
      <w:r>
        <w:rPr>
          <w:rFonts w:hint="eastAsia" w:ascii="宋体" w:hAnsi="宋体" w:cs="宋体"/>
          <w:color w:val="auto"/>
          <w:sz w:val="24"/>
          <w:highlight w:val="none"/>
          <w:lang w:val="en-US" w:eastAsia="zh-CN"/>
        </w:rPr>
        <w:t>三、四、五</w:t>
      </w:r>
      <w:r>
        <w:rPr>
          <w:rFonts w:hint="eastAsia" w:ascii="宋体" w:hAnsi="宋体" w:eastAsia="宋体" w:cs="宋体"/>
          <w:color w:val="auto"/>
          <w:sz w:val="24"/>
          <w:highlight w:val="none"/>
        </w:rPr>
        <w:t>）；</w:t>
      </w:r>
    </w:p>
    <w:p w14:paraId="6B348279">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.项目负责人及其他人员的相关证书（复印件）；</w:t>
      </w:r>
    </w:p>
    <w:p w14:paraId="0DE32143">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.综合评分表上要求提供的其他材料（复印件）；</w:t>
      </w:r>
    </w:p>
    <w:p w14:paraId="0E10AD34">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.承诺书（原件，详见附件</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p>
    <w:p w14:paraId="3C073F8B">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.其他报价人认为需要提供的资料。</w:t>
      </w:r>
    </w:p>
    <w:p w14:paraId="20164C2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以上复印件材料均需加盖单位公章。</w:t>
      </w:r>
    </w:p>
    <w:p w14:paraId="4230E856">
      <w:pPr>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w:t>
      </w:r>
    </w:p>
    <w:p w14:paraId="13D53E9E">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1.资格性和符合性审查表</w:t>
      </w:r>
    </w:p>
    <w:p w14:paraId="1A9A447F">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2.综合评分表</w:t>
      </w:r>
    </w:p>
    <w:p w14:paraId="139D687F">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3.报价表</w:t>
      </w:r>
    </w:p>
    <w:p w14:paraId="0601E7BD">
      <w:pPr>
        <w:adjustRightInd w:val="0"/>
        <w:snapToGrid w:val="0"/>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报价汇总表</w:t>
      </w:r>
    </w:p>
    <w:p w14:paraId="7F6663E2">
      <w:pPr>
        <w:adjustRightInd w:val="0"/>
        <w:snapToGrid w:val="0"/>
        <w:spacing w:line="312"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5.报价明细表</w:t>
      </w:r>
    </w:p>
    <w:p w14:paraId="62F77409">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6.项目负责人及其他人员配备情况表</w:t>
      </w:r>
    </w:p>
    <w:p w14:paraId="3D50CECE">
      <w:pPr>
        <w:pStyle w:val="11"/>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7.承诺书</w:t>
      </w:r>
    </w:p>
    <w:p w14:paraId="750A107B">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xml:space="preserve">附件一                </w:t>
      </w:r>
    </w:p>
    <w:p w14:paraId="67AB0087">
      <w:pPr>
        <w:pStyle w:val="11"/>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资格性和符合性审查表</w:t>
      </w:r>
    </w:p>
    <w:p w14:paraId="2250D557">
      <w:pPr>
        <w:pStyle w:val="11"/>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rPr>
        <w:t>项目名称：</w:t>
      </w:r>
      <w:r>
        <w:rPr>
          <w:rFonts w:hint="eastAsia" w:hAnsi="宋体" w:eastAsia="宋体" w:cs="宋体"/>
          <w:color w:val="auto"/>
          <w:sz w:val="21"/>
          <w:szCs w:val="21"/>
          <w:highlight w:val="none"/>
          <w:u w:val="single"/>
          <w:lang w:eastAsia="zh-CN"/>
        </w:rPr>
        <w:t>如意坊放射线系统工程（二期）物资回收项目</w:t>
      </w:r>
    </w:p>
    <w:tbl>
      <w:tblPr>
        <w:tblStyle w:val="18"/>
        <w:tblW w:w="9686"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815"/>
        <w:gridCol w:w="1157"/>
        <w:gridCol w:w="1215"/>
        <w:gridCol w:w="813"/>
      </w:tblGrid>
      <w:tr w14:paraId="67F1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21DA1231">
            <w:pPr>
              <w:pStyle w:val="1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815" w:type="dxa"/>
            <w:vAlign w:val="center"/>
          </w:tcPr>
          <w:p w14:paraId="328A4B27">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1157" w:type="dxa"/>
            <w:vAlign w:val="center"/>
          </w:tcPr>
          <w:p w14:paraId="015F3C93">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报价人1</w:t>
            </w:r>
          </w:p>
        </w:tc>
        <w:tc>
          <w:tcPr>
            <w:tcW w:w="1215" w:type="dxa"/>
            <w:vAlign w:val="center"/>
          </w:tcPr>
          <w:p w14:paraId="521EF2EE">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报价人2</w:t>
            </w:r>
          </w:p>
        </w:tc>
        <w:tc>
          <w:tcPr>
            <w:tcW w:w="813" w:type="dxa"/>
            <w:vAlign w:val="center"/>
          </w:tcPr>
          <w:p w14:paraId="5A95B28D">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DAC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86" w:type="dxa"/>
            <w:vAlign w:val="center"/>
          </w:tcPr>
          <w:p w14:paraId="5806BE2E">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815" w:type="dxa"/>
            <w:vAlign w:val="center"/>
          </w:tcPr>
          <w:p w14:paraId="4722AD37">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报价人具有独立法人资格，持有市场监督（工商行政）管理部门核发的法人营业执照或各级登记管理机关颁发的事业单位法人证书，按国家法律经营。</w:t>
            </w:r>
          </w:p>
        </w:tc>
        <w:tc>
          <w:tcPr>
            <w:tcW w:w="1157" w:type="dxa"/>
          </w:tcPr>
          <w:p w14:paraId="5CD4CCAD">
            <w:pPr>
              <w:pStyle w:val="11"/>
              <w:jc w:val="center"/>
              <w:rPr>
                <w:rFonts w:hint="eastAsia" w:ascii="宋体" w:hAnsi="宋体" w:eastAsia="宋体" w:cs="宋体"/>
                <w:color w:val="auto"/>
                <w:sz w:val="24"/>
                <w:szCs w:val="24"/>
                <w:highlight w:val="none"/>
              </w:rPr>
            </w:pPr>
          </w:p>
        </w:tc>
        <w:tc>
          <w:tcPr>
            <w:tcW w:w="1215" w:type="dxa"/>
          </w:tcPr>
          <w:p w14:paraId="4C1AA959">
            <w:pPr>
              <w:pStyle w:val="11"/>
              <w:jc w:val="center"/>
              <w:rPr>
                <w:rFonts w:hint="eastAsia" w:ascii="宋体" w:hAnsi="宋体" w:eastAsia="宋体" w:cs="宋体"/>
                <w:color w:val="auto"/>
                <w:sz w:val="24"/>
                <w:szCs w:val="24"/>
                <w:highlight w:val="none"/>
              </w:rPr>
            </w:pPr>
          </w:p>
        </w:tc>
        <w:tc>
          <w:tcPr>
            <w:tcW w:w="813" w:type="dxa"/>
          </w:tcPr>
          <w:p w14:paraId="047C02C3">
            <w:pPr>
              <w:pStyle w:val="11"/>
              <w:spacing w:line="360" w:lineRule="auto"/>
              <w:jc w:val="center"/>
              <w:rPr>
                <w:rFonts w:hint="eastAsia" w:ascii="宋体" w:hAnsi="宋体" w:eastAsia="宋体" w:cs="宋体"/>
                <w:color w:val="auto"/>
                <w:sz w:val="24"/>
                <w:szCs w:val="24"/>
                <w:highlight w:val="none"/>
              </w:rPr>
            </w:pPr>
          </w:p>
        </w:tc>
      </w:tr>
      <w:tr w14:paraId="1E3E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86" w:type="dxa"/>
            <w:vAlign w:val="center"/>
          </w:tcPr>
          <w:p w14:paraId="0A9541AF">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815" w:type="dxa"/>
            <w:vAlign w:val="center"/>
          </w:tcPr>
          <w:p w14:paraId="423013DD">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单位负责人为同一人或者存在直接控股、 管理关系的不同供应商，不得同时参加本采购项目（或采购包） 投标（响应）。 为本项目提供整体设计、 规范编制或者项目管理、 监理、 检测等服务的供应商，不得再参与本项目投标（响应）。 （提供承诺函，格式自拟）。</w:t>
            </w:r>
          </w:p>
        </w:tc>
        <w:tc>
          <w:tcPr>
            <w:tcW w:w="1157" w:type="dxa"/>
          </w:tcPr>
          <w:p w14:paraId="73420239">
            <w:pPr>
              <w:pStyle w:val="11"/>
              <w:jc w:val="center"/>
              <w:rPr>
                <w:rFonts w:hint="eastAsia" w:ascii="宋体" w:hAnsi="宋体" w:eastAsia="宋体" w:cs="宋体"/>
                <w:color w:val="auto"/>
                <w:sz w:val="24"/>
                <w:szCs w:val="24"/>
                <w:highlight w:val="none"/>
              </w:rPr>
            </w:pPr>
          </w:p>
        </w:tc>
        <w:tc>
          <w:tcPr>
            <w:tcW w:w="1215" w:type="dxa"/>
          </w:tcPr>
          <w:p w14:paraId="13144C0B">
            <w:pPr>
              <w:pStyle w:val="11"/>
              <w:jc w:val="center"/>
              <w:rPr>
                <w:rFonts w:hint="eastAsia" w:ascii="宋体" w:hAnsi="宋体" w:eastAsia="宋体" w:cs="宋体"/>
                <w:color w:val="auto"/>
                <w:sz w:val="24"/>
                <w:szCs w:val="24"/>
                <w:highlight w:val="none"/>
              </w:rPr>
            </w:pPr>
          </w:p>
        </w:tc>
        <w:tc>
          <w:tcPr>
            <w:tcW w:w="813" w:type="dxa"/>
          </w:tcPr>
          <w:p w14:paraId="0BC630CF">
            <w:pPr>
              <w:pStyle w:val="11"/>
              <w:jc w:val="center"/>
              <w:rPr>
                <w:rFonts w:hint="eastAsia" w:ascii="宋体" w:hAnsi="宋体" w:eastAsia="宋体" w:cs="宋体"/>
                <w:color w:val="auto"/>
                <w:sz w:val="24"/>
                <w:szCs w:val="24"/>
                <w:highlight w:val="none"/>
              </w:rPr>
            </w:pPr>
          </w:p>
        </w:tc>
      </w:tr>
      <w:tr w14:paraId="017B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86" w:type="dxa"/>
            <w:vAlign w:val="center"/>
          </w:tcPr>
          <w:p w14:paraId="2DE1FE6B">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815" w:type="dxa"/>
            <w:vAlign w:val="center"/>
          </w:tcPr>
          <w:p w14:paraId="6ECDCAC8">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投标人必须具备有效的《再生资源回收经营者备案登记证明》和《废旧金属收购业备案书》</w:t>
            </w:r>
          </w:p>
        </w:tc>
        <w:tc>
          <w:tcPr>
            <w:tcW w:w="1157" w:type="dxa"/>
          </w:tcPr>
          <w:p w14:paraId="525C5424">
            <w:pPr>
              <w:pStyle w:val="11"/>
              <w:jc w:val="center"/>
              <w:rPr>
                <w:rFonts w:hint="eastAsia" w:ascii="宋体" w:hAnsi="宋体" w:eastAsia="宋体" w:cs="宋体"/>
                <w:color w:val="auto"/>
                <w:sz w:val="24"/>
                <w:szCs w:val="24"/>
                <w:highlight w:val="none"/>
              </w:rPr>
            </w:pPr>
          </w:p>
        </w:tc>
        <w:tc>
          <w:tcPr>
            <w:tcW w:w="1215" w:type="dxa"/>
          </w:tcPr>
          <w:p w14:paraId="78CA9B50">
            <w:pPr>
              <w:pStyle w:val="11"/>
              <w:jc w:val="center"/>
              <w:rPr>
                <w:rFonts w:hint="eastAsia" w:ascii="宋体" w:hAnsi="宋体" w:eastAsia="宋体" w:cs="宋体"/>
                <w:color w:val="auto"/>
                <w:sz w:val="24"/>
                <w:szCs w:val="24"/>
                <w:highlight w:val="none"/>
              </w:rPr>
            </w:pPr>
          </w:p>
        </w:tc>
        <w:tc>
          <w:tcPr>
            <w:tcW w:w="813" w:type="dxa"/>
          </w:tcPr>
          <w:p w14:paraId="52B4EF32">
            <w:pPr>
              <w:pStyle w:val="11"/>
              <w:jc w:val="center"/>
              <w:rPr>
                <w:rFonts w:hint="eastAsia" w:ascii="宋体" w:hAnsi="宋体" w:eastAsia="宋体" w:cs="宋体"/>
                <w:color w:val="auto"/>
                <w:sz w:val="24"/>
                <w:szCs w:val="24"/>
                <w:highlight w:val="none"/>
              </w:rPr>
            </w:pPr>
          </w:p>
        </w:tc>
      </w:tr>
      <w:tr w14:paraId="08CA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6" w:type="dxa"/>
            <w:shd w:val="clear" w:color="auto" w:fill="auto"/>
            <w:vAlign w:val="center"/>
          </w:tcPr>
          <w:p w14:paraId="12B098C8">
            <w:pPr>
              <w:pStyle w:val="11"/>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w:t>
            </w:r>
          </w:p>
        </w:tc>
        <w:tc>
          <w:tcPr>
            <w:tcW w:w="5815" w:type="dxa"/>
            <w:vAlign w:val="center"/>
          </w:tcPr>
          <w:p w14:paraId="455AE271">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tc>
        <w:tc>
          <w:tcPr>
            <w:tcW w:w="1157" w:type="dxa"/>
          </w:tcPr>
          <w:p w14:paraId="7931ECEB">
            <w:pPr>
              <w:pStyle w:val="11"/>
              <w:jc w:val="center"/>
              <w:rPr>
                <w:rFonts w:hint="eastAsia" w:ascii="宋体" w:hAnsi="宋体" w:eastAsia="宋体" w:cs="宋体"/>
                <w:color w:val="auto"/>
                <w:sz w:val="24"/>
                <w:szCs w:val="24"/>
                <w:highlight w:val="none"/>
              </w:rPr>
            </w:pPr>
          </w:p>
        </w:tc>
        <w:tc>
          <w:tcPr>
            <w:tcW w:w="1215" w:type="dxa"/>
          </w:tcPr>
          <w:p w14:paraId="3D76FB8B">
            <w:pPr>
              <w:pStyle w:val="11"/>
              <w:jc w:val="center"/>
              <w:rPr>
                <w:rFonts w:hint="eastAsia" w:ascii="宋体" w:hAnsi="宋体" w:eastAsia="宋体" w:cs="宋体"/>
                <w:color w:val="auto"/>
                <w:sz w:val="24"/>
                <w:szCs w:val="24"/>
                <w:highlight w:val="none"/>
              </w:rPr>
            </w:pPr>
          </w:p>
        </w:tc>
        <w:tc>
          <w:tcPr>
            <w:tcW w:w="813" w:type="dxa"/>
          </w:tcPr>
          <w:p w14:paraId="288739FC">
            <w:pPr>
              <w:pStyle w:val="11"/>
              <w:jc w:val="center"/>
              <w:rPr>
                <w:rFonts w:hint="eastAsia" w:ascii="宋体" w:hAnsi="宋体" w:eastAsia="宋体" w:cs="宋体"/>
                <w:color w:val="auto"/>
                <w:sz w:val="24"/>
                <w:szCs w:val="24"/>
                <w:highlight w:val="none"/>
              </w:rPr>
            </w:pPr>
          </w:p>
        </w:tc>
      </w:tr>
      <w:tr w14:paraId="7818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86" w:type="dxa"/>
            <w:shd w:val="clear" w:color="auto" w:fill="auto"/>
            <w:vAlign w:val="center"/>
          </w:tcPr>
          <w:p w14:paraId="2E4BFE7C">
            <w:pPr>
              <w:pStyle w:val="11"/>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5815" w:type="dxa"/>
            <w:vAlign w:val="center"/>
          </w:tcPr>
          <w:p w14:paraId="0E211AC9">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报价总金额是固定价且是唯一的，</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 w:val="21"/>
                <w:szCs w:val="21"/>
                <w:highlight w:val="none"/>
              </w:rPr>
              <w:t>报价不得少于</w:t>
            </w:r>
            <w:r>
              <w:rPr>
                <w:rFonts w:hint="eastAsia" w:ascii="宋体" w:hAnsi="宋体" w:eastAsia="宋体" w:cs="宋体"/>
                <w:color w:val="auto"/>
                <w:sz w:val="21"/>
                <w:szCs w:val="21"/>
                <w:highlight w:val="none"/>
                <w:lang w:val="en-US" w:eastAsia="zh-CN"/>
              </w:rPr>
              <w:t>本次询价</w:t>
            </w:r>
            <w:r>
              <w:rPr>
                <w:rFonts w:hint="eastAsia" w:ascii="宋体" w:hAnsi="宋体" w:eastAsia="宋体" w:cs="宋体"/>
                <w:color w:val="auto"/>
                <w:sz w:val="21"/>
                <w:szCs w:val="21"/>
                <w:highlight w:val="none"/>
              </w:rPr>
              <w:t>最低价值</w:t>
            </w:r>
          </w:p>
        </w:tc>
        <w:tc>
          <w:tcPr>
            <w:tcW w:w="1157" w:type="dxa"/>
          </w:tcPr>
          <w:p w14:paraId="7E8572DB">
            <w:pPr>
              <w:pStyle w:val="11"/>
              <w:jc w:val="center"/>
              <w:rPr>
                <w:rFonts w:hint="eastAsia" w:ascii="宋体" w:hAnsi="宋体" w:eastAsia="宋体" w:cs="宋体"/>
                <w:color w:val="auto"/>
                <w:sz w:val="24"/>
                <w:szCs w:val="24"/>
                <w:highlight w:val="none"/>
              </w:rPr>
            </w:pPr>
          </w:p>
        </w:tc>
        <w:tc>
          <w:tcPr>
            <w:tcW w:w="1215" w:type="dxa"/>
          </w:tcPr>
          <w:p w14:paraId="64DC7E3E">
            <w:pPr>
              <w:pStyle w:val="11"/>
              <w:jc w:val="center"/>
              <w:rPr>
                <w:rFonts w:hint="eastAsia" w:ascii="宋体" w:hAnsi="宋体" w:eastAsia="宋体" w:cs="宋体"/>
                <w:color w:val="auto"/>
                <w:sz w:val="24"/>
                <w:szCs w:val="24"/>
                <w:highlight w:val="none"/>
              </w:rPr>
            </w:pPr>
          </w:p>
        </w:tc>
        <w:tc>
          <w:tcPr>
            <w:tcW w:w="813" w:type="dxa"/>
          </w:tcPr>
          <w:p w14:paraId="289A59FF">
            <w:pPr>
              <w:pStyle w:val="11"/>
              <w:jc w:val="center"/>
              <w:rPr>
                <w:rFonts w:hint="eastAsia" w:ascii="宋体" w:hAnsi="宋体" w:eastAsia="宋体" w:cs="宋体"/>
                <w:color w:val="auto"/>
                <w:sz w:val="24"/>
                <w:szCs w:val="24"/>
                <w:highlight w:val="none"/>
              </w:rPr>
            </w:pPr>
          </w:p>
        </w:tc>
      </w:tr>
      <w:tr w14:paraId="393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6" w:type="dxa"/>
            <w:shd w:val="clear" w:color="auto" w:fill="auto"/>
            <w:vAlign w:val="center"/>
          </w:tcPr>
          <w:p w14:paraId="7070594D">
            <w:pPr>
              <w:pStyle w:val="11"/>
              <w:spacing w:line="360" w:lineRule="auto"/>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6</w:t>
            </w:r>
          </w:p>
        </w:tc>
        <w:tc>
          <w:tcPr>
            <w:tcW w:w="5815" w:type="dxa"/>
            <w:shd w:val="clear" w:color="auto" w:fill="auto"/>
            <w:vAlign w:val="center"/>
          </w:tcPr>
          <w:p w14:paraId="6699BCCA">
            <w:pPr>
              <w:pStyle w:val="11"/>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报价文件按询比文件的要求编制、签署及盖章。</w:t>
            </w:r>
          </w:p>
        </w:tc>
        <w:tc>
          <w:tcPr>
            <w:tcW w:w="1157" w:type="dxa"/>
          </w:tcPr>
          <w:p w14:paraId="57117E18">
            <w:pPr>
              <w:pStyle w:val="11"/>
              <w:jc w:val="center"/>
              <w:rPr>
                <w:rFonts w:hint="eastAsia" w:ascii="宋体" w:hAnsi="宋体" w:eastAsia="宋体" w:cs="宋体"/>
                <w:color w:val="auto"/>
                <w:sz w:val="24"/>
                <w:szCs w:val="24"/>
                <w:highlight w:val="none"/>
              </w:rPr>
            </w:pPr>
          </w:p>
        </w:tc>
        <w:tc>
          <w:tcPr>
            <w:tcW w:w="1215" w:type="dxa"/>
          </w:tcPr>
          <w:p w14:paraId="660CCADD">
            <w:pPr>
              <w:pStyle w:val="11"/>
              <w:jc w:val="center"/>
              <w:rPr>
                <w:rFonts w:hint="eastAsia" w:ascii="宋体" w:hAnsi="宋体" w:eastAsia="宋体" w:cs="宋体"/>
                <w:color w:val="auto"/>
                <w:sz w:val="24"/>
                <w:szCs w:val="24"/>
                <w:highlight w:val="none"/>
              </w:rPr>
            </w:pPr>
          </w:p>
        </w:tc>
        <w:tc>
          <w:tcPr>
            <w:tcW w:w="813" w:type="dxa"/>
          </w:tcPr>
          <w:p w14:paraId="4216B9E1">
            <w:pPr>
              <w:pStyle w:val="11"/>
              <w:jc w:val="center"/>
              <w:rPr>
                <w:rFonts w:hint="eastAsia" w:ascii="宋体" w:hAnsi="宋体" w:eastAsia="宋体" w:cs="宋体"/>
                <w:color w:val="auto"/>
                <w:sz w:val="24"/>
                <w:szCs w:val="24"/>
                <w:highlight w:val="none"/>
              </w:rPr>
            </w:pPr>
          </w:p>
        </w:tc>
      </w:tr>
      <w:tr w14:paraId="13B1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01" w:type="dxa"/>
            <w:gridSpan w:val="2"/>
            <w:vAlign w:val="center"/>
          </w:tcPr>
          <w:p w14:paraId="4340D159">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157" w:type="dxa"/>
          </w:tcPr>
          <w:p w14:paraId="77AEAABD">
            <w:pPr>
              <w:pStyle w:val="11"/>
              <w:jc w:val="center"/>
              <w:rPr>
                <w:rFonts w:hint="eastAsia" w:ascii="宋体" w:hAnsi="宋体" w:eastAsia="宋体" w:cs="宋体"/>
                <w:color w:val="auto"/>
                <w:sz w:val="24"/>
                <w:szCs w:val="24"/>
                <w:highlight w:val="none"/>
              </w:rPr>
            </w:pPr>
          </w:p>
        </w:tc>
        <w:tc>
          <w:tcPr>
            <w:tcW w:w="1215" w:type="dxa"/>
          </w:tcPr>
          <w:p w14:paraId="355210FF">
            <w:pPr>
              <w:pStyle w:val="11"/>
              <w:jc w:val="center"/>
              <w:rPr>
                <w:rFonts w:hint="eastAsia" w:ascii="宋体" w:hAnsi="宋体" w:eastAsia="宋体" w:cs="宋体"/>
                <w:color w:val="auto"/>
                <w:sz w:val="24"/>
                <w:szCs w:val="24"/>
                <w:highlight w:val="none"/>
              </w:rPr>
            </w:pPr>
          </w:p>
        </w:tc>
        <w:tc>
          <w:tcPr>
            <w:tcW w:w="813" w:type="dxa"/>
          </w:tcPr>
          <w:p w14:paraId="0346DFA8">
            <w:pPr>
              <w:pStyle w:val="11"/>
              <w:spacing w:line="360" w:lineRule="auto"/>
              <w:jc w:val="center"/>
              <w:rPr>
                <w:rFonts w:hint="eastAsia" w:ascii="宋体" w:hAnsi="宋体" w:eastAsia="宋体" w:cs="宋体"/>
                <w:color w:val="auto"/>
                <w:sz w:val="24"/>
                <w:szCs w:val="24"/>
                <w:highlight w:val="none"/>
              </w:rPr>
            </w:pPr>
          </w:p>
        </w:tc>
      </w:tr>
    </w:tbl>
    <w:p w14:paraId="4B91C47D">
      <w:pPr>
        <w:pStyle w:val="1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每一项符合的打“○”，不符合的打“×”。</w:t>
      </w:r>
    </w:p>
    <w:p w14:paraId="49493CD8">
      <w:pPr>
        <w:pStyle w:val="11"/>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“结论”一栏填写“通过”或“不通过”；任何一项出现“×”的，结论为不通过；不通过的为无效报价。</w:t>
      </w:r>
    </w:p>
    <w:p w14:paraId="6B98DFD8">
      <w:pPr>
        <w:pStyle w:val="11"/>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附件二</w:t>
      </w:r>
    </w:p>
    <w:p w14:paraId="65FA9DA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综合评分表</w:t>
      </w:r>
    </w:p>
    <w:p w14:paraId="0D966BB9">
      <w:pPr>
        <w:pStyle w:val="11"/>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shd w:val="clear" w:color="auto" w:fill="FFFFFF"/>
        </w:rPr>
        <w:t>项目名称：</w:t>
      </w:r>
      <w:r>
        <w:rPr>
          <w:rFonts w:hint="eastAsia" w:hAnsi="宋体" w:eastAsia="宋体" w:cs="宋体"/>
          <w:color w:val="auto"/>
          <w:sz w:val="21"/>
          <w:szCs w:val="21"/>
          <w:highlight w:val="none"/>
          <w:u w:val="single"/>
          <w:lang w:eastAsia="zh-CN"/>
        </w:rPr>
        <w:t>如意坊放射线系统工程（二期）物资回收项目</w:t>
      </w:r>
    </w:p>
    <w:tbl>
      <w:tblPr>
        <w:tblStyle w:val="18"/>
        <w:tblW w:w="9498" w:type="dxa"/>
        <w:jc w:val="center"/>
        <w:tblLayout w:type="fixed"/>
        <w:tblCellMar>
          <w:top w:w="0" w:type="dxa"/>
          <w:left w:w="108" w:type="dxa"/>
          <w:bottom w:w="0" w:type="dxa"/>
          <w:right w:w="108" w:type="dxa"/>
        </w:tblCellMar>
      </w:tblPr>
      <w:tblGrid>
        <w:gridCol w:w="731"/>
        <w:gridCol w:w="1093"/>
        <w:gridCol w:w="784"/>
        <w:gridCol w:w="6890"/>
      </w:tblGrid>
      <w:tr w14:paraId="5D6B878A">
        <w:tblPrEx>
          <w:tblCellMar>
            <w:top w:w="0" w:type="dxa"/>
            <w:left w:w="108" w:type="dxa"/>
            <w:bottom w:w="0" w:type="dxa"/>
            <w:right w:w="108" w:type="dxa"/>
          </w:tblCellMar>
        </w:tblPrEx>
        <w:trPr>
          <w:trHeight w:val="452" w:hRule="atLeast"/>
          <w:jc w:val="center"/>
        </w:trPr>
        <w:tc>
          <w:tcPr>
            <w:tcW w:w="731" w:type="dxa"/>
            <w:tcBorders>
              <w:top w:val="single" w:color="auto" w:sz="6" w:space="0"/>
              <w:left w:val="single" w:color="auto" w:sz="6" w:space="0"/>
              <w:bottom w:val="single" w:color="auto" w:sz="6" w:space="0"/>
              <w:right w:val="single" w:color="auto" w:sz="6" w:space="0"/>
            </w:tcBorders>
            <w:vAlign w:val="center"/>
          </w:tcPr>
          <w:p w14:paraId="7E59E61C">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分类</w:t>
            </w:r>
          </w:p>
        </w:tc>
        <w:tc>
          <w:tcPr>
            <w:tcW w:w="1093" w:type="dxa"/>
            <w:tcBorders>
              <w:top w:val="single" w:color="auto" w:sz="6" w:space="0"/>
              <w:left w:val="nil"/>
              <w:bottom w:val="single" w:color="auto" w:sz="6" w:space="0"/>
              <w:right w:val="single" w:color="auto" w:sz="6" w:space="0"/>
            </w:tcBorders>
            <w:vAlign w:val="center"/>
          </w:tcPr>
          <w:p w14:paraId="481D9D4E">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784" w:type="dxa"/>
            <w:tcBorders>
              <w:top w:val="single" w:color="auto" w:sz="6" w:space="0"/>
              <w:left w:val="nil"/>
              <w:bottom w:val="single" w:color="auto" w:sz="6" w:space="0"/>
              <w:right w:val="single" w:color="auto" w:sz="6" w:space="0"/>
            </w:tcBorders>
            <w:vAlign w:val="center"/>
          </w:tcPr>
          <w:p w14:paraId="15D3BA23">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6890" w:type="dxa"/>
            <w:tcBorders>
              <w:top w:val="single" w:color="auto" w:sz="6" w:space="0"/>
              <w:left w:val="nil"/>
              <w:bottom w:val="single" w:color="auto" w:sz="6" w:space="0"/>
              <w:right w:val="single" w:color="auto" w:sz="6" w:space="0"/>
            </w:tcBorders>
            <w:vAlign w:val="center"/>
          </w:tcPr>
          <w:p w14:paraId="0D8C241D">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r>
      <w:tr w14:paraId="78F26096">
        <w:tblPrEx>
          <w:tblCellMar>
            <w:top w:w="0" w:type="dxa"/>
            <w:left w:w="108" w:type="dxa"/>
            <w:bottom w:w="0" w:type="dxa"/>
            <w:right w:w="108" w:type="dxa"/>
          </w:tblCellMar>
        </w:tblPrEx>
        <w:trPr>
          <w:trHeight w:val="1062" w:hRule="atLeast"/>
          <w:jc w:val="center"/>
        </w:trPr>
        <w:tc>
          <w:tcPr>
            <w:tcW w:w="731" w:type="dxa"/>
            <w:vMerge w:val="restart"/>
            <w:tcBorders>
              <w:top w:val="single" w:color="auto" w:sz="6" w:space="0"/>
              <w:left w:val="single" w:color="auto" w:sz="6" w:space="0"/>
              <w:right w:val="single" w:color="auto" w:sz="6" w:space="0"/>
            </w:tcBorders>
            <w:vAlign w:val="center"/>
          </w:tcPr>
          <w:p w14:paraId="24492E5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商务技术部分（</w:t>
            </w: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lang w:val="en-US" w:eastAsia="zh-CN"/>
              </w:rPr>
              <w:t>）</w:t>
            </w:r>
          </w:p>
        </w:tc>
        <w:tc>
          <w:tcPr>
            <w:tcW w:w="1093" w:type="dxa"/>
            <w:tcBorders>
              <w:top w:val="single" w:color="auto" w:sz="6" w:space="0"/>
              <w:left w:val="nil"/>
              <w:bottom w:val="single" w:color="auto" w:sz="6" w:space="0"/>
              <w:right w:val="single" w:color="auto" w:sz="6" w:space="0"/>
            </w:tcBorders>
            <w:vAlign w:val="center"/>
          </w:tcPr>
          <w:p w14:paraId="27BD1B53">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同类项目业绩</w:t>
            </w:r>
          </w:p>
        </w:tc>
        <w:tc>
          <w:tcPr>
            <w:tcW w:w="784" w:type="dxa"/>
            <w:tcBorders>
              <w:top w:val="single" w:color="auto" w:sz="6" w:space="0"/>
              <w:left w:val="nil"/>
              <w:bottom w:val="single" w:color="auto" w:sz="6" w:space="0"/>
              <w:right w:val="single" w:color="auto" w:sz="6" w:space="0"/>
            </w:tcBorders>
            <w:vAlign w:val="center"/>
          </w:tcPr>
          <w:p w14:paraId="54353F02">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6890" w:type="dxa"/>
            <w:tcBorders>
              <w:top w:val="single" w:color="auto" w:sz="6" w:space="0"/>
              <w:left w:val="nil"/>
              <w:bottom w:val="single" w:color="auto" w:sz="6" w:space="0"/>
              <w:right w:val="single" w:color="auto" w:sz="6" w:space="0"/>
            </w:tcBorders>
            <w:vAlign w:val="center"/>
          </w:tcPr>
          <w:p w14:paraId="2322D4A3">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年1月1日至今承接过</w:t>
            </w:r>
            <w:r>
              <w:rPr>
                <w:rFonts w:hint="eastAsia" w:ascii="宋体" w:hAnsi="宋体" w:cs="宋体"/>
                <w:color w:val="auto"/>
                <w:szCs w:val="21"/>
                <w:highlight w:val="none"/>
                <w:lang w:val="en-US" w:eastAsia="zh-CN"/>
              </w:rPr>
              <w:t>同类型</w:t>
            </w:r>
            <w:r>
              <w:rPr>
                <w:rFonts w:hint="eastAsia" w:ascii="宋体" w:hAnsi="宋体" w:eastAsia="宋体" w:cs="宋体"/>
                <w:color w:val="auto"/>
                <w:szCs w:val="21"/>
                <w:highlight w:val="none"/>
              </w:rPr>
              <w:t>业绩，每项得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分，本项最多得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2CBCC538">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注：需提供中标通知书或合同关键页复印件（盖公章）作为评审依据，时间以合同签署日期为准。</w:t>
            </w:r>
          </w:p>
        </w:tc>
      </w:tr>
      <w:tr w14:paraId="28B163BC">
        <w:tblPrEx>
          <w:tblCellMar>
            <w:top w:w="0" w:type="dxa"/>
            <w:left w:w="108" w:type="dxa"/>
            <w:bottom w:w="0" w:type="dxa"/>
            <w:right w:w="108" w:type="dxa"/>
          </w:tblCellMar>
        </w:tblPrEx>
        <w:trPr>
          <w:trHeight w:val="1112" w:hRule="atLeast"/>
          <w:jc w:val="center"/>
        </w:trPr>
        <w:tc>
          <w:tcPr>
            <w:tcW w:w="731" w:type="dxa"/>
            <w:vMerge w:val="continue"/>
            <w:tcBorders>
              <w:left w:val="single" w:color="auto" w:sz="6" w:space="0"/>
              <w:right w:val="single" w:color="auto" w:sz="6" w:space="0"/>
            </w:tcBorders>
            <w:vAlign w:val="center"/>
          </w:tcPr>
          <w:p w14:paraId="5B4D0E80">
            <w:pPr>
              <w:autoSpaceDE w:val="0"/>
              <w:autoSpaceDN w:val="0"/>
              <w:adjustRightInd w:val="0"/>
              <w:jc w:val="center"/>
              <w:rPr>
                <w:rFonts w:hint="eastAsia" w:ascii="宋体" w:hAnsi="宋体" w:eastAsia="宋体" w:cs="宋体"/>
                <w:color w:val="auto"/>
                <w:szCs w:val="21"/>
                <w:highlight w:val="none"/>
              </w:rPr>
            </w:pPr>
          </w:p>
        </w:tc>
        <w:tc>
          <w:tcPr>
            <w:tcW w:w="1093" w:type="dxa"/>
            <w:tcBorders>
              <w:top w:val="single" w:color="auto" w:sz="6" w:space="0"/>
              <w:left w:val="nil"/>
              <w:bottom w:val="single" w:color="auto" w:sz="6" w:space="0"/>
              <w:right w:val="single" w:color="auto" w:sz="6" w:space="0"/>
            </w:tcBorders>
            <w:vAlign w:val="center"/>
          </w:tcPr>
          <w:p w14:paraId="2D0F0E27">
            <w:pPr>
              <w:autoSpaceDE w:val="0"/>
              <w:autoSpaceDN w:val="0"/>
              <w:adjustRightInd w:val="0"/>
              <w:jc w:val="center"/>
              <w:rPr>
                <w:rFonts w:hint="eastAsia" w:ascii="宋体" w:hAnsi="宋体" w:eastAsia="宋体" w:cs="宋体"/>
                <w:color w:val="auto"/>
                <w:szCs w:val="21"/>
                <w:highlight w:val="none"/>
              </w:rPr>
            </w:pPr>
            <w:r>
              <w:rPr>
                <w:rFonts w:hint="eastAsia" w:ascii="宋体" w:hAnsi="宋体"/>
                <w:color w:val="000000"/>
                <w:szCs w:val="21"/>
              </w:rPr>
              <w:t>企业管理体系认证</w:t>
            </w:r>
          </w:p>
        </w:tc>
        <w:tc>
          <w:tcPr>
            <w:tcW w:w="784" w:type="dxa"/>
            <w:tcBorders>
              <w:top w:val="single" w:color="auto" w:sz="6" w:space="0"/>
              <w:left w:val="nil"/>
              <w:bottom w:val="single" w:color="auto" w:sz="6" w:space="0"/>
              <w:right w:val="single" w:color="auto" w:sz="6" w:space="0"/>
            </w:tcBorders>
            <w:vAlign w:val="center"/>
          </w:tcPr>
          <w:p w14:paraId="126286E2">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890" w:type="dxa"/>
            <w:tcBorders>
              <w:top w:val="single" w:color="auto" w:sz="6" w:space="0"/>
              <w:left w:val="nil"/>
              <w:bottom w:val="single" w:color="auto" w:sz="6" w:space="0"/>
              <w:right w:val="single" w:color="auto" w:sz="6" w:space="0"/>
            </w:tcBorders>
            <w:vAlign w:val="center"/>
          </w:tcPr>
          <w:p w14:paraId="3DBCF6E1">
            <w:pPr>
              <w:snapToGrid w:val="0"/>
              <w:spacing w:line="288" w:lineRule="auto"/>
              <w:ind w:right="-73" w:rightChars="-35"/>
              <w:jc w:val="left"/>
              <w:rPr>
                <w:rFonts w:ascii="宋体" w:hAnsi="宋体" w:cs="宋体"/>
                <w:color w:val="000000"/>
                <w:szCs w:val="21"/>
              </w:rPr>
            </w:pPr>
            <w:r>
              <w:rPr>
                <w:rFonts w:hint="eastAsia" w:ascii="宋体" w:hAnsi="宋体" w:cs="宋体"/>
                <w:color w:val="000000"/>
                <w:szCs w:val="21"/>
              </w:rPr>
              <w:t>供应商具有效期内的质量管理体系认证、环境管理体系认证、职业健康安全管理体系认证的，每一项得</w:t>
            </w:r>
            <w:r>
              <w:rPr>
                <w:rFonts w:hint="eastAsia" w:ascii="宋体" w:hAnsi="宋体" w:cs="宋体"/>
                <w:color w:val="000000"/>
                <w:szCs w:val="21"/>
                <w:lang w:val="en-US" w:eastAsia="zh-CN"/>
              </w:rPr>
              <w:t>4</w:t>
            </w:r>
            <w:r>
              <w:rPr>
                <w:rFonts w:hint="eastAsia" w:ascii="宋体" w:hAnsi="宋体" w:cs="宋体"/>
                <w:color w:val="000000"/>
                <w:szCs w:val="21"/>
              </w:rPr>
              <w:t>分，最高得</w:t>
            </w:r>
            <w:r>
              <w:rPr>
                <w:rFonts w:hint="eastAsia" w:ascii="宋体" w:hAnsi="宋体" w:cs="宋体"/>
                <w:color w:val="000000"/>
                <w:szCs w:val="21"/>
                <w:lang w:val="en-US" w:eastAsia="zh-CN"/>
              </w:rPr>
              <w:t>12</w:t>
            </w:r>
            <w:r>
              <w:rPr>
                <w:rFonts w:hint="eastAsia" w:ascii="宋体" w:hAnsi="宋体" w:cs="宋体"/>
                <w:color w:val="000000"/>
                <w:szCs w:val="21"/>
              </w:rPr>
              <w:t>分。</w:t>
            </w:r>
          </w:p>
          <w:p w14:paraId="4CDD85DF">
            <w:pPr>
              <w:snapToGrid w:val="0"/>
              <w:jc w:val="left"/>
              <w:rPr>
                <w:rFonts w:hint="eastAsia" w:ascii="宋体" w:hAnsi="宋体" w:eastAsia="宋体" w:cs="宋体"/>
                <w:color w:val="auto"/>
                <w:szCs w:val="21"/>
                <w:highlight w:val="none"/>
              </w:rPr>
            </w:pPr>
            <w:r>
              <w:rPr>
                <w:rFonts w:hint="eastAsia" w:ascii="宋体" w:hAnsi="宋体" w:cs="宋体"/>
                <w:b/>
                <w:color w:val="000000"/>
                <w:szCs w:val="21"/>
              </w:rPr>
              <w:t>（注：须提供有效期内的证书复印件并加盖投标人公章，不提供的不得分）</w:t>
            </w:r>
          </w:p>
        </w:tc>
      </w:tr>
      <w:tr w14:paraId="03CD1B0B">
        <w:tblPrEx>
          <w:tblCellMar>
            <w:top w:w="0" w:type="dxa"/>
            <w:left w:w="108" w:type="dxa"/>
            <w:bottom w:w="0" w:type="dxa"/>
            <w:right w:w="108" w:type="dxa"/>
          </w:tblCellMar>
        </w:tblPrEx>
        <w:trPr>
          <w:trHeight w:val="1801" w:hRule="atLeast"/>
          <w:jc w:val="center"/>
        </w:trPr>
        <w:tc>
          <w:tcPr>
            <w:tcW w:w="731" w:type="dxa"/>
            <w:vMerge w:val="continue"/>
            <w:tcBorders>
              <w:left w:val="single" w:color="auto" w:sz="6" w:space="0"/>
              <w:right w:val="single" w:color="auto" w:sz="6" w:space="0"/>
            </w:tcBorders>
            <w:vAlign w:val="center"/>
          </w:tcPr>
          <w:p w14:paraId="4505B010">
            <w:pPr>
              <w:autoSpaceDE w:val="0"/>
              <w:autoSpaceDN w:val="0"/>
              <w:adjustRightInd w:val="0"/>
              <w:jc w:val="center"/>
              <w:rPr>
                <w:rFonts w:hint="eastAsia" w:ascii="宋体" w:hAnsi="宋体" w:eastAsia="宋体" w:cs="宋体"/>
                <w:color w:val="auto"/>
                <w:szCs w:val="21"/>
                <w:highlight w:val="none"/>
              </w:rPr>
            </w:pPr>
          </w:p>
        </w:tc>
        <w:tc>
          <w:tcPr>
            <w:tcW w:w="1093" w:type="dxa"/>
            <w:tcBorders>
              <w:top w:val="single" w:color="auto" w:sz="6" w:space="0"/>
              <w:left w:val="nil"/>
              <w:bottom w:val="single" w:color="auto" w:sz="6" w:space="0"/>
              <w:right w:val="single" w:color="auto" w:sz="6" w:space="0"/>
            </w:tcBorders>
            <w:vAlign w:val="center"/>
          </w:tcPr>
          <w:p w14:paraId="7D8F039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人员配备情况</w:t>
            </w:r>
          </w:p>
        </w:tc>
        <w:tc>
          <w:tcPr>
            <w:tcW w:w="784" w:type="dxa"/>
            <w:tcBorders>
              <w:top w:val="single" w:color="auto" w:sz="6" w:space="0"/>
              <w:left w:val="nil"/>
              <w:bottom w:val="single" w:color="auto" w:sz="6" w:space="0"/>
              <w:right w:val="single" w:color="auto" w:sz="6" w:space="0"/>
            </w:tcBorders>
            <w:vAlign w:val="center"/>
          </w:tcPr>
          <w:p w14:paraId="7365E957">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5B9200F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根据供应商拟投入本项目的人员配备情况进行评审：（1）人员配置专业</w:t>
            </w:r>
          </w:p>
          <w:p w14:paraId="07DB51D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、数量及岗位设置合理，有利于本项目实施的，得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分；（2）人员配置专业、数量及岗位设置较合理，较利于本项目实施的，得</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分；（3）人员配置专业、数量及岗位设置基本合理，不利于本项目实施的，得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分；（4）其他情况不得分。注：需提供相关专业技术人员名单及</w:t>
            </w:r>
            <w:r>
              <w:rPr>
                <w:rFonts w:hint="eastAsia" w:ascii="宋体" w:hAnsi="宋体" w:cs="宋体"/>
                <w:color w:val="auto"/>
                <w:szCs w:val="21"/>
                <w:highlight w:val="none"/>
                <w:lang w:val="en-US" w:eastAsia="zh-CN"/>
              </w:rPr>
              <w:t>相关证明材料</w:t>
            </w:r>
            <w:r>
              <w:rPr>
                <w:rFonts w:hint="eastAsia" w:ascii="宋体" w:hAnsi="宋体" w:eastAsia="宋体" w:cs="宋体"/>
                <w:color w:val="auto"/>
                <w:szCs w:val="21"/>
                <w:highlight w:val="none"/>
              </w:rPr>
              <w:t>，否则不得分。</w:t>
            </w:r>
          </w:p>
        </w:tc>
      </w:tr>
      <w:tr w14:paraId="23BDCC0E">
        <w:tblPrEx>
          <w:tblCellMar>
            <w:top w:w="0" w:type="dxa"/>
            <w:left w:w="108" w:type="dxa"/>
            <w:bottom w:w="0" w:type="dxa"/>
            <w:right w:w="108" w:type="dxa"/>
          </w:tblCellMar>
        </w:tblPrEx>
        <w:trPr>
          <w:trHeight w:val="1938" w:hRule="atLeast"/>
          <w:jc w:val="center"/>
        </w:trPr>
        <w:tc>
          <w:tcPr>
            <w:tcW w:w="731" w:type="dxa"/>
            <w:vMerge w:val="continue"/>
            <w:tcBorders>
              <w:left w:val="single" w:color="auto" w:sz="6" w:space="0"/>
              <w:right w:val="single" w:color="auto" w:sz="6" w:space="0"/>
            </w:tcBorders>
            <w:vAlign w:val="center"/>
          </w:tcPr>
          <w:p w14:paraId="3D0874C4">
            <w:pPr>
              <w:autoSpaceDE w:val="0"/>
              <w:autoSpaceDN w:val="0"/>
              <w:adjustRightInd w:val="0"/>
              <w:jc w:val="center"/>
              <w:rPr>
                <w:rFonts w:hint="eastAsia" w:ascii="宋体" w:hAnsi="宋体" w:eastAsia="宋体" w:cs="宋体"/>
                <w:color w:val="auto"/>
                <w:szCs w:val="21"/>
                <w:highlight w:val="none"/>
              </w:rPr>
            </w:pPr>
          </w:p>
        </w:tc>
        <w:tc>
          <w:tcPr>
            <w:tcW w:w="1093" w:type="dxa"/>
            <w:tcBorders>
              <w:top w:val="single" w:color="auto" w:sz="6" w:space="0"/>
              <w:left w:val="nil"/>
              <w:bottom w:val="single" w:color="auto" w:sz="4" w:space="0"/>
              <w:right w:val="single" w:color="auto" w:sz="6" w:space="0"/>
            </w:tcBorders>
            <w:vAlign w:val="center"/>
          </w:tcPr>
          <w:p w14:paraId="007B948E">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对回收服务的理解及重点难点的认识</w:t>
            </w:r>
          </w:p>
        </w:tc>
        <w:tc>
          <w:tcPr>
            <w:tcW w:w="784" w:type="dxa"/>
            <w:tcBorders>
              <w:top w:val="single" w:color="auto" w:sz="6" w:space="0"/>
              <w:left w:val="nil"/>
              <w:bottom w:val="single" w:color="auto" w:sz="6" w:space="0"/>
              <w:right w:val="single" w:color="auto" w:sz="6" w:space="0"/>
            </w:tcBorders>
            <w:vAlign w:val="center"/>
          </w:tcPr>
          <w:p w14:paraId="67160D6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02215EB3">
            <w:pPr>
              <w:widowControl/>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（1）对本项目回收物状况、实施条件有深入了解，对回收工作的重点难点有详细分析，并提出合理化建议，得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分；（2）对本项目回收物状况、实施条件有了解，对回收工作的重点难点有较详细分析，并提出合理化建议，得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分；（3）对本项目回收物状况、实施条件不了解，对回收工作的重点难点有分析，并提出合理化建议，得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分；（4）不提供本项不得分</w:t>
            </w:r>
            <w:r>
              <w:rPr>
                <w:rFonts w:hint="eastAsia" w:ascii="宋体" w:hAnsi="宋体" w:cs="宋体"/>
                <w:color w:val="auto"/>
                <w:szCs w:val="21"/>
                <w:highlight w:val="none"/>
                <w:lang w:eastAsia="zh-CN"/>
              </w:rPr>
              <w:t>。</w:t>
            </w:r>
          </w:p>
        </w:tc>
      </w:tr>
      <w:tr w14:paraId="547E4D6B">
        <w:tblPrEx>
          <w:tblCellMar>
            <w:top w:w="0" w:type="dxa"/>
            <w:left w:w="108" w:type="dxa"/>
            <w:bottom w:w="0" w:type="dxa"/>
            <w:right w:w="108" w:type="dxa"/>
          </w:tblCellMar>
        </w:tblPrEx>
        <w:trPr>
          <w:trHeight w:val="1784" w:hRule="atLeast"/>
          <w:jc w:val="center"/>
        </w:trPr>
        <w:tc>
          <w:tcPr>
            <w:tcW w:w="731" w:type="dxa"/>
            <w:vMerge w:val="continue"/>
            <w:tcBorders>
              <w:left w:val="single" w:color="auto" w:sz="6" w:space="0"/>
              <w:right w:val="single" w:color="auto" w:sz="6" w:space="0"/>
            </w:tcBorders>
            <w:vAlign w:val="center"/>
          </w:tcPr>
          <w:p w14:paraId="0CBED2B2">
            <w:pPr>
              <w:jc w:val="center"/>
              <w:rPr>
                <w:rFonts w:hint="eastAsia" w:ascii="宋体" w:hAnsi="宋体" w:eastAsia="宋体" w:cs="宋体"/>
                <w:color w:val="auto"/>
                <w:szCs w:val="21"/>
                <w:highlight w:val="none"/>
              </w:rPr>
            </w:pPr>
          </w:p>
        </w:tc>
        <w:tc>
          <w:tcPr>
            <w:tcW w:w="1093" w:type="dxa"/>
            <w:tcBorders>
              <w:top w:val="single" w:color="auto" w:sz="4" w:space="0"/>
              <w:left w:val="nil"/>
              <w:bottom w:val="nil"/>
              <w:right w:val="single" w:color="auto" w:sz="6" w:space="0"/>
            </w:tcBorders>
            <w:vAlign w:val="center"/>
          </w:tcPr>
          <w:p w14:paraId="7ACF8A6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回收体系建立及运营方案</w:t>
            </w:r>
          </w:p>
        </w:tc>
        <w:tc>
          <w:tcPr>
            <w:tcW w:w="784" w:type="dxa"/>
            <w:tcBorders>
              <w:top w:val="single" w:color="auto" w:sz="6" w:space="0"/>
              <w:left w:val="nil"/>
              <w:bottom w:val="single" w:color="auto" w:sz="6" w:space="0"/>
              <w:right w:val="single" w:color="auto" w:sz="6" w:space="0"/>
            </w:tcBorders>
            <w:vAlign w:val="center"/>
          </w:tcPr>
          <w:p w14:paraId="337624B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4DA524E6">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（1）物资回收点、回收运输体系、物资回收管理制度、回收服务响应综合能力强、回收渠道完整、合理、可行性强，得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5分；（2）物资回收点、回收运输体系、物资回收管理制度、回收服务响应综合能力较强、回收渠道较完整、较合理、可行性强，得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分；（3）物资回收点、回收运输体系、物资回收管理制度、回收服务响应综合能力弱、回收渠道不完整、不合理、可行性强，得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分；（4）不提供本项不得分</w:t>
            </w:r>
            <w:r>
              <w:rPr>
                <w:rFonts w:hint="eastAsia" w:ascii="宋体" w:hAnsi="宋体" w:cs="宋体"/>
                <w:color w:val="auto"/>
                <w:szCs w:val="21"/>
                <w:highlight w:val="none"/>
                <w:lang w:eastAsia="zh-CN"/>
              </w:rPr>
              <w:t>。</w:t>
            </w:r>
          </w:p>
        </w:tc>
      </w:tr>
      <w:tr w14:paraId="5BA56C33">
        <w:tblPrEx>
          <w:tblCellMar>
            <w:top w:w="0" w:type="dxa"/>
            <w:left w:w="108" w:type="dxa"/>
            <w:bottom w:w="0" w:type="dxa"/>
            <w:right w:w="108" w:type="dxa"/>
          </w:tblCellMar>
        </w:tblPrEx>
        <w:trPr>
          <w:trHeight w:val="1295" w:hRule="atLeast"/>
          <w:jc w:val="center"/>
        </w:trPr>
        <w:tc>
          <w:tcPr>
            <w:tcW w:w="731" w:type="dxa"/>
            <w:vMerge w:val="continue"/>
            <w:tcBorders>
              <w:left w:val="single" w:color="auto" w:sz="6" w:space="0"/>
              <w:bottom w:val="nil"/>
              <w:right w:val="single" w:color="auto" w:sz="6" w:space="0"/>
            </w:tcBorders>
            <w:vAlign w:val="center"/>
          </w:tcPr>
          <w:p w14:paraId="4A326C20">
            <w:pPr>
              <w:jc w:val="center"/>
              <w:rPr>
                <w:rFonts w:hint="eastAsia" w:ascii="宋体" w:hAnsi="宋体" w:eastAsia="宋体" w:cs="宋体"/>
                <w:color w:val="auto"/>
                <w:szCs w:val="21"/>
                <w:highlight w:val="none"/>
              </w:rPr>
            </w:pPr>
          </w:p>
        </w:tc>
        <w:tc>
          <w:tcPr>
            <w:tcW w:w="1093" w:type="dxa"/>
            <w:tcBorders>
              <w:top w:val="single" w:color="auto" w:sz="4" w:space="0"/>
              <w:left w:val="nil"/>
              <w:bottom w:val="nil"/>
              <w:right w:val="single" w:color="auto" w:sz="6" w:space="0"/>
            </w:tcBorders>
            <w:vAlign w:val="center"/>
          </w:tcPr>
          <w:p w14:paraId="14B5901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回收进度管理措施 </w:t>
            </w:r>
          </w:p>
        </w:tc>
        <w:tc>
          <w:tcPr>
            <w:tcW w:w="784" w:type="dxa"/>
            <w:tcBorders>
              <w:top w:val="single" w:color="auto" w:sz="6" w:space="0"/>
              <w:left w:val="nil"/>
              <w:bottom w:val="single" w:color="auto" w:sz="6" w:space="0"/>
              <w:right w:val="single" w:color="auto" w:sz="6" w:space="0"/>
            </w:tcBorders>
            <w:vAlign w:val="center"/>
          </w:tcPr>
          <w:p w14:paraId="44FA4995">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52A529CA">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（1）有编制进度计划，制定进度保障措施，且措施合理、可行性强得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分；（2）有编制进度计划，制定进度保障措施，且措施较合理、可行性较强得</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rPr>
              <w:t>分；（3）有编制进度计划，制定进度保障措施，但措施不合理、可行性不强得</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分；（4）不提供本项不得分。</w:t>
            </w:r>
          </w:p>
        </w:tc>
      </w:tr>
      <w:tr w14:paraId="41AB299E">
        <w:tblPrEx>
          <w:tblCellMar>
            <w:top w:w="0" w:type="dxa"/>
            <w:left w:w="108" w:type="dxa"/>
            <w:bottom w:w="0" w:type="dxa"/>
            <w:right w:w="108" w:type="dxa"/>
          </w:tblCellMar>
        </w:tblPrEx>
        <w:trPr>
          <w:trHeight w:val="2068" w:hRule="atLeast"/>
          <w:jc w:val="center"/>
        </w:trPr>
        <w:tc>
          <w:tcPr>
            <w:tcW w:w="731" w:type="dxa"/>
            <w:tcBorders>
              <w:top w:val="single" w:color="auto" w:sz="6" w:space="0"/>
              <w:left w:val="single" w:color="auto" w:sz="6" w:space="0"/>
              <w:bottom w:val="single" w:color="auto" w:sz="6" w:space="0"/>
              <w:right w:val="single" w:color="auto" w:sz="6" w:space="0"/>
            </w:tcBorders>
            <w:vAlign w:val="center"/>
          </w:tcPr>
          <w:p w14:paraId="2CEDE5B4">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报价部分（</w:t>
            </w:r>
            <w:r>
              <w:rPr>
                <w:rFonts w:hint="eastAsia" w:ascii="宋体" w:hAnsi="宋体" w:eastAsia="宋体" w:cs="宋体"/>
                <w:color w:val="auto"/>
                <w:szCs w:val="21"/>
                <w:highlight w:val="none"/>
                <w:lang w:val="en-US" w:eastAsia="zh-CN"/>
              </w:rPr>
              <w:t>20）</w:t>
            </w:r>
          </w:p>
        </w:tc>
        <w:tc>
          <w:tcPr>
            <w:tcW w:w="1093" w:type="dxa"/>
            <w:tcBorders>
              <w:top w:val="single" w:color="auto" w:sz="6" w:space="0"/>
              <w:left w:val="nil"/>
              <w:bottom w:val="single" w:color="auto" w:sz="6" w:space="0"/>
              <w:right w:val="single" w:color="auto" w:sz="6" w:space="0"/>
            </w:tcBorders>
            <w:vAlign w:val="center"/>
          </w:tcPr>
          <w:p w14:paraId="5E63759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784" w:type="dxa"/>
            <w:tcBorders>
              <w:top w:val="single" w:color="auto" w:sz="6" w:space="0"/>
              <w:left w:val="nil"/>
              <w:bottom w:val="single" w:color="auto" w:sz="6" w:space="0"/>
              <w:right w:val="single" w:color="auto" w:sz="6" w:space="0"/>
            </w:tcBorders>
            <w:vAlign w:val="center"/>
          </w:tcPr>
          <w:p w14:paraId="016FF9D8">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890" w:type="dxa"/>
            <w:tcBorders>
              <w:top w:val="single" w:color="auto" w:sz="6" w:space="0"/>
              <w:left w:val="nil"/>
              <w:bottom w:val="single" w:color="auto" w:sz="6" w:space="0"/>
              <w:right w:val="single" w:color="auto" w:sz="6" w:space="0"/>
            </w:tcBorders>
            <w:vAlign w:val="center"/>
          </w:tcPr>
          <w:p w14:paraId="27886DB3">
            <w:pPr>
              <w:snapToGrid w:val="0"/>
              <w:jc w:val="left"/>
              <w:rPr>
                <w:rFonts w:hint="eastAsia" w:ascii="宋体" w:hAnsi="宋体" w:cs="宋体"/>
                <w:color w:val="auto"/>
                <w:highlight w:val="none"/>
              </w:rPr>
            </w:pPr>
            <w:r>
              <w:rPr>
                <w:rFonts w:hint="eastAsia" w:ascii="宋体" w:hAnsi="宋体" w:cs="宋体"/>
                <w:color w:val="auto"/>
                <w:highlight w:val="none"/>
              </w:rPr>
              <w:t>Y基准=最高有效报价，Y基准按四舍五入法保留两位小数。</w:t>
            </w:r>
          </w:p>
          <w:p w14:paraId="47F2B061">
            <w:pPr>
              <w:snapToGrid w:val="0"/>
              <w:jc w:val="left"/>
              <w:rPr>
                <w:rFonts w:hint="eastAsia" w:ascii="宋体" w:hAnsi="宋体" w:cs="宋体"/>
                <w:color w:val="auto"/>
                <w:highlight w:val="none"/>
              </w:rPr>
            </w:pPr>
            <w:r>
              <w:rPr>
                <w:rFonts w:hint="eastAsia" w:ascii="宋体" w:hAnsi="宋体" w:cs="宋体"/>
                <w:color w:val="auto"/>
                <w:highlight w:val="none"/>
              </w:rPr>
              <w:t>基准价为有效报价人的最高报价。</w:t>
            </w:r>
          </w:p>
          <w:p w14:paraId="519033F2">
            <w:pPr>
              <w:snapToGrid w:val="0"/>
              <w:jc w:val="left"/>
              <w:rPr>
                <w:rFonts w:hint="eastAsia" w:ascii="宋体" w:hAnsi="宋体" w:cs="宋体"/>
                <w:color w:val="auto"/>
                <w:highlight w:val="none"/>
              </w:rPr>
            </w:pPr>
            <w:r>
              <w:rPr>
                <w:rFonts w:hint="eastAsia" w:ascii="宋体" w:hAnsi="宋体" w:cs="宋体"/>
                <w:color w:val="auto"/>
                <w:highlight w:val="none"/>
              </w:rPr>
              <w:t>价格分计算公式：</w:t>
            </w:r>
          </w:p>
          <w:p w14:paraId="53A17B2B">
            <w:pPr>
              <w:snapToGrid w:val="0"/>
              <w:jc w:val="left"/>
              <w:rPr>
                <w:rFonts w:hint="eastAsia" w:ascii="宋体" w:hAnsi="宋体" w:cs="宋体"/>
                <w:color w:val="auto"/>
                <w:highlight w:val="none"/>
              </w:rPr>
            </w:pPr>
            <w:r>
              <w:rPr>
                <w:rFonts w:hint="eastAsia" w:ascii="宋体" w:hAnsi="宋体" w:cs="宋体"/>
                <w:color w:val="auto"/>
                <w:highlight w:val="none"/>
              </w:rPr>
              <w:t>1、Yi为某报价人的报价；Qi为计算得分，按四舍五入法保留两位小数。</w:t>
            </w:r>
          </w:p>
          <w:p w14:paraId="610BAD2E">
            <w:pPr>
              <w:snapToGrid w:val="0"/>
              <w:jc w:val="left"/>
              <w:rPr>
                <w:rFonts w:hint="eastAsia" w:ascii="宋体" w:hAnsi="宋体" w:cs="宋体"/>
                <w:color w:val="auto"/>
                <w:highlight w:val="none"/>
              </w:rPr>
            </w:pPr>
            <w:r>
              <w:rPr>
                <w:rFonts w:hint="eastAsia" w:ascii="宋体" w:hAnsi="宋体" w:cs="宋体"/>
                <w:color w:val="auto"/>
                <w:highlight w:val="none"/>
              </w:rPr>
              <w:t>2、Qi=R*Yi/Y基准×报价满分。</w:t>
            </w:r>
          </w:p>
          <w:p w14:paraId="6A9E2264">
            <w:pPr>
              <w:snapToGrid w:val="0"/>
              <w:jc w:val="left"/>
              <w:rPr>
                <w:rFonts w:hint="eastAsia" w:ascii="宋体" w:hAnsi="宋体" w:eastAsia="宋体" w:cs="宋体"/>
                <w:color w:val="auto"/>
                <w:szCs w:val="21"/>
                <w:highlight w:val="none"/>
              </w:rPr>
            </w:pPr>
            <w:r>
              <w:rPr>
                <w:rFonts w:hint="eastAsia" w:ascii="宋体" w:hAnsi="宋体" w:cs="宋体"/>
                <w:color w:val="auto"/>
                <w:highlight w:val="none"/>
              </w:rPr>
              <w:t>3、R=1</w:t>
            </w:r>
          </w:p>
        </w:tc>
      </w:tr>
      <w:tr w14:paraId="67D08177">
        <w:tblPrEx>
          <w:tblCellMar>
            <w:top w:w="0" w:type="dxa"/>
            <w:left w:w="108" w:type="dxa"/>
            <w:bottom w:w="0" w:type="dxa"/>
            <w:right w:w="108" w:type="dxa"/>
          </w:tblCellMar>
        </w:tblPrEx>
        <w:trPr>
          <w:trHeight w:val="483" w:hRule="atLeast"/>
          <w:jc w:val="center"/>
        </w:trPr>
        <w:tc>
          <w:tcPr>
            <w:tcW w:w="1824" w:type="dxa"/>
            <w:gridSpan w:val="2"/>
            <w:tcBorders>
              <w:top w:val="single" w:color="auto" w:sz="6" w:space="0"/>
              <w:left w:val="single" w:color="auto" w:sz="6" w:space="0"/>
              <w:bottom w:val="single" w:color="auto" w:sz="6" w:space="0"/>
              <w:right w:val="single" w:color="auto" w:sz="6" w:space="0"/>
            </w:tcBorders>
            <w:vAlign w:val="center"/>
          </w:tcPr>
          <w:p w14:paraId="09FB2D11">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w:t>
            </w:r>
          </w:p>
        </w:tc>
        <w:tc>
          <w:tcPr>
            <w:tcW w:w="7674" w:type="dxa"/>
            <w:gridSpan w:val="2"/>
            <w:tcBorders>
              <w:top w:val="single" w:color="auto" w:sz="6" w:space="0"/>
              <w:left w:val="nil"/>
              <w:bottom w:val="single" w:color="auto" w:sz="6" w:space="0"/>
              <w:right w:val="single" w:color="auto" w:sz="6" w:space="0"/>
            </w:tcBorders>
            <w:vAlign w:val="center"/>
          </w:tcPr>
          <w:p w14:paraId="55ED9B9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bl>
    <w:p w14:paraId="38F6B6EE">
      <w:pPr>
        <w:pStyle w:val="11"/>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注：1.评分如出现小数点，则保留小数点后两位，第三位四舍五入。</w:t>
      </w:r>
    </w:p>
    <w:p w14:paraId="1D0B3D36">
      <w:pPr>
        <w:pStyle w:val="11"/>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附件三</w:t>
      </w:r>
    </w:p>
    <w:p w14:paraId="0E65F24E">
      <w:pPr>
        <w:pStyle w:val="11"/>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报价表</w:t>
      </w:r>
    </w:p>
    <w:p w14:paraId="0AB60CC3">
      <w:pPr>
        <w:pStyle w:val="11"/>
        <w:spacing w:line="360" w:lineRule="auto"/>
        <w:ind w:right="-134" w:rightChars="-64"/>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shd w:val="clear" w:color="auto" w:fill="FFFFFF"/>
        </w:rPr>
        <w:t>项目名称：</w:t>
      </w:r>
      <w:r>
        <w:rPr>
          <w:rFonts w:hint="eastAsia" w:hAnsi="宋体" w:eastAsia="宋体" w:cs="宋体"/>
          <w:color w:val="auto"/>
          <w:sz w:val="21"/>
          <w:szCs w:val="21"/>
          <w:highlight w:val="none"/>
          <w:u w:val="single"/>
          <w:lang w:eastAsia="zh-CN"/>
        </w:rPr>
        <w:t>如意坊放射线系统工程（二期）物资回收项目</w:t>
      </w:r>
    </w:p>
    <w:tbl>
      <w:tblPr>
        <w:tblStyle w:val="18"/>
        <w:tblW w:w="9464"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270"/>
        <w:gridCol w:w="3270"/>
        <w:gridCol w:w="2190"/>
      </w:tblGrid>
      <w:tr w14:paraId="1F9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34" w:type="dxa"/>
            <w:vAlign w:val="center"/>
          </w:tcPr>
          <w:p w14:paraId="5BA6216C">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70" w:type="dxa"/>
            <w:vAlign w:val="center"/>
          </w:tcPr>
          <w:p w14:paraId="3F76E5FA">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270" w:type="dxa"/>
            <w:vAlign w:val="center"/>
          </w:tcPr>
          <w:p w14:paraId="6F27A7D7">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总报价（元）</w:t>
            </w:r>
          </w:p>
        </w:tc>
        <w:tc>
          <w:tcPr>
            <w:tcW w:w="2190" w:type="dxa"/>
            <w:vAlign w:val="center"/>
          </w:tcPr>
          <w:p w14:paraId="53623314">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D14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734" w:type="dxa"/>
            <w:vAlign w:val="center"/>
          </w:tcPr>
          <w:p w14:paraId="6E31F57C">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270" w:type="dxa"/>
            <w:shd w:val="clear" w:color="auto" w:fill="auto"/>
            <w:vAlign w:val="center"/>
          </w:tcPr>
          <w:p w14:paraId="1EA5AAB9">
            <w:pPr>
              <w:pStyle w:val="11"/>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如意坊放射线系统工程（二期）物资回收项目</w:t>
            </w:r>
          </w:p>
        </w:tc>
        <w:tc>
          <w:tcPr>
            <w:tcW w:w="3270" w:type="dxa"/>
            <w:shd w:val="clear" w:color="auto" w:fill="auto"/>
            <w:vAlign w:val="center"/>
          </w:tcPr>
          <w:p w14:paraId="1A722616">
            <w:pPr>
              <w:pStyle w:val="32"/>
              <w:spacing w:before="2"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小写：¥</w:t>
            </w:r>
            <w:r>
              <w:rPr>
                <w:rFonts w:hint="eastAsia" w:ascii="宋体" w:hAnsi="宋体" w:eastAsia="宋体" w:cs="宋体"/>
                <w:color w:val="auto"/>
                <w:sz w:val="21"/>
                <w:szCs w:val="21"/>
                <w:highlight w:val="none"/>
                <w:u w:val="single"/>
                <w:lang w:eastAsia="zh-CN"/>
              </w:rPr>
              <w:t xml:space="preserve">　　　　　   </w:t>
            </w:r>
          </w:p>
          <w:p w14:paraId="3BBC6605">
            <w:pPr>
              <w:pStyle w:val="32"/>
              <w:spacing w:before="2"/>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lang w:eastAsia="zh-CN"/>
              </w:rPr>
              <w:t>大写：</w:t>
            </w:r>
            <w:r>
              <w:rPr>
                <w:rFonts w:hint="eastAsia" w:ascii="宋体" w:hAnsi="宋体" w:eastAsia="宋体" w:cs="宋体"/>
                <w:color w:val="auto"/>
                <w:sz w:val="21"/>
                <w:szCs w:val="21"/>
                <w:highlight w:val="none"/>
                <w:u w:val="single"/>
                <w:lang w:eastAsia="zh-CN"/>
              </w:rPr>
              <w:t xml:space="preserve">　　　　　    </w:t>
            </w:r>
          </w:p>
        </w:tc>
        <w:tc>
          <w:tcPr>
            <w:tcW w:w="2190" w:type="dxa"/>
            <w:vAlign w:val="center"/>
          </w:tcPr>
          <w:p w14:paraId="130DB1FE">
            <w:pPr>
              <w:pStyle w:val="11"/>
              <w:jc w:val="left"/>
              <w:rPr>
                <w:rFonts w:hint="eastAsia" w:ascii="宋体" w:hAnsi="宋体" w:eastAsia="宋体" w:cs="宋体"/>
                <w:color w:val="auto"/>
                <w:szCs w:val="21"/>
                <w:highlight w:val="none"/>
              </w:rPr>
            </w:pPr>
          </w:p>
        </w:tc>
      </w:tr>
    </w:tbl>
    <w:p w14:paraId="0602D804">
      <w:pPr>
        <w:pStyle w:val="11"/>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说明：1、以上报价均为人民币，上述费用包括但不限于拆除费用、毁形、装卸、人工、材料、包装、运输、税费等其他所有费。</w:t>
      </w:r>
    </w:p>
    <w:p w14:paraId="1C4D6FFF">
      <w:pPr>
        <w:pStyle w:val="11"/>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上述数据精确到小数位后2位，第三位四舍五入。</w:t>
      </w:r>
    </w:p>
    <w:p w14:paraId="073B2A25">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pPr>
    </w:p>
    <w:p w14:paraId="209F5D3F">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pPr>
    </w:p>
    <w:p w14:paraId="6F2B7449">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pPr>
    </w:p>
    <w:p w14:paraId="1FCD0589">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6CFC3B85">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47BB1B36">
      <w:pPr>
        <w:adjustRightInd w:val="0"/>
        <w:snapToGrid w:val="0"/>
        <w:spacing w:line="360" w:lineRule="auto"/>
        <w:ind w:right="480"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日期：_____年______月______日</w:t>
      </w:r>
    </w:p>
    <w:p w14:paraId="2854151E">
      <w:pPr>
        <w:tabs>
          <w:tab w:val="left" w:pos="13320"/>
        </w:tabs>
        <w:snapToGrid w:val="0"/>
        <w:spacing w:line="360" w:lineRule="auto"/>
        <w:ind w:right="-52"/>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3DBC0027">
      <w:pPr>
        <w:bidi w:val="0"/>
        <w:spacing w:line="360" w:lineRule="auto"/>
        <w:jc w:val="left"/>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附件四</w:t>
      </w:r>
    </w:p>
    <w:p w14:paraId="33D3A712">
      <w:pPr>
        <w:bidi w:val="0"/>
        <w:spacing w:line="360" w:lineRule="auto"/>
        <w:jc w:val="center"/>
        <w:rPr>
          <w:rFonts w:hint="default" w:ascii="Times New Roman" w:hAnsi="Times New Roman" w:eastAsia="宋体" w:cs="Times New Roman"/>
          <w:b/>
          <w:bCs/>
          <w:kern w:val="2"/>
          <w:sz w:val="28"/>
          <w:szCs w:val="28"/>
          <w:lang w:val="en-US" w:eastAsia="zh-CN" w:bidi="ar-SA"/>
        </w:rPr>
      </w:pPr>
      <w:r>
        <w:rPr>
          <w:rFonts w:hint="eastAsia" w:cs="Times New Roman"/>
          <w:b/>
          <w:bCs/>
          <w:kern w:val="2"/>
          <w:sz w:val="28"/>
          <w:szCs w:val="28"/>
          <w:lang w:val="en-US" w:eastAsia="zh-CN" w:bidi="ar-SA"/>
        </w:rPr>
        <w:t>报价汇总表</w:t>
      </w:r>
    </w:p>
    <w:tbl>
      <w:tblPr>
        <w:tblStyle w:val="18"/>
        <w:tblW w:w="9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3135"/>
        <w:gridCol w:w="2655"/>
        <w:gridCol w:w="2501"/>
      </w:tblGrid>
      <w:tr w14:paraId="28D7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0B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7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区域</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回收处置价值</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7C1F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5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海河市场001冷库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C6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5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海河市场002冷库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46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6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4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海河市场002-5冷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6D5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海河市场003、005冷库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A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0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BCB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F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海河市场004冷库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E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C88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海河市场006冷库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A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DD9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1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海河市场007冷库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6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B36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3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3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海河市场008冷库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E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E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916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D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8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海河市场009冷库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D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8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92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B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海河市场010冷库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0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6A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E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2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海河市场011-1冷库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D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B0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海河市场013、014冷库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5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394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D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海河市场015冷库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C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AA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1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海河市场016冷库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ADC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2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海河市场017冷库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D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A5C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7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海河市场018冷库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7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4B4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5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海河市场019冷库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8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7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1D5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0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5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海河市场020冷库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2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827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F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海河市场021冷库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D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4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D1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1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海河市场022冷库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A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22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A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海河市场023冷库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7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415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F6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5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广州市荔湾区步漖一街一横巷21号房屋附属设施（电梯）</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2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5C7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CE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4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广州市荔湾区穗盐路桥边岗亭地上附属物</w:t>
            </w:r>
            <w:r>
              <w:rPr>
                <w:rFonts w:hint="eastAsia" w:ascii="宋体" w:hAnsi="宋体" w:cs="宋体"/>
                <w:i w:val="0"/>
                <w:iCs w:val="0"/>
                <w:color w:val="000000"/>
                <w:kern w:val="0"/>
                <w:sz w:val="22"/>
                <w:szCs w:val="22"/>
                <w:u w:val="none"/>
                <w:lang w:val="en-US" w:eastAsia="zh-CN" w:bidi="ar"/>
              </w:rPr>
              <w:t>（</w:t>
            </w:r>
            <w:r>
              <w:rPr>
                <w:rFonts w:hint="eastAsia" w:ascii="宋体" w:hAnsi="宋体" w:cs="宋体"/>
                <w:color w:val="000000"/>
                <w:kern w:val="0"/>
                <w:sz w:val="22"/>
                <w:szCs w:val="22"/>
                <w:u w:val="none"/>
                <w:lang w:bidi="ar"/>
              </w:rPr>
              <w:t>集装箱</w:t>
            </w:r>
            <w:r>
              <w:rPr>
                <w:rFonts w:hint="eastAsia" w:ascii="宋体" w:hAnsi="宋体" w:cs="宋体"/>
                <w:i w:val="0"/>
                <w:iCs w:val="0"/>
                <w:color w:val="000000"/>
                <w:kern w:val="0"/>
                <w:sz w:val="22"/>
                <w:szCs w:val="22"/>
                <w:u w:val="none"/>
                <w:lang w:val="en-US" w:eastAsia="zh-CN" w:bidi="ar"/>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8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7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95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0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52BA39AB">
      <w:pPr>
        <w:tabs>
          <w:tab w:val="left" w:pos="13320"/>
        </w:tabs>
        <w:snapToGrid w:val="0"/>
        <w:spacing w:line="360" w:lineRule="auto"/>
        <w:ind w:right="-52"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备注：报价如出现小数点，则保留小数点后两位，第三位四舍五入。</w:t>
      </w:r>
    </w:p>
    <w:p w14:paraId="389E708A">
      <w:pPr>
        <w:tabs>
          <w:tab w:val="left" w:pos="13320"/>
        </w:tabs>
        <w:snapToGrid w:val="0"/>
        <w:spacing w:line="360" w:lineRule="auto"/>
        <w:ind w:left="718" w:leftChars="342" w:right="-52" w:firstLine="2397" w:firstLineChars="999"/>
        <w:rPr>
          <w:rFonts w:hint="eastAsia" w:ascii="宋体" w:hAnsi="宋体" w:eastAsia="宋体" w:cs="宋体"/>
          <w:color w:val="auto"/>
          <w:sz w:val="24"/>
          <w:highlight w:val="none"/>
        </w:rPr>
      </w:pPr>
    </w:p>
    <w:p w14:paraId="491E55A7">
      <w:pPr>
        <w:tabs>
          <w:tab w:val="left" w:pos="13320"/>
        </w:tabs>
        <w:snapToGrid w:val="0"/>
        <w:spacing w:line="360" w:lineRule="auto"/>
        <w:ind w:left="718" w:leftChars="342" w:right="-52" w:firstLine="3352" w:firstLineChars="1397"/>
        <w:rPr>
          <w:rFonts w:hint="eastAsia" w:ascii="宋体" w:hAnsi="宋体" w:eastAsia="宋体" w:cs="宋体"/>
          <w:color w:val="auto"/>
          <w:sz w:val="24"/>
          <w:highlight w:val="none"/>
        </w:rPr>
      </w:pPr>
    </w:p>
    <w:p w14:paraId="194E59D3">
      <w:pPr>
        <w:tabs>
          <w:tab w:val="left" w:pos="13320"/>
        </w:tabs>
        <w:snapToGrid w:val="0"/>
        <w:spacing w:line="360" w:lineRule="auto"/>
        <w:ind w:left="718" w:leftChars="342" w:right="-52" w:firstLine="3352" w:firstLineChars="13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65787A32">
      <w:pPr>
        <w:tabs>
          <w:tab w:val="left" w:pos="13320"/>
        </w:tabs>
        <w:snapToGrid w:val="0"/>
        <w:spacing w:line="360" w:lineRule="auto"/>
        <w:ind w:left="718" w:leftChars="342" w:right="-52" w:firstLine="3352" w:firstLineChars="13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3F32A0DE">
      <w:pPr>
        <w:pStyle w:val="11"/>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日期：_____年______月______日</w:t>
      </w:r>
    </w:p>
    <w:p w14:paraId="46CBFA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7A86D1">
      <w:pPr>
        <w:pStyle w:val="11"/>
        <w:adjustRightInd w:val="0"/>
        <w:snapToGrid w:val="0"/>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附件五</w:t>
      </w:r>
    </w:p>
    <w:p w14:paraId="2248CEE0">
      <w:pPr>
        <w:pStyle w:val="11"/>
        <w:adjustRightInd w:val="0"/>
        <w:snapToGrid w:val="0"/>
        <w:spacing w:line="360" w:lineRule="auto"/>
        <w:jc w:val="cente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报价明细表（另册）</w:t>
      </w:r>
    </w:p>
    <w:p w14:paraId="229D57A9">
      <w:pPr>
        <w:pStyle w:val="11"/>
        <w:adjustRightInd w:val="0"/>
        <w:snapToGrid w:val="0"/>
        <w:spacing w:line="360" w:lineRule="auto"/>
        <w:jc w:val="center"/>
        <w:rPr>
          <w:rFonts w:hint="eastAsia" w:ascii="Times New Roman" w:hAnsi="Times New Roman" w:eastAsia="宋体" w:cs="Times New Roman"/>
          <w:b/>
          <w:bCs/>
          <w:sz w:val="28"/>
          <w:szCs w:val="28"/>
          <w:lang w:val="en-US" w:eastAsia="zh-CN"/>
        </w:rPr>
      </w:pPr>
    </w:p>
    <w:p w14:paraId="0E703371">
      <w:pPr>
        <w:pStyle w:val="11"/>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Cs/>
          <w:color w:val="auto"/>
          <w:sz w:val="24"/>
          <w:szCs w:val="24"/>
          <w:highlight w:val="none"/>
        </w:rPr>
        <w:t>附件六</w:t>
      </w:r>
    </w:p>
    <w:p w14:paraId="7A5BF0BF">
      <w:pPr>
        <w:pStyle w:val="11"/>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项目负责人及配备人员情况表</w:t>
      </w:r>
    </w:p>
    <w:p w14:paraId="22992260">
      <w:pPr>
        <w:pStyle w:val="11"/>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shd w:val="clear" w:color="auto" w:fill="FFFFFF"/>
        </w:rPr>
        <w:t>项目名称：</w:t>
      </w:r>
      <w:r>
        <w:rPr>
          <w:rFonts w:hint="eastAsia" w:hAnsi="宋体" w:eastAsia="宋体" w:cs="宋体"/>
          <w:color w:val="auto"/>
          <w:szCs w:val="21"/>
          <w:highlight w:val="none"/>
          <w:u w:val="single"/>
          <w:lang w:eastAsia="zh-CN"/>
        </w:rPr>
        <w:t>如意坊放射线系统工程（二期）物资回收项目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212"/>
        <w:gridCol w:w="1441"/>
        <w:gridCol w:w="983"/>
        <w:gridCol w:w="1567"/>
        <w:gridCol w:w="2394"/>
      </w:tblGrid>
      <w:tr w14:paraId="5F74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35" w:type="dxa"/>
            <w:vAlign w:val="center"/>
          </w:tcPr>
          <w:p w14:paraId="3D0A2EB7">
            <w:pPr>
              <w:autoSpaceDE w:val="0"/>
              <w:autoSpaceDN w:val="0"/>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12" w:type="dxa"/>
            <w:vAlign w:val="center"/>
          </w:tcPr>
          <w:p w14:paraId="14E827A9">
            <w:pPr>
              <w:autoSpaceDE w:val="0"/>
              <w:autoSpaceDN w:val="0"/>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职责</w:t>
            </w:r>
          </w:p>
          <w:p w14:paraId="3C98D722">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分工</w:t>
            </w:r>
          </w:p>
        </w:tc>
        <w:tc>
          <w:tcPr>
            <w:tcW w:w="1441" w:type="dxa"/>
            <w:vAlign w:val="center"/>
          </w:tcPr>
          <w:p w14:paraId="30FA39FE">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姓名</w:t>
            </w:r>
          </w:p>
        </w:tc>
        <w:tc>
          <w:tcPr>
            <w:tcW w:w="983" w:type="dxa"/>
            <w:vAlign w:val="center"/>
          </w:tcPr>
          <w:p w14:paraId="1D5D1AC5">
            <w:pPr>
              <w:tabs>
                <w:tab w:val="left" w:pos="1322"/>
              </w:tabs>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学历</w:t>
            </w:r>
          </w:p>
        </w:tc>
        <w:tc>
          <w:tcPr>
            <w:tcW w:w="1567" w:type="dxa"/>
            <w:vAlign w:val="center"/>
          </w:tcPr>
          <w:p w14:paraId="06A4371A">
            <w:pPr>
              <w:tabs>
                <w:tab w:val="left" w:pos="1322"/>
              </w:tabs>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职称/注册执业资格</w:t>
            </w:r>
          </w:p>
        </w:tc>
        <w:tc>
          <w:tcPr>
            <w:tcW w:w="2394" w:type="dxa"/>
            <w:vAlign w:val="center"/>
          </w:tcPr>
          <w:p w14:paraId="78DE3B38">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证书编号（如有）</w:t>
            </w:r>
          </w:p>
        </w:tc>
      </w:tr>
      <w:tr w14:paraId="48DD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35" w:type="dxa"/>
            <w:vAlign w:val="center"/>
          </w:tcPr>
          <w:p w14:paraId="078C71B4">
            <w:pPr>
              <w:tabs>
                <w:tab w:val="left" w:pos="132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2212" w:type="dxa"/>
            <w:vAlign w:val="center"/>
          </w:tcPr>
          <w:p w14:paraId="49C092EB">
            <w:pPr>
              <w:tabs>
                <w:tab w:val="left" w:pos="1322"/>
              </w:tabs>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kern w:val="0"/>
                <w:sz w:val="24"/>
                <w:highlight w:val="none"/>
              </w:rPr>
              <w:t>项目负责人</w:t>
            </w:r>
          </w:p>
        </w:tc>
        <w:tc>
          <w:tcPr>
            <w:tcW w:w="1441" w:type="dxa"/>
            <w:vAlign w:val="center"/>
          </w:tcPr>
          <w:p w14:paraId="1DEC01EF">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3208404B">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6EB78452">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73854987">
            <w:pPr>
              <w:tabs>
                <w:tab w:val="left" w:pos="1322"/>
              </w:tabs>
              <w:spacing w:line="360" w:lineRule="auto"/>
              <w:jc w:val="center"/>
              <w:rPr>
                <w:rFonts w:hint="eastAsia" w:ascii="宋体" w:hAnsi="宋体" w:eastAsia="宋体" w:cs="宋体"/>
                <w:color w:val="auto"/>
                <w:sz w:val="24"/>
                <w:highlight w:val="none"/>
                <w:lang w:val="en-GB"/>
              </w:rPr>
            </w:pPr>
          </w:p>
        </w:tc>
      </w:tr>
      <w:tr w14:paraId="238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5018B9C3">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12" w:type="dxa"/>
            <w:vMerge w:val="restart"/>
            <w:vAlign w:val="center"/>
          </w:tcPr>
          <w:p w14:paraId="0B597DAE">
            <w:pPr>
              <w:tabs>
                <w:tab w:val="left" w:pos="1322"/>
              </w:tabs>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kern w:val="0"/>
                <w:sz w:val="24"/>
                <w:highlight w:val="none"/>
              </w:rPr>
              <w:t>其他人员配备情况</w:t>
            </w:r>
          </w:p>
        </w:tc>
        <w:tc>
          <w:tcPr>
            <w:tcW w:w="1441" w:type="dxa"/>
            <w:vAlign w:val="center"/>
          </w:tcPr>
          <w:p w14:paraId="2534AC00">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24C71C50">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49377294">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51A0299D">
            <w:pPr>
              <w:tabs>
                <w:tab w:val="left" w:pos="1322"/>
              </w:tabs>
              <w:spacing w:line="360" w:lineRule="auto"/>
              <w:jc w:val="center"/>
              <w:rPr>
                <w:rFonts w:hint="eastAsia" w:ascii="宋体" w:hAnsi="宋体" w:eastAsia="宋体" w:cs="宋体"/>
                <w:color w:val="auto"/>
                <w:sz w:val="24"/>
                <w:highlight w:val="none"/>
                <w:lang w:val="en-GB"/>
              </w:rPr>
            </w:pPr>
          </w:p>
        </w:tc>
      </w:tr>
      <w:tr w14:paraId="07D4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7139CE99">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12" w:type="dxa"/>
            <w:vMerge w:val="continue"/>
            <w:vAlign w:val="center"/>
          </w:tcPr>
          <w:p w14:paraId="1466D886">
            <w:pPr>
              <w:tabs>
                <w:tab w:val="left" w:pos="1322"/>
              </w:tabs>
              <w:spacing w:line="360" w:lineRule="auto"/>
              <w:jc w:val="center"/>
              <w:rPr>
                <w:rFonts w:hint="eastAsia" w:ascii="宋体" w:hAnsi="宋体" w:eastAsia="宋体" w:cs="宋体"/>
                <w:color w:val="auto"/>
                <w:kern w:val="0"/>
                <w:sz w:val="24"/>
                <w:highlight w:val="none"/>
              </w:rPr>
            </w:pPr>
          </w:p>
        </w:tc>
        <w:tc>
          <w:tcPr>
            <w:tcW w:w="1441" w:type="dxa"/>
            <w:vAlign w:val="center"/>
          </w:tcPr>
          <w:p w14:paraId="12E27D31">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05E5C5A3">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5A68BB41">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6B341690">
            <w:pPr>
              <w:tabs>
                <w:tab w:val="left" w:pos="1322"/>
              </w:tabs>
              <w:spacing w:line="360" w:lineRule="auto"/>
              <w:jc w:val="center"/>
              <w:rPr>
                <w:rFonts w:hint="eastAsia" w:ascii="宋体" w:hAnsi="宋体" w:eastAsia="宋体" w:cs="宋体"/>
                <w:color w:val="auto"/>
                <w:sz w:val="24"/>
                <w:highlight w:val="none"/>
                <w:lang w:val="en-GB"/>
              </w:rPr>
            </w:pPr>
          </w:p>
        </w:tc>
      </w:tr>
      <w:tr w14:paraId="743F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25141486">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212" w:type="dxa"/>
            <w:vMerge w:val="continue"/>
            <w:vAlign w:val="center"/>
          </w:tcPr>
          <w:p w14:paraId="61ABF0CB">
            <w:pPr>
              <w:tabs>
                <w:tab w:val="left" w:pos="1322"/>
              </w:tabs>
              <w:spacing w:line="360" w:lineRule="auto"/>
              <w:jc w:val="center"/>
              <w:rPr>
                <w:rFonts w:hint="eastAsia" w:ascii="宋体" w:hAnsi="宋体" w:eastAsia="宋体" w:cs="宋体"/>
                <w:color w:val="auto"/>
                <w:kern w:val="0"/>
                <w:sz w:val="24"/>
                <w:highlight w:val="none"/>
              </w:rPr>
            </w:pPr>
          </w:p>
        </w:tc>
        <w:tc>
          <w:tcPr>
            <w:tcW w:w="1441" w:type="dxa"/>
            <w:vAlign w:val="center"/>
          </w:tcPr>
          <w:p w14:paraId="11BB1416">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6E7D537E">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57ADA589">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67F492B2">
            <w:pPr>
              <w:tabs>
                <w:tab w:val="left" w:pos="1322"/>
              </w:tabs>
              <w:spacing w:line="360" w:lineRule="auto"/>
              <w:jc w:val="center"/>
              <w:rPr>
                <w:rFonts w:hint="eastAsia" w:ascii="宋体" w:hAnsi="宋体" w:eastAsia="宋体" w:cs="宋体"/>
                <w:color w:val="auto"/>
                <w:sz w:val="24"/>
                <w:highlight w:val="none"/>
                <w:lang w:val="en-GB"/>
              </w:rPr>
            </w:pPr>
          </w:p>
        </w:tc>
      </w:tr>
      <w:tr w14:paraId="2DF0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053DEF8C">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12" w:type="dxa"/>
            <w:vMerge w:val="continue"/>
            <w:vAlign w:val="center"/>
          </w:tcPr>
          <w:p w14:paraId="2D4F93CC">
            <w:pPr>
              <w:tabs>
                <w:tab w:val="left" w:pos="1322"/>
              </w:tabs>
              <w:spacing w:line="360" w:lineRule="auto"/>
              <w:jc w:val="center"/>
              <w:rPr>
                <w:rFonts w:hint="eastAsia" w:ascii="宋体" w:hAnsi="宋体" w:eastAsia="宋体" w:cs="宋体"/>
                <w:color w:val="auto"/>
                <w:kern w:val="0"/>
                <w:sz w:val="24"/>
                <w:highlight w:val="none"/>
              </w:rPr>
            </w:pPr>
          </w:p>
        </w:tc>
        <w:tc>
          <w:tcPr>
            <w:tcW w:w="1441" w:type="dxa"/>
            <w:vAlign w:val="center"/>
          </w:tcPr>
          <w:p w14:paraId="635D7C09">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2718F19E">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2ABABC97">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4569D5EC">
            <w:pPr>
              <w:tabs>
                <w:tab w:val="left" w:pos="1322"/>
              </w:tabs>
              <w:spacing w:line="360" w:lineRule="auto"/>
              <w:jc w:val="center"/>
              <w:rPr>
                <w:rFonts w:hint="eastAsia" w:ascii="宋体" w:hAnsi="宋体" w:eastAsia="宋体" w:cs="宋体"/>
                <w:color w:val="auto"/>
                <w:sz w:val="24"/>
                <w:highlight w:val="none"/>
                <w:lang w:val="en-GB"/>
              </w:rPr>
            </w:pPr>
          </w:p>
        </w:tc>
      </w:tr>
    </w:tbl>
    <w:p w14:paraId="19983624">
      <w:pPr>
        <w:adjustRightInd w:val="0"/>
        <w:snapToGrid w:val="0"/>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注：本表后应按要求附相关人员的资格证书证明材料及近</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rPr>
        <w:t>个月的个人社保证明页。</w:t>
      </w:r>
    </w:p>
    <w:p w14:paraId="29776E1F">
      <w:pPr>
        <w:pStyle w:val="37"/>
        <w:rPr>
          <w:rFonts w:hint="eastAsia" w:ascii="宋体" w:hAnsi="宋体" w:eastAsia="宋体" w:cs="宋体"/>
          <w:color w:val="auto"/>
          <w:sz w:val="24"/>
          <w:szCs w:val="24"/>
          <w:highlight w:val="none"/>
        </w:rPr>
      </w:pPr>
    </w:p>
    <w:p w14:paraId="017D0E6D">
      <w:pPr>
        <w:tabs>
          <w:tab w:val="left" w:pos="13320"/>
        </w:tabs>
        <w:snapToGrid w:val="0"/>
        <w:spacing w:line="360" w:lineRule="auto"/>
        <w:ind w:right="-52" w:firstLine="3840" w:firstLineChars="1600"/>
        <w:rPr>
          <w:rFonts w:hint="eastAsia" w:ascii="宋体" w:hAnsi="宋体" w:eastAsia="宋体" w:cs="宋体"/>
          <w:color w:val="auto"/>
          <w:sz w:val="24"/>
          <w:highlight w:val="none"/>
        </w:rPr>
      </w:pPr>
    </w:p>
    <w:p w14:paraId="5C34AD15">
      <w:pPr>
        <w:tabs>
          <w:tab w:val="left" w:pos="13320"/>
        </w:tabs>
        <w:snapToGrid w:val="0"/>
        <w:spacing w:line="360" w:lineRule="auto"/>
        <w:ind w:right="-52"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4FDD2F1B">
      <w:pPr>
        <w:tabs>
          <w:tab w:val="left" w:pos="13320"/>
        </w:tabs>
        <w:snapToGrid w:val="0"/>
        <w:spacing w:line="360" w:lineRule="auto"/>
        <w:ind w:right="-52"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51538FF5">
      <w:pPr>
        <w:adjustRightInd w:val="0"/>
        <w:snapToGrid w:val="0"/>
        <w:spacing w:line="360" w:lineRule="auto"/>
        <w:ind w:right="480" w:firstLine="3600" w:firstLineChars="1500"/>
        <w:rPr>
          <w:rFonts w:hint="eastAsia" w:ascii="宋体" w:hAnsi="宋体" w:eastAsia="宋体" w:cs="宋体"/>
          <w:color w:val="auto"/>
          <w:sz w:val="24"/>
          <w:highlight w:val="none"/>
        </w:rPr>
        <w:sectPr>
          <w:headerReference r:id="rId7" w:type="default"/>
          <w:pgSz w:w="11906" w:h="16838"/>
          <w:pgMar w:top="1134" w:right="999" w:bottom="1134" w:left="1247" w:header="510" w:footer="510" w:gutter="0"/>
          <w:pgNumType w:fmt="decimal"/>
          <w:cols w:space="0" w:num="1"/>
          <w:rtlGutter w:val="0"/>
          <w:docGrid w:type="lines" w:linePitch="312" w:charSpace="0"/>
        </w:sectPr>
      </w:pPr>
      <w:r>
        <w:rPr>
          <w:rFonts w:hint="eastAsia" w:ascii="宋体" w:hAnsi="宋体" w:eastAsia="宋体" w:cs="宋体"/>
          <w:color w:val="auto"/>
          <w:sz w:val="24"/>
          <w:highlight w:val="none"/>
        </w:rPr>
        <w:t xml:space="preserve">  日期：_____年______月______日</w:t>
      </w:r>
    </w:p>
    <w:p w14:paraId="009C928E">
      <w:pPr>
        <w:pStyle w:val="11"/>
        <w:spacing w:line="240" w:lineRule="auto"/>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24"/>
          <w:szCs w:val="24"/>
          <w:highlight w:val="none"/>
        </w:rPr>
        <w:t>附件七</w:t>
      </w:r>
    </w:p>
    <w:p w14:paraId="36377229">
      <w:pPr>
        <w:adjustRightInd w:val="0"/>
        <w:snapToGrid w:val="0"/>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32"/>
          <w:szCs w:val="32"/>
          <w:highlight w:val="none"/>
        </w:rPr>
        <w:t>承诺书</w:t>
      </w:r>
    </w:p>
    <w:p w14:paraId="2A058D70">
      <w:pPr>
        <w:pStyle w:val="10"/>
        <w:shd w:val="clear" w:color="auto" w:fill="FFFFFF"/>
        <w:spacing w:line="360" w:lineRule="auto"/>
        <w:ind w:right="-15" w:rightChars="-7"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本公司承诺本次关于</w:t>
      </w:r>
      <w:r>
        <w:rPr>
          <w:rFonts w:hint="eastAsia" w:ascii="宋体" w:hAnsi="宋体" w:cs="宋体"/>
          <w:color w:val="auto"/>
          <w:sz w:val="28"/>
          <w:szCs w:val="28"/>
          <w:highlight w:val="none"/>
          <w:u w:val="single"/>
          <w:lang w:eastAsia="zh-CN"/>
        </w:rPr>
        <w:t>如意坊放射线系统工程（二期）物资回收项目</w:t>
      </w:r>
      <w:r>
        <w:rPr>
          <w:rFonts w:hint="eastAsia" w:ascii="宋体" w:hAnsi="宋体" w:eastAsia="宋体" w:cs="宋体"/>
          <w:color w:val="auto"/>
          <w:sz w:val="28"/>
          <w:szCs w:val="28"/>
          <w:highlight w:val="none"/>
        </w:rPr>
        <w:t>报价文件中所提供的全部材料均为属实，提交本承诺书的前3年内在经营活动中没有重大违法记录</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如有虚假，本公司将承担一切后果及法律责任，特此承诺。</w:t>
      </w:r>
    </w:p>
    <w:p w14:paraId="58249E2E">
      <w:pPr>
        <w:spacing w:line="360" w:lineRule="auto"/>
        <w:jc w:val="left"/>
        <w:rPr>
          <w:rFonts w:hint="eastAsia" w:ascii="宋体" w:hAnsi="宋体" w:eastAsia="宋体" w:cs="宋体"/>
          <w:b/>
          <w:bCs/>
          <w:color w:val="auto"/>
          <w:sz w:val="36"/>
          <w:szCs w:val="36"/>
          <w:highlight w:val="none"/>
        </w:rPr>
      </w:pPr>
      <w:r>
        <w:rPr>
          <w:rFonts w:hint="eastAsia" w:ascii="宋体" w:hAnsi="宋体" w:eastAsia="宋体" w:cs="宋体"/>
          <w:color w:val="auto"/>
          <w:sz w:val="28"/>
          <w:szCs w:val="28"/>
          <w:highlight w:val="none"/>
        </w:rPr>
        <w:t xml:space="preserve">       </w:t>
      </w:r>
    </w:p>
    <w:p w14:paraId="1B98B4B0">
      <w:pPr>
        <w:adjustRightInd w:val="0"/>
        <w:snapToGrid w:val="0"/>
        <w:spacing w:line="36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14:paraId="75F2EC30">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b/>
          <w:bCs/>
          <w:color w:val="auto"/>
          <w:sz w:val="36"/>
          <w:szCs w:val="36"/>
          <w:highlight w:val="none"/>
        </w:rPr>
        <w:t xml:space="preserve">                    </w:t>
      </w:r>
      <w:r>
        <w:rPr>
          <w:rFonts w:hint="eastAsia" w:ascii="宋体" w:hAnsi="宋体" w:eastAsia="宋体" w:cs="宋体"/>
          <w:color w:val="auto"/>
          <w:sz w:val="24"/>
          <w:highlight w:val="none"/>
        </w:rPr>
        <w:t>报价人（公章）：</w:t>
      </w:r>
    </w:p>
    <w:p w14:paraId="0FD244FF">
      <w:pPr>
        <w:snapToGrid w:val="0"/>
        <w:spacing w:line="360" w:lineRule="auto"/>
        <w:ind w:left="718" w:leftChars="342" w:right="-52" w:firstLine="2872" w:firstLineChars="11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7C347D7D">
      <w:pPr>
        <w:adjustRightInd w:val="0"/>
        <w:snapToGrid w:val="0"/>
        <w:spacing w:line="360" w:lineRule="auto"/>
        <w:ind w:right="480"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日期：_____年______月______日</w:t>
      </w:r>
    </w:p>
    <w:p w14:paraId="48D539CC">
      <w:pPr>
        <w:adjustRightInd w:val="0"/>
        <w:snapToGrid w:val="0"/>
        <w:spacing w:line="360" w:lineRule="auto"/>
        <w:ind w:right="480" w:firstLine="3600" w:firstLineChars="1500"/>
        <w:rPr>
          <w:rFonts w:hint="eastAsia" w:ascii="宋体" w:hAnsi="宋体" w:eastAsia="宋体" w:cs="宋体"/>
          <w:color w:val="auto"/>
          <w:sz w:val="24"/>
          <w:highlight w:val="none"/>
        </w:rPr>
      </w:pPr>
    </w:p>
    <w:p w14:paraId="1EFAA154">
      <w:pPr>
        <w:adjustRightInd/>
        <w:snapToGrid/>
        <w:spacing w:line="240" w:lineRule="auto"/>
        <w:ind w:right="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70D6A7C0">
      <w:pPr>
        <w:rPr>
          <w:rFonts w:hint="eastAsia" w:ascii="宋体" w:hAnsi="宋体" w:eastAsia="宋体" w:cs="宋体"/>
          <w:bCs/>
          <w:color w:val="auto"/>
          <w:sz w:val="28"/>
          <w:szCs w:val="28"/>
          <w:highlight w:val="none"/>
        </w:rPr>
      </w:pPr>
    </w:p>
    <w:p w14:paraId="795443B6">
      <w:pPr>
        <w:numPr>
          <w:ilvl w:val="0"/>
          <w:numId w:val="2"/>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w:t>
      </w:r>
    </w:p>
    <w:p w14:paraId="7B913262">
      <w:pPr>
        <w:numPr>
          <w:ilvl w:val="0"/>
          <w:numId w:val="0"/>
        </w:num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注：本合同样本仅供参考，最终以甲方提供的样本并经甲乙双方协商一致的合同为准。</w:t>
      </w:r>
    </w:p>
    <w:p w14:paraId="6C32F6F3">
      <w:pPr>
        <w:spacing w:line="360" w:lineRule="auto"/>
        <w:jc w:val="center"/>
        <w:rPr>
          <w:rFonts w:hint="eastAsia" w:ascii="宋体" w:hAnsi="宋体" w:cs="宋体"/>
          <w:b/>
          <w:color w:val="auto"/>
          <w:sz w:val="44"/>
          <w:szCs w:val="44"/>
          <w:highlight w:val="none"/>
          <w:u w:val="none"/>
          <w:lang w:val="en-US" w:eastAsia="zh-CN"/>
        </w:rPr>
      </w:pPr>
    </w:p>
    <w:p w14:paraId="485516EA">
      <w:pPr>
        <w:spacing w:line="360" w:lineRule="auto"/>
        <w:jc w:val="center"/>
        <w:rPr>
          <w:sz w:val="20"/>
          <w:szCs w:val="22"/>
        </w:rPr>
      </w:pPr>
      <w:r>
        <w:rPr>
          <w:rFonts w:hint="eastAsia" w:ascii="宋体" w:hAnsi="宋体" w:cs="宋体"/>
          <w:b/>
          <w:color w:val="auto"/>
          <w:sz w:val="40"/>
          <w:szCs w:val="40"/>
          <w:highlight w:val="none"/>
          <w:u w:val="none"/>
          <w:lang w:val="en-US" w:eastAsia="zh-CN"/>
        </w:rPr>
        <w:t>如意坊放射线系统工程（二期）物资回收项目</w:t>
      </w:r>
    </w:p>
    <w:p w14:paraId="6459CBC1">
      <w:pPr>
        <w:jc w:val="both"/>
      </w:pPr>
    </w:p>
    <w:p w14:paraId="70739EAB">
      <w:pPr>
        <w:jc w:val="center"/>
      </w:pPr>
    </w:p>
    <w:p w14:paraId="6CA48A59">
      <w:pPr>
        <w:tabs>
          <w:tab w:val="left" w:pos="1440"/>
        </w:tabs>
        <w:spacing w:line="480" w:lineRule="auto"/>
        <w:jc w:val="center"/>
        <w:rPr>
          <w:rFonts w:eastAsia="宋体" w:cs="Times New Roman"/>
          <w:sz w:val="68"/>
          <w:highlight w:val="none"/>
        </w:rPr>
      </w:pPr>
    </w:p>
    <w:p w14:paraId="69C19C56">
      <w:pPr>
        <w:tabs>
          <w:tab w:val="left" w:pos="1440"/>
        </w:tabs>
        <w:spacing w:line="480" w:lineRule="auto"/>
        <w:jc w:val="center"/>
        <w:rPr>
          <w:rFonts w:eastAsia="宋体" w:cs="Times New Roman"/>
          <w:sz w:val="68"/>
          <w:highlight w:val="none"/>
        </w:rPr>
      </w:pPr>
    </w:p>
    <w:p w14:paraId="2CEB6A82">
      <w:pPr>
        <w:tabs>
          <w:tab w:val="left" w:pos="1440"/>
        </w:tabs>
        <w:spacing w:line="480" w:lineRule="auto"/>
        <w:jc w:val="center"/>
        <w:rPr>
          <w:rFonts w:eastAsia="宋体" w:cs="Times New Roman"/>
          <w:sz w:val="68"/>
          <w:highlight w:val="none"/>
        </w:rPr>
      </w:pPr>
      <w:r>
        <w:rPr>
          <w:rFonts w:eastAsia="宋体" w:cs="Times New Roman"/>
          <w:sz w:val="68"/>
          <w:highlight w:val="none"/>
        </w:rPr>
        <w:t>合</w:t>
      </w:r>
      <w:r>
        <w:rPr>
          <w:rFonts w:eastAsia="Times New Roman" w:cs="Times New Roman"/>
          <w:sz w:val="68"/>
          <w:highlight w:val="none"/>
        </w:rPr>
        <w:t xml:space="preserve">  </w:t>
      </w:r>
      <w:r>
        <w:rPr>
          <w:rFonts w:eastAsia="宋体" w:cs="Times New Roman"/>
          <w:sz w:val="68"/>
          <w:highlight w:val="none"/>
        </w:rPr>
        <w:t>同</w:t>
      </w:r>
      <w:r>
        <w:rPr>
          <w:rFonts w:eastAsia="Times New Roman" w:cs="Times New Roman"/>
          <w:sz w:val="68"/>
          <w:highlight w:val="none"/>
        </w:rPr>
        <w:t xml:space="preserve">  </w:t>
      </w:r>
      <w:r>
        <w:rPr>
          <w:rFonts w:eastAsia="宋体" w:cs="Times New Roman"/>
          <w:sz w:val="68"/>
          <w:highlight w:val="none"/>
        </w:rPr>
        <w:t>书</w:t>
      </w:r>
    </w:p>
    <w:p w14:paraId="5CBFC7EE">
      <w:pPr>
        <w:spacing w:line="360" w:lineRule="auto"/>
        <w:jc w:val="left"/>
        <w:rPr>
          <w:rFonts w:eastAsia="宋体" w:cs="Times New Roman"/>
          <w:b/>
          <w:highlight w:val="none"/>
        </w:rPr>
      </w:pPr>
    </w:p>
    <w:p w14:paraId="742115A6">
      <w:pPr>
        <w:spacing w:line="360" w:lineRule="auto"/>
        <w:jc w:val="left"/>
        <w:rPr>
          <w:rFonts w:eastAsia="宋体" w:cs="Times New Roman"/>
          <w:b/>
          <w:highlight w:val="none"/>
        </w:rPr>
      </w:pPr>
    </w:p>
    <w:p w14:paraId="4C8385F8">
      <w:pPr>
        <w:spacing w:line="360" w:lineRule="auto"/>
        <w:jc w:val="left"/>
        <w:rPr>
          <w:rFonts w:eastAsia="宋体" w:cs="Times New Roman"/>
          <w:b/>
          <w:highlight w:val="none"/>
        </w:rPr>
      </w:pPr>
    </w:p>
    <w:p w14:paraId="57998B7A">
      <w:pPr>
        <w:spacing w:line="360" w:lineRule="auto"/>
        <w:jc w:val="left"/>
        <w:rPr>
          <w:rFonts w:eastAsia="宋体" w:cs="Times New Roman"/>
          <w:b/>
          <w:sz w:val="24"/>
          <w:szCs w:val="24"/>
          <w:highlight w:val="none"/>
        </w:rPr>
      </w:pPr>
      <w:r>
        <w:rPr>
          <w:rFonts w:eastAsia="宋体" w:cs="Times New Roman"/>
          <w:b/>
          <w:sz w:val="24"/>
          <w:szCs w:val="24"/>
          <w:highlight w:val="none"/>
        </w:rPr>
        <w:t>合同编号：</w:t>
      </w:r>
    </w:p>
    <w:p w14:paraId="6FF082E4">
      <w:pPr>
        <w:spacing w:line="360" w:lineRule="auto"/>
        <w:jc w:val="left"/>
        <w:rPr>
          <w:rFonts w:eastAsia="宋体" w:cs="Times New Roman"/>
          <w:b/>
          <w:sz w:val="24"/>
          <w:szCs w:val="24"/>
          <w:highlight w:val="none"/>
          <w:lang w:eastAsia="zh-CN"/>
        </w:rPr>
      </w:pPr>
      <w:r>
        <w:rPr>
          <w:rFonts w:eastAsia="宋体" w:cs="Times New Roman"/>
          <w:b/>
          <w:sz w:val="24"/>
          <w:szCs w:val="24"/>
          <w:highlight w:val="none"/>
        </w:rPr>
        <w:t>采购项目编号：</w:t>
      </w:r>
    </w:p>
    <w:p w14:paraId="0B4B1E13">
      <w:pPr>
        <w:spacing w:line="360" w:lineRule="auto"/>
        <w:jc w:val="left"/>
        <w:rPr>
          <w:rFonts w:eastAsia="宋体" w:cs="Times New Roman"/>
          <w:b/>
          <w:sz w:val="24"/>
          <w:szCs w:val="24"/>
          <w:highlight w:val="none"/>
        </w:rPr>
      </w:pPr>
      <w:r>
        <w:rPr>
          <w:rFonts w:eastAsia="宋体" w:cs="Times New Roman"/>
          <w:b/>
          <w:sz w:val="24"/>
          <w:szCs w:val="24"/>
          <w:highlight w:val="none"/>
        </w:rPr>
        <w:t>项目名称：</w:t>
      </w:r>
    </w:p>
    <w:p w14:paraId="4DD871BB">
      <w:pPr>
        <w:spacing w:line="360" w:lineRule="auto"/>
        <w:rPr>
          <w:rFonts w:eastAsia="宋体" w:cs="Times New Roman"/>
          <w:b/>
          <w:highlight w:val="none"/>
        </w:rPr>
      </w:pPr>
    </w:p>
    <w:p w14:paraId="1B2D27C4">
      <w:pPr>
        <w:spacing w:line="360" w:lineRule="auto"/>
        <w:rPr>
          <w:rFonts w:eastAsia="宋体" w:cs="Times New Roman"/>
          <w:highlight w:val="none"/>
        </w:rPr>
      </w:pPr>
    </w:p>
    <w:p w14:paraId="5663262C">
      <w:pPr>
        <w:spacing w:line="360" w:lineRule="auto"/>
        <w:rPr>
          <w:rFonts w:eastAsia="宋体" w:cs="Times New Roman"/>
          <w:highlight w:val="none"/>
        </w:rPr>
      </w:pPr>
    </w:p>
    <w:p w14:paraId="22533EE1">
      <w:pPr>
        <w:spacing w:line="360" w:lineRule="auto"/>
        <w:rPr>
          <w:rFonts w:ascii="宋体" w:hAnsi="宋体" w:eastAsia="宋体" w:cs="宋体"/>
          <w:highlight w:val="none"/>
        </w:rPr>
      </w:pPr>
    </w:p>
    <w:p w14:paraId="26767588">
      <w:pPr>
        <w:spacing w:line="360" w:lineRule="auto"/>
        <w:rPr>
          <w:rFonts w:ascii="宋体" w:hAnsi="宋体" w:eastAsia="宋体" w:cs="宋体"/>
          <w:highlight w:val="none"/>
        </w:rPr>
      </w:pPr>
    </w:p>
    <w:p w14:paraId="14B42AFF">
      <w:pPr>
        <w:spacing w:line="360" w:lineRule="auto"/>
        <w:rPr>
          <w:rFonts w:ascii="宋体" w:hAnsi="宋体" w:eastAsia="宋体" w:cs="宋体"/>
          <w:b/>
          <w:sz w:val="24"/>
          <w:szCs w:val="24"/>
          <w:highlight w:val="none"/>
          <w:u w:val="single"/>
        </w:rPr>
      </w:pPr>
      <w:r>
        <w:rPr>
          <w:rFonts w:ascii="宋体" w:hAnsi="宋体" w:eastAsia="宋体" w:cs="宋体"/>
          <w:b/>
          <w:sz w:val="24"/>
          <w:szCs w:val="24"/>
          <w:highlight w:val="none"/>
        </w:rPr>
        <w:t>甲方：</w:t>
      </w:r>
      <w:r>
        <w:rPr>
          <w:rFonts w:ascii="宋体" w:hAnsi="宋体" w:eastAsia="宋体" w:cs="宋体"/>
          <w:b/>
          <w:sz w:val="24"/>
          <w:szCs w:val="24"/>
          <w:highlight w:val="none"/>
          <w:u w:val="single"/>
        </w:rPr>
        <w:t xml:space="preserve">                    </w:t>
      </w:r>
    </w:p>
    <w:p w14:paraId="01B2831A">
      <w:pPr>
        <w:spacing w:line="360" w:lineRule="auto"/>
        <w:rPr>
          <w:rFonts w:ascii="宋体" w:hAnsi="宋体" w:eastAsia="宋体" w:cs="宋体"/>
          <w:b/>
          <w:sz w:val="24"/>
          <w:szCs w:val="24"/>
          <w:highlight w:val="none"/>
          <w:u w:val="single"/>
        </w:rPr>
      </w:pPr>
      <w:r>
        <w:rPr>
          <w:rFonts w:ascii="宋体" w:hAnsi="宋体" w:eastAsia="宋体" w:cs="宋体"/>
          <w:b/>
          <w:sz w:val="24"/>
          <w:szCs w:val="24"/>
          <w:highlight w:val="none"/>
        </w:rPr>
        <w:t>乙方：</w:t>
      </w:r>
      <w:r>
        <w:rPr>
          <w:rFonts w:ascii="宋体" w:hAnsi="宋体" w:eastAsia="宋体" w:cs="宋体"/>
          <w:b/>
          <w:sz w:val="24"/>
          <w:szCs w:val="24"/>
          <w:highlight w:val="none"/>
          <w:u w:val="single"/>
        </w:rPr>
        <w:t xml:space="preserve">                </w:t>
      </w:r>
    </w:p>
    <w:p w14:paraId="08638EBF">
      <w:pPr>
        <w:spacing w:line="360" w:lineRule="auto"/>
        <w:rPr>
          <w:rFonts w:ascii="宋体" w:hAnsi="宋体" w:eastAsia="宋体" w:cs="宋体"/>
          <w:highlight w:val="none"/>
        </w:rPr>
      </w:pPr>
      <w:r>
        <w:rPr>
          <w:rFonts w:eastAsia="宋体" w:cs="宋体"/>
          <w:b/>
          <w:sz w:val="24"/>
          <w:szCs w:val="24"/>
          <w:highlight w:val="none"/>
        </w:rPr>
        <w:t>签订日期：</w:t>
      </w:r>
      <w:r>
        <w:rPr>
          <w:rFonts w:eastAsia="Times New Roman" w:cs="Times New Roman"/>
          <w:b/>
          <w:sz w:val="24"/>
          <w:szCs w:val="24"/>
          <w:highlight w:val="none"/>
        </w:rPr>
        <w:t xml:space="preserve">     </w:t>
      </w:r>
      <w:r>
        <w:rPr>
          <w:rFonts w:eastAsia="宋体" w:cs="Times New Roman"/>
          <w:b/>
          <w:sz w:val="24"/>
          <w:szCs w:val="24"/>
          <w:highlight w:val="none"/>
        </w:rPr>
        <w:t>年</w:t>
      </w:r>
      <w:r>
        <w:rPr>
          <w:rFonts w:eastAsia="Times New Roman" w:cs="Times New Roman"/>
          <w:b/>
          <w:sz w:val="24"/>
          <w:szCs w:val="24"/>
          <w:highlight w:val="none"/>
        </w:rPr>
        <w:t xml:space="preserve">    </w:t>
      </w:r>
      <w:r>
        <w:rPr>
          <w:rFonts w:eastAsia="宋体" w:cs="宋体"/>
          <w:b/>
          <w:sz w:val="24"/>
          <w:szCs w:val="24"/>
          <w:highlight w:val="none"/>
        </w:rPr>
        <w:t>月</w:t>
      </w:r>
      <w:r>
        <w:rPr>
          <w:rFonts w:hint="eastAsia" w:eastAsia="宋体" w:cs="宋体"/>
          <w:b/>
          <w:sz w:val="24"/>
          <w:szCs w:val="24"/>
          <w:highlight w:val="none"/>
          <w:lang w:val="en-US" w:eastAsia="zh-CN"/>
        </w:rPr>
        <w:t xml:space="preserve">      日</w:t>
      </w:r>
      <w:r>
        <w:rPr>
          <w:rFonts w:eastAsia="宋体" w:cs="Times New Roman"/>
          <w:highlight w:val="none"/>
        </w:rPr>
        <w:br w:type="page"/>
      </w:r>
    </w:p>
    <w:p w14:paraId="27CA71C6">
      <w:pPr>
        <w:spacing w:line="420" w:lineRule="auto"/>
        <w:rPr>
          <w:rFonts w:ascii="宋体" w:hAnsi="宋体" w:eastAsia="宋体" w:cs="宋体"/>
          <w:b/>
          <w:sz w:val="24"/>
          <w:szCs w:val="24"/>
          <w:highlight w:val="none"/>
        </w:rPr>
      </w:pPr>
      <w:r>
        <w:rPr>
          <w:rFonts w:ascii="宋体" w:hAnsi="宋体" w:eastAsia="宋体" w:cs="宋体"/>
          <w:b/>
          <w:sz w:val="24"/>
          <w:szCs w:val="24"/>
          <w:highlight w:val="none"/>
        </w:rPr>
        <w:t>甲      方：</w:t>
      </w:r>
      <w:r>
        <w:rPr>
          <w:rFonts w:ascii="宋体" w:hAnsi="宋体" w:eastAsia="宋体" w:cs="宋体"/>
          <w:b/>
          <w:sz w:val="24"/>
          <w:szCs w:val="24"/>
          <w:highlight w:val="none"/>
          <w:u w:val="single"/>
        </w:rPr>
        <w:t xml:space="preserve">           </w:t>
      </w:r>
    </w:p>
    <w:p w14:paraId="6688F95B">
      <w:pPr>
        <w:spacing w:line="420" w:lineRule="auto"/>
        <w:rPr>
          <w:rFonts w:ascii="宋体" w:hAnsi="宋体" w:eastAsia="宋体" w:cs="宋体"/>
          <w:b/>
          <w:sz w:val="24"/>
          <w:szCs w:val="24"/>
          <w:highlight w:val="none"/>
        </w:rPr>
      </w:pPr>
      <w:r>
        <w:rPr>
          <w:rFonts w:ascii="宋体" w:hAnsi="宋体" w:eastAsia="宋体" w:cs="宋体"/>
          <w:b/>
          <w:sz w:val="24"/>
          <w:szCs w:val="24"/>
          <w:highlight w:val="none"/>
        </w:rPr>
        <w:t>乙      方：</w:t>
      </w:r>
      <w:r>
        <w:rPr>
          <w:rFonts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ascii="宋体" w:hAnsi="宋体" w:eastAsia="宋体" w:cs="宋体"/>
          <w:b/>
          <w:sz w:val="24"/>
          <w:szCs w:val="24"/>
          <w:highlight w:val="none"/>
          <w:u w:val="single"/>
        </w:rPr>
        <w:t xml:space="preserve">      </w:t>
      </w:r>
    </w:p>
    <w:p w14:paraId="16135601">
      <w:pPr>
        <w:ind w:firstLine="480"/>
        <w:rPr>
          <w:rFonts w:ascii="宋体" w:hAnsi="宋体" w:eastAsia="宋体" w:cs="宋体"/>
          <w:b/>
          <w:sz w:val="24"/>
          <w:szCs w:val="24"/>
          <w:highlight w:val="none"/>
          <w:u w:val="single"/>
        </w:rPr>
      </w:pPr>
    </w:p>
    <w:p w14:paraId="06E2342C">
      <w:pPr>
        <w:spacing w:line="360" w:lineRule="auto"/>
        <w:ind w:firstLine="480"/>
        <w:rPr>
          <w:rFonts w:ascii="宋体" w:hAnsi="宋体" w:eastAsia="宋体" w:cs="宋体"/>
          <w:kern w:val="2"/>
          <w:sz w:val="24"/>
          <w:szCs w:val="24"/>
          <w:highlight w:val="none"/>
        </w:rPr>
      </w:pPr>
      <w:r>
        <w:rPr>
          <w:rFonts w:ascii="宋体" w:hAnsi="宋体" w:eastAsia="宋体" w:cs="宋体"/>
          <w:sz w:val="24"/>
          <w:szCs w:val="24"/>
          <w:highlight w:val="none"/>
        </w:rPr>
        <w:t>按照《</w:t>
      </w:r>
      <w:r>
        <w:rPr>
          <w:rFonts w:ascii="宋体" w:hAnsi="宋体" w:eastAsia="宋体" w:cs="宋体"/>
          <w:sz w:val="24"/>
          <w:szCs w:val="24"/>
          <w:highlight w:val="none"/>
          <w:lang w:eastAsia="zh-CN"/>
        </w:rPr>
        <w:t>中华人民共和国民法典</w:t>
      </w:r>
      <w:r>
        <w:rPr>
          <w:rFonts w:ascii="宋体" w:hAnsi="宋体" w:eastAsia="宋体" w:cs="宋体"/>
          <w:sz w:val="24"/>
          <w:szCs w:val="24"/>
          <w:highlight w:val="none"/>
        </w:rPr>
        <w:t>》、</w:t>
      </w:r>
      <w:r>
        <w:rPr>
          <w:rFonts w:eastAsia="宋体" w:cs="宋体"/>
          <w:sz w:val="24"/>
          <w:szCs w:val="24"/>
          <w:highlight w:val="none"/>
        </w:rPr>
        <w:t>采购</w:t>
      </w:r>
      <w:r>
        <w:rPr>
          <w:rFonts w:ascii="宋体" w:hAnsi="宋体" w:eastAsia="宋体" w:cs="宋体"/>
          <w:sz w:val="24"/>
          <w:szCs w:val="24"/>
          <w:highlight w:val="none"/>
        </w:rPr>
        <w:t>文件的要求，</w:t>
      </w:r>
      <w:r>
        <w:rPr>
          <w:rFonts w:ascii="宋体" w:hAnsi="宋体" w:eastAsia="宋体" w:cs="宋体"/>
          <w:kern w:val="2"/>
          <w:sz w:val="24"/>
          <w:szCs w:val="24"/>
          <w:highlight w:val="none"/>
        </w:rPr>
        <w:t>经双方协商，</w:t>
      </w:r>
      <w:r>
        <w:rPr>
          <w:rFonts w:ascii="宋体" w:hAnsi="宋体" w:eastAsia="宋体" w:cs="宋体"/>
          <w:sz w:val="24"/>
          <w:szCs w:val="24"/>
          <w:highlight w:val="none"/>
        </w:rPr>
        <w:t>本着平等互利和诚实信用的原则，</w:t>
      </w:r>
      <w:r>
        <w:rPr>
          <w:rFonts w:ascii="宋体" w:hAnsi="宋体" w:eastAsia="宋体" w:cs="宋体"/>
          <w:kern w:val="2"/>
          <w:sz w:val="24"/>
          <w:szCs w:val="24"/>
          <w:highlight w:val="none"/>
        </w:rPr>
        <w:t>一致同意签订本合同如下。</w:t>
      </w:r>
    </w:p>
    <w:p w14:paraId="1E460014">
      <w:pPr>
        <w:spacing w:line="360" w:lineRule="auto"/>
        <w:rPr>
          <w:rFonts w:hint="eastAsia" w:ascii="宋体" w:hAnsi="宋体" w:eastAsia="宋体" w:cs="宋体"/>
          <w:b/>
          <w:bCs/>
          <w:sz w:val="24"/>
          <w:szCs w:val="24"/>
          <w:highlight w:val="none"/>
          <w:lang w:val="en-US" w:eastAsia="zh-CN"/>
        </w:rPr>
      </w:pPr>
      <w:r>
        <w:rPr>
          <w:rFonts w:ascii="宋体" w:hAnsi="宋体" w:eastAsia="宋体" w:cs="宋体"/>
          <w:b/>
          <w:bCs/>
          <w:sz w:val="24"/>
          <w:szCs w:val="24"/>
          <w:highlight w:val="none"/>
        </w:rPr>
        <w:t>一、项目名称及编号</w:t>
      </w:r>
      <w:r>
        <w:rPr>
          <w:rFonts w:hint="eastAsia" w:ascii="宋体" w:hAnsi="宋体" w:eastAsia="宋体" w:cs="宋体"/>
          <w:b/>
          <w:bCs/>
          <w:sz w:val="24"/>
          <w:szCs w:val="24"/>
          <w:highlight w:val="none"/>
          <w:lang w:eastAsia="zh-CN"/>
        </w:rPr>
        <w:t>：</w:t>
      </w:r>
    </w:p>
    <w:p w14:paraId="6851B517">
      <w:pPr>
        <w:spacing w:line="360" w:lineRule="auto"/>
        <w:ind w:firstLine="480"/>
        <w:rPr>
          <w:rFonts w:hint="default" w:ascii="宋体" w:hAnsi="宋体" w:eastAsia="宋体" w:cs="宋体"/>
          <w:sz w:val="24"/>
          <w:szCs w:val="24"/>
          <w:highlight w:val="none"/>
          <w:u w:val="single"/>
          <w:lang w:val="en-US" w:eastAsia="zh-CN"/>
        </w:rPr>
      </w:pPr>
      <w:r>
        <w:rPr>
          <w:rFonts w:ascii="宋体" w:hAnsi="宋体" w:eastAsia="宋体" w:cs="宋体"/>
          <w:sz w:val="24"/>
          <w:szCs w:val="24"/>
          <w:highlight w:val="none"/>
        </w:rPr>
        <w:t>1、项目名称：</w:t>
      </w:r>
      <w:r>
        <w:rPr>
          <w:rFonts w:hint="eastAsia" w:ascii="宋体" w:hAnsi="宋体" w:eastAsia="宋体" w:cs="宋体"/>
          <w:sz w:val="24"/>
          <w:szCs w:val="24"/>
          <w:highlight w:val="none"/>
          <w:u w:val="single"/>
          <w:lang w:val="en-US" w:eastAsia="zh-CN"/>
        </w:rPr>
        <w:t xml:space="preserve">                 </w:t>
      </w:r>
    </w:p>
    <w:p w14:paraId="1CE4551E">
      <w:pPr>
        <w:spacing w:line="360" w:lineRule="auto"/>
        <w:ind w:firstLine="480"/>
        <w:rPr>
          <w:rFonts w:hint="default" w:ascii="宋体" w:hAnsi="宋体" w:eastAsia="宋体" w:cs="宋体"/>
          <w:sz w:val="24"/>
          <w:szCs w:val="24"/>
          <w:highlight w:val="none"/>
          <w:u w:val="single"/>
          <w:lang w:val="en-US" w:eastAsia="zh-CN"/>
        </w:rPr>
      </w:pPr>
      <w:r>
        <w:rPr>
          <w:rFonts w:ascii="宋体" w:hAnsi="宋体" w:eastAsia="宋体" w:cs="宋体"/>
          <w:sz w:val="24"/>
          <w:szCs w:val="24"/>
          <w:highlight w:val="none"/>
        </w:rPr>
        <w:t>2、采购项目编号：</w:t>
      </w:r>
      <w:r>
        <w:rPr>
          <w:rFonts w:hint="eastAsia" w:ascii="宋体" w:hAnsi="宋体" w:eastAsia="宋体" w:cs="宋体"/>
          <w:sz w:val="24"/>
          <w:szCs w:val="24"/>
          <w:highlight w:val="none"/>
          <w:u w:val="single"/>
          <w:lang w:val="en-US" w:eastAsia="zh-CN"/>
        </w:rPr>
        <w:t xml:space="preserve">             </w:t>
      </w:r>
    </w:p>
    <w:p w14:paraId="23EB84D6">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合同金额：</w:t>
      </w:r>
    </w:p>
    <w:p w14:paraId="712BB32D">
      <w:pPr>
        <w:widowControl/>
        <w:spacing w:before="100" w:beforeAutospacing="0" w:after="0" w:afterAutospacing="0" w:line="360" w:lineRule="auto"/>
        <w:ind w:left="0" w:right="0" w:firstLine="0"/>
        <w:jc w:val="both"/>
        <w:rPr>
          <w:rFonts w:hint="eastAsia" w:ascii="宋体" w:hAnsi="宋体" w:eastAsia="宋体" w:cs="宋体"/>
          <w:b/>
          <w:i w:val="0"/>
          <w:caps w:val="0"/>
          <w:color w:val="000000"/>
          <w:spacing w:val="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SA"/>
        </w:rPr>
        <w:t>1、</w:t>
      </w:r>
      <w:r>
        <w:rPr>
          <w:rFonts w:hint="eastAsia" w:ascii="宋体" w:hAnsi="宋体" w:cs="宋体"/>
          <w:color w:val="000000"/>
          <w:kern w:val="0"/>
          <w:sz w:val="24"/>
          <w:szCs w:val="24"/>
          <w:highlight w:val="none"/>
          <w:lang w:val="en-US" w:eastAsia="zh-CN" w:bidi="ar-SA"/>
        </w:rPr>
        <w:t>本项目</w:t>
      </w:r>
      <w:r>
        <w:rPr>
          <w:rFonts w:hint="eastAsia" w:ascii="宋体" w:hAnsi="宋体" w:eastAsia="宋体" w:cs="宋体"/>
          <w:color w:val="000000"/>
          <w:kern w:val="0"/>
          <w:sz w:val="24"/>
          <w:szCs w:val="24"/>
          <w:highlight w:val="none"/>
          <w:lang w:val="en-US" w:eastAsia="zh-CN" w:bidi="ar-SA"/>
        </w:rPr>
        <w:t>回收价值总价：</w:t>
      </w:r>
      <w:r>
        <w:rPr>
          <w:rFonts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u w:val="single"/>
          <w:lang w:val="en-US" w:eastAsia="zh-CN" w:bidi="ar-SA"/>
        </w:rPr>
        <w:t xml:space="preserve"> </w:t>
      </w:r>
      <w:r>
        <w:rPr>
          <w:rFonts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lang w:val="en-US" w:eastAsia="zh-CN" w:bidi="ar-SA"/>
        </w:rPr>
        <w:t>小写</w:t>
      </w:r>
      <w:r>
        <w:rPr>
          <w:rFonts w:hint="eastAsia"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lang w:val="en-US" w:eastAsia="zh-CN" w:bidi="ar-SA"/>
        </w:rPr>
        <w:t>；人民币</w:t>
      </w:r>
      <w:r>
        <w:rPr>
          <w:rFonts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lang w:val="en-US" w:eastAsia="zh-CN" w:bidi="ar-SA"/>
        </w:rPr>
        <w:t>大写</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b/>
          <w:i w:val="0"/>
          <w:caps w:val="0"/>
          <w:color w:val="000000"/>
          <w:spacing w:val="0"/>
          <w:kern w:val="0"/>
          <w:sz w:val="24"/>
          <w:szCs w:val="24"/>
          <w:highlight w:val="none"/>
          <w:u w:val="none"/>
          <w:lang w:val="en-US" w:eastAsia="zh-CN" w:bidi="ar"/>
        </w:rPr>
        <w:t>。</w:t>
      </w:r>
    </w:p>
    <w:p w14:paraId="1D54BF9F">
      <w:pPr>
        <w:numPr>
          <w:ilvl w:val="0"/>
          <w:numId w:val="0"/>
        </w:numPr>
        <w:spacing w:line="360" w:lineRule="auto"/>
        <w:ind w:leftChars="0"/>
        <w:jc w:val="left"/>
        <w:rPr>
          <w:rFonts w:hint="eastAsia" w:eastAsia="宋体" w:cs="Times New Roman"/>
          <w:sz w:val="24"/>
          <w:szCs w:val="24"/>
          <w:highlight w:val="none"/>
          <w:lang w:val="en-US" w:eastAsia="zh-CN"/>
        </w:rPr>
      </w:pPr>
      <w:r>
        <w:rPr>
          <w:rFonts w:hint="eastAsia" w:eastAsia="宋体" w:cs="Times New Roman"/>
          <w:sz w:val="24"/>
          <w:szCs w:val="24"/>
          <w:highlight w:val="none"/>
          <w:lang w:val="en-US" w:eastAsia="zh-CN"/>
        </w:rPr>
        <w:t>2、项目实施过程中产生的</w:t>
      </w:r>
      <w:r>
        <w:rPr>
          <w:rFonts w:hint="eastAsia" w:eastAsia="宋体" w:cs="Times New Roman"/>
          <w:sz w:val="24"/>
          <w:szCs w:val="24"/>
          <w:highlight w:val="none"/>
        </w:rPr>
        <w:t>拆除费用</w:t>
      </w:r>
      <w:r>
        <w:rPr>
          <w:rFonts w:hint="eastAsia" w:eastAsia="宋体" w:cs="Times New Roman"/>
          <w:sz w:val="24"/>
          <w:szCs w:val="24"/>
          <w:highlight w:val="none"/>
          <w:lang w:val="en-US" w:eastAsia="zh-CN"/>
        </w:rPr>
        <w:t>、毁形、装卸、</w:t>
      </w:r>
      <w:r>
        <w:rPr>
          <w:rFonts w:hint="eastAsia" w:cs="Times New Roman"/>
          <w:sz w:val="24"/>
          <w:szCs w:val="24"/>
          <w:highlight w:val="none"/>
          <w:lang w:val="en-US" w:eastAsia="zh-CN"/>
        </w:rPr>
        <w:t>人工、材料、</w:t>
      </w:r>
      <w:r>
        <w:rPr>
          <w:rFonts w:hint="eastAsia" w:eastAsia="宋体" w:cs="Times New Roman"/>
          <w:sz w:val="24"/>
          <w:szCs w:val="24"/>
          <w:highlight w:val="none"/>
          <w:lang w:val="en-US" w:eastAsia="zh-CN"/>
        </w:rPr>
        <w:t>包装、运输</w:t>
      </w:r>
      <w:r>
        <w:rPr>
          <w:rFonts w:hint="eastAsia" w:cs="Times New Roman"/>
          <w:sz w:val="24"/>
          <w:szCs w:val="24"/>
          <w:highlight w:val="none"/>
          <w:lang w:val="en-US" w:eastAsia="zh-CN"/>
        </w:rPr>
        <w:t>、</w:t>
      </w:r>
      <w:r>
        <w:rPr>
          <w:rFonts w:hint="eastAsia" w:eastAsia="宋体" w:cs="Times New Roman"/>
          <w:sz w:val="24"/>
          <w:szCs w:val="24"/>
          <w:highlight w:val="none"/>
          <w:lang w:val="en-US" w:eastAsia="zh-CN"/>
        </w:rPr>
        <w:t>税费</w:t>
      </w:r>
      <w:r>
        <w:rPr>
          <w:rFonts w:hint="eastAsia" w:cs="Times New Roman"/>
          <w:sz w:val="24"/>
          <w:szCs w:val="24"/>
          <w:highlight w:val="none"/>
          <w:lang w:val="en-US" w:eastAsia="zh-CN"/>
        </w:rPr>
        <w:t>等</w:t>
      </w:r>
      <w:r>
        <w:rPr>
          <w:rFonts w:hint="eastAsia" w:eastAsia="宋体" w:cs="Times New Roman"/>
          <w:sz w:val="24"/>
          <w:szCs w:val="24"/>
          <w:highlight w:val="none"/>
          <w:lang w:val="en-US" w:eastAsia="zh-CN"/>
        </w:rPr>
        <w:t>其他所有费用均由</w:t>
      </w:r>
      <w:r>
        <w:rPr>
          <w:rFonts w:hint="eastAsia" w:cs="Times New Roman"/>
          <w:sz w:val="24"/>
          <w:szCs w:val="24"/>
          <w:highlight w:val="none"/>
          <w:lang w:val="en-US" w:eastAsia="zh-CN"/>
        </w:rPr>
        <w:t>乙方</w:t>
      </w:r>
      <w:r>
        <w:rPr>
          <w:rFonts w:hint="eastAsia" w:eastAsia="宋体" w:cs="Times New Roman"/>
          <w:sz w:val="24"/>
          <w:szCs w:val="24"/>
          <w:highlight w:val="none"/>
          <w:lang w:val="en-US" w:eastAsia="zh-CN"/>
        </w:rPr>
        <w:t>自行承担。</w:t>
      </w:r>
    </w:p>
    <w:p w14:paraId="3D8500E8">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付款方式：</w:t>
      </w:r>
    </w:p>
    <w:p w14:paraId="73917A3E">
      <w:pPr>
        <w:numPr>
          <w:ilvl w:val="0"/>
          <w:numId w:val="0"/>
        </w:numPr>
        <w:shd w:val="clear"/>
        <w:spacing w:line="360" w:lineRule="auto"/>
        <w:ind w:left="0" w:firstLine="0" w:firstLineChars="0"/>
        <w:jc w:val="left"/>
        <w:rPr>
          <w:rFonts w:hint="eastAsia" w:ascii="Calibri" w:hAnsi="Calibri" w:eastAsia="宋体" w:cs="Times New Roman"/>
          <w:sz w:val="24"/>
          <w:szCs w:val="24"/>
          <w:highlight w:val="none"/>
          <w:lang w:val="en-US"/>
        </w:rPr>
      </w:pPr>
      <w:r>
        <w:rPr>
          <w:rFonts w:hint="eastAsia" w:ascii="Calibri" w:hAnsi="Calibri" w:eastAsia="宋体" w:cs="Times New Roman"/>
          <w:kern w:val="2"/>
          <w:sz w:val="24"/>
          <w:szCs w:val="24"/>
          <w:highlight w:val="none"/>
          <w:lang w:val="en-US" w:eastAsia="zh-CN" w:bidi="ar-SA"/>
        </w:rPr>
        <w:t>1.</w:t>
      </w:r>
      <w:r>
        <w:rPr>
          <w:rFonts w:hint="eastAsia" w:ascii="Calibri" w:hAnsi="Calibri" w:eastAsia="宋体" w:cs="Times New Roman"/>
          <w:sz w:val="24"/>
          <w:szCs w:val="24"/>
          <w:highlight w:val="none"/>
          <w:lang w:val="en-US"/>
        </w:rPr>
        <w:t>本项目的</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分多次进行，每次具备</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条件，</w:t>
      </w:r>
      <w:r>
        <w:rPr>
          <w:rFonts w:hint="eastAsia" w:ascii="Calibri" w:hAnsi="Calibri" w:eastAsia="宋体" w:cs="Times New Roman"/>
          <w:sz w:val="24"/>
          <w:szCs w:val="24"/>
          <w:highlight w:val="none"/>
          <w:lang w:val="en-US" w:eastAsia="zh-CN"/>
        </w:rPr>
        <w:t>甲方</w:t>
      </w:r>
      <w:r>
        <w:rPr>
          <w:rFonts w:hint="eastAsia" w:ascii="Calibri" w:hAnsi="Calibri" w:eastAsia="宋体" w:cs="Times New Roman"/>
          <w:sz w:val="24"/>
          <w:szCs w:val="24"/>
          <w:highlight w:val="none"/>
          <w:lang w:val="en-US"/>
        </w:rPr>
        <w:t>以书面</w:t>
      </w:r>
      <w:r>
        <w:rPr>
          <w:rFonts w:hint="eastAsia" w:ascii="Calibri" w:hAnsi="Calibri" w:eastAsia="宋体" w:cs="Times New Roman"/>
          <w:sz w:val="24"/>
          <w:szCs w:val="24"/>
          <w:highlight w:val="none"/>
          <w:lang w:val="en-US" w:eastAsia="zh-CN"/>
        </w:rPr>
        <w:t>方式</w:t>
      </w:r>
      <w:r>
        <w:rPr>
          <w:rFonts w:hint="eastAsia" w:ascii="Calibri" w:hAnsi="Calibri" w:eastAsia="宋体" w:cs="Times New Roman"/>
          <w:sz w:val="24"/>
          <w:szCs w:val="24"/>
          <w:highlight w:val="none"/>
          <w:lang w:val="en-US"/>
        </w:rPr>
        <w:t>通知</w:t>
      </w:r>
      <w:r>
        <w:rPr>
          <w:rFonts w:hint="eastAsia" w:ascii="Calibri" w:hAnsi="Calibri" w:eastAsia="宋体" w:cs="Times New Roman"/>
          <w:sz w:val="24"/>
          <w:szCs w:val="24"/>
          <w:highlight w:val="none"/>
          <w:lang w:val="en-US" w:eastAsia="zh-CN"/>
        </w:rPr>
        <w:t>乙方</w:t>
      </w:r>
      <w:r>
        <w:rPr>
          <w:rFonts w:hint="eastAsia" w:ascii="Calibri" w:hAnsi="Calibri" w:cs="Times New Roman"/>
          <w:sz w:val="24"/>
          <w:szCs w:val="24"/>
          <w:highlight w:val="none"/>
          <w:lang w:val="en-US" w:eastAsia="zh-CN"/>
        </w:rPr>
        <w:t>进行</w:t>
      </w:r>
      <w:r>
        <w:rPr>
          <w:rFonts w:hint="eastAsia" w:ascii="Calibri" w:hAnsi="Calibri" w:eastAsia="宋体" w:cs="Times New Roman"/>
          <w:sz w:val="24"/>
          <w:szCs w:val="24"/>
          <w:highlight w:val="none"/>
          <w:lang w:val="en-US" w:eastAsia="zh-CN"/>
        </w:rPr>
        <w:t>回收</w:t>
      </w:r>
      <w:r>
        <w:rPr>
          <w:rFonts w:hint="eastAsia" w:ascii="Calibri" w:hAnsi="Calibri" w:cs="Times New Roman"/>
          <w:sz w:val="24"/>
          <w:szCs w:val="24"/>
          <w:highlight w:val="none"/>
          <w:lang w:val="en-US" w:eastAsia="zh-CN"/>
        </w:rPr>
        <w:t>，如乙方须自行拆除的，由乙方安排协调拆除事宜，拆除费用由乙方承担</w:t>
      </w:r>
      <w:r>
        <w:rPr>
          <w:rFonts w:hint="eastAsia" w:ascii="Calibri" w:hAnsi="Calibri" w:eastAsia="宋体" w:cs="Times New Roman"/>
          <w:sz w:val="24"/>
          <w:szCs w:val="24"/>
          <w:highlight w:val="none"/>
          <w:lang w:val="en-US"/>
        </w:rPr>
        <w:t>。</w:t>
      </w:r>
    </w:p>
    <w:p w14:paraId="6A241A32">
      <w:pPr>
        <w:numPr>
          <w:ilvl w:val="0"/>
          <w:numId w:val="0"/>
        </w:numPr>
        <w:shd w:val="clear"/>
        <w:spacing w:line="360" w:lineRule="auto"/>
        <w:ind w:left="0" w:firstLine="0" w:firstLineChars="0"/>
        <w:jc w:val="left"/>
        <w:rPr>
          <w:rFonts w:hint="eastAsia" w:ascii="Calibri" w:hAnsi="Calibri" w:eastAsia="宋体" w:cs="Times New Roman"/>
          <w:sz w:val="24"/>
          <w:szCs w:val="24"/>
          <w:highlight w:val="none"/>
          <w:lang w:val="en-US" w:eastAsia="zh-CN"/>
        </w:rPr>
      </w:pPr>
      <w:r>
        <w:rPr>
          <w:rFonts w:hint="eastAsia" w:ascii="Calibri" w:hAnsi="Calibri" w:eastAsia="宋体" w:cs="Times New Roman"/>
          <w:kern w:val="2"/>
          <w:sz w:val="24"/>
          <w:szCs w:val="24"/>
          <w:highlight w:val="none"/>
          <w:lang w:val="en-US" w:eastAsia="zh-CN" w:bidi="ar-SA"/>
        </w:rPr>
        <w:t>2.</w:t>
      </w:r>
      <w:r>
        <w:rPr>
          <w:rFonts w:hint="eastAsia" w:ascii="Calibri" w:hAnsi="Calibri" w:eastAsia="宋体" w:cs="Times New Roman"/>
          <w:sz w:val="24"/>
          <w:szCs w:val="24"/>
          <w:highlight w:val="none"/>
          <w:lang w:val="en-US" w:eastAsia="zh-CN"/>
        </w:rPr>
        <w:t>回收处置价值按回收处置报价对应的区域支付</w:t>
      </w:r>
      <w:r>
        <w:rPr>
          <w:rFonts w:hint="eastAsia" w:ascii="Calibri" w:hAnsi="Calibri" w:cs="Times New Roman"/>
          <w:sz w:val="24"/>
          <w:szCs w:val="24"/>
          <w:highlight w:val="none"/>
          <w:lang w:val="en-US" w:eastAsia="zh-CN"/>
        </w:rPr>
        <w:t>，按实际工程量进行结算</w:t>
      </w:r>
      <w:r>
        <w:rPr>
          <w:rFonts w:hint="eastAsia" w:ascii="Calibri" w:hAnsi="Calibri" w:eastAsia="宋体" w:cs="Times New Roman"/>
          <w:sz w:val="24"/>
          <w:szCs w:val="24"/>
          <w:highlight w:val="none"/>
          <w:lang w:val="en-US" w:eastAsia="zh-CN"/>
        </w:rPr>
        <w:t>。</w:t>
      </w:r>
    </w:p>
    <w:p w14:paraId="06F690F8">
      <w:pPr>
        <w:numPr>
          <w:ilvl w:val="0"/>
          <w:numId w:val="0"/>
        </w:numPr>
        <w:shd w:val="clear"/>
        <w:spacing w:line="360" w:lineRule="auto"/>
        <w:ind w:left="0" w:firstLine="0" w:firstLineChars="0"/>
        <w:jc w:val="left"/>
        <w:rPr>
          <w:rFonts w:hint="eastAsia" w:ascii="Calibri" w:hAnsi="Calibri" w:eastAsia="宋体" w:cs="Times New Roman"/>
          <w:sz w:val="24"/>
          <w:highlight w:val="none"/>
          <w:lang w:val="en-US" w:eastAsia="zh-CN"/>
        </w:rPr>
      </w:pPr>
      <w:r>
        <w:rPr>
          <w:rFonts w:hint="eastAsia" w:ascii="Calibri" w:hAnsi="Calibri" w:eastAsia="宋体" w:cs="Times New Roman"/>
          <w:kern w:val="2"/>
          <w:sz w:val="24"/>
          <w:szCs w:val="24"/>
          <w:highlight w:val="none"/>
          <w:lang w:val="en-US" w:eastAsia="zh-CN" w:bidi="ar-SA"/>
        </w:rPr>
        <w:t>3.</w:t>
      </w:r>
      <w:r>
        <w:rPr>
          <w:rFonts w:hint="eastAsia" w:ascii="Calibri" w:hAnsi="Calibri" w:eastAsia="宋体" w:cs="Times New Roman"/>
          <w:sz w:val="24"/>
          <w:highlight w:val="none"/>
          <w:lang w:val="en-US" w:eastAsia="zh-CN"/>
        </w:rPr>
        <w:t>乙方在收到通知的5个工作日内将任务单区域范围内的回收处置价值一次转账到甲方指定账户，具体如下：</w:t>
      </w:r>
    </w:p>
    <w:p w14:paraId="4CC9BCBB">
      <w:pPr>
        <w:numPr>
          <w:ilvl w:val="0"/>
          <w:numId w:val="0"/>
        </w:numPr>
        <w:shd w:val="clear" w:color="auto" w:fill="auto"/>
        <w:spacing w:line="360" w:lineRule="auto"/>
        <w:ind w:firstLine="480" w:firstLineChars="200"/>
        <w:jc w:val="left"/>
        <w:rPr>
          <w:rFonts w:hint="eastAsia" w:ascii="宋体" w:hAnsi="宋体" w:eastAsia="宋体" w:cs="宋体"/>
          <w:sz w:val="24"/>
          <w:highlight w:val="none"/>
          <w:lang w:val="en-GB" w:eastAsia="zh-CN"/>
        </w:rPr>
      </w:pPr>
      <w:r>
        <w:rPr>
          <w:rFonts w:hint="eastAsia" w:ascii="宋体" w:hAnsi="宋体" w:eastAsia="宋体" w:cs="宋体"/>
          <w:sz w:val="24"/>
          <w:highlight w:val="none"/>
          <w:lang w:val="en-GB" w:eastAsia="zh-CN"/>
        </w:rPr>
        <w:t>(</w:t>
      </w:r>
      <w:r>
        <w:rPr>
          <w:rFonts w:hint="eastAsia" w:ascii="宋体" w:hAnsi="宋体" w:cs="宋体"/>
          <w:sz w:val="24"/>
          <w:highlight w:val="none"/>
          <w:lang w:val="en-US" w:eastAsia="zh-CN"/>
        </w:rPr>
        <w:t>1</w:t>
      </w:r>
      <w:r>
        <w:rPr>
          <w:rFonts w:hint="eastAsia" w:ascii="宋体" w:hAnsi="宋体" w:eastAsia="宋体" w:cs="宋体"/>
          <w:sz w:val="24"/>
          <w:highlight w:val="none"/>
          <w:lang w:val="en-GB" w:eastAsia="zh-CN"/>
        </w:rPr>
        <w:t>)每一区域具备拆除回收条件时，甲方以任务单书面通知乙方</w:t>
      </w:r>
      <w:r>
        <w:rPr>
          <w:rFonts w:hint="eastAsia" w:ascii="宋体" w:hAnsi="宋体" w:cs="宋体"/>
          <w:sz w:val="24"/>
          <w:highlight w:val="none"/>
          <w:lang w:val="en-US" w:eastAsia="zh-CN"/>
        </w:rPr>
        <w:t>回收</w:t>
      </w:r>
      <w:r>
        <w:rPr>
          <w:rFonts w:hint="eastAsia" w:ascii="宋体" w:hAnsi="宋体" w:eastAsia="宋体" w:cs="宋体"/>
          <w:sz w:val="24"/>
          <w:highlight w:val="none"/>
          <w:lang w:val="en-GB" w:eastAsia="zh-CN"/>
        </w:rPr>
        <w:t>的具体位置和范围，乙方在收到通知的5个工作日内，将任务单范围内该批次的回收</w:t>
      </w:r>
      <w:r>
        <w:rPr>
          <w:rFonts w:hint="eastAsia" w:ascii="宋体" w:hAnsi="宋体" w:eastAsia="宋体" w:cs="宋体"/>
          <w:sz w:val="24"/>
          <w:highlight w:val="none"/>
          <w:lang w:val="en-US" w:eastAsia="zh-CN"/>
        </w:rPr>
        <w:t>处置</w:t>
      </w:r>
      <w:r>
        <w:rPr>
          <w:rFonts w:hint="eastAsia" w:ascii="宋体" w:hAnsi="宋体" w:eastAsia="宋体" w:cs="宋体"/>
          <w:sz w:val="24"/>
          <w:highlight w:val="none"/>
          <w:lang w:val="en-GB" w:eastAsia="zh-CN"/>
        </w:rPr>
        <w:t>价值一次转账到甲方指定账户后，</w:t>
      </w:r>
      <w:r>
        <w:rPr>
          <w:rFonts w:hint="eastAsia" w:ascii="Calibri" w:hAnsi="Calibri" w:cs="Times New Roman"/>
          <w:sz w:val="24"/>
          <w:szCs w:val="24"/>
          <w:highlight w:val="none"/>
          <w:lang w:val="en-US" w:eastAsia="zh-CN"/>
        </w:rPr>
        <w:t>如乙方须自行拆除的，须</w:t>
      </w:r>
      <w:r>
        <w:rPr>
          <w:rFonts w:hint="eastAsia" w:ascii="宋体" w:hAnsi="宋体" w:eastAsia="宋体" w:cs="宋体"/>
          <w:sz w:val="24"/>
          <w:highlight w:val="none"/>
          <w:lang w:val="en-GB" w:eastAsia="zh-CN"/>
        </w:rPr>
        <w:t>在10个工作日内完成拆除。</w:t>
      </w:r>
    </w:p>
    <w:p w14:paraId="76BA0BC2">
      <w:pPr>
        <w:shd w:val="clear" w:color="auto" w:fill="auto"/>
        <w:spacing w:line="360" w:lineRule="auto"/>
        <w:ind w:firstLine="480" w:firstLineChars="200"/>
        <w:jc w:val="left"/>
        <w:rPr>
          <w:rFonts w:hint="eastAsia" w:ascii="宋体" w:hAnsi="宋体" w:eastAsia="宋体" w:cs="宋体"/>
          <w:sz w:val="24"/>
          <w:highlight w:val="yellow"/>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）本次采购服务涉及处置的资产属于</w:t>
      </w:r>
      <w:r>
        <w:rPr>
          <w:rFonts w:hint="eastAsia" w:ascii="宋体" w:hAnsi="宋体" w:eastAsia="宋体" w:cs="宋体"/>
          <w:bCs w:val="0"/>
          <w:sz w:val="24"/>
          <w:szCs w:val="24"/>
          <w:highlight w:val="none"/>
          <w:lang w:eastAsia="zh-CN"/>
        </w:rPr>
        <w:t>广州市荔湾区道路扩建工程办公室</w:t>
      </w:r>
      <w:r>
        <w:rPr>
          <w:rFonts w:hint="eastAsia" w:ascii="宋体" w:hAnsi="宋体" w:eastAsia="宋体" w:cs="宋体"/>
          <w:sz w:val="24"/>
          <w:highlight w:val="none"/>
          <w:lang w:val="en-US" w:eastAsia="zh-CN"/>
        </w:rPr>
        <w:t>所有，</w:t>
      </w:r>
      <w:r>
        <w:rPr>
          <w:rFonts w:hint="eastAsia" w:ascii="宋体" w:hAnsi="宋体" w:eastAsia="宋体" w:cs="宋体"/>
          <w:sz w:val="24"/>
          <w:highlight w:val="none"/>
          <w:lang w:val="en-GB" w:eastAsia="zh-CN"/>
        </w:rPr>
        <w:t>回收</w:t>
      </w:r>
      <w:r>
        <w:rPr>
          <w:rFonts w:hint="eastAsia" w:ascii="宋体" w:hAnsi="宋体" w:eastAsia="宋体" w:cs="宋体"/>
          <w:sz w:val="24"/>
          <w:highlight w:val="none"/>
          <w:lang w:val="en-US" w:eastAsia="zh-CN"/>
        </w:rPr>
        <w:t>处置</w:t>
      </w:r>
      <w:r>
        <w:rPr>
          <w:rFonts w:hint="eastAsia" w:ascii="宋体" w:hAnsi="宋体" w:eastAsia="宋体" w:cs="宋体"/>
          <w:sz w:val="24"/>
          <w:highlight w:val="none"/>
          <w:lang w:val="en-GB" w:eastAsia="zh-CN"/>
        </w:rPr>
        <w:t>价值</w:t>
      </w:r>
      <w:r>
        <w:rPr>
          <w:rFonts w:hint="eastAsia" w:ascii="宋体" w:hAnsi="宋体" w:eastAsia="宋体" w:cs="宋体"/>
          <w:sz w:val="24"/>
          <w:highlight w:val="none"/>
          <w:lang w:val="en-US" w:eastAsia="zh-CN"/>
        </w:rPr>
        <w:t>由乙方按合同要求支付到甲方指定账户，</w:t>
      </w:r>
      <w:r>
        <w:rPr>
          <w:rFonts w:hint="eastAsia" w:ascii="宋体" w:hAnsi="宋体" w:eastAsia="宋体" w:cs="宋体"/>
          <w:bCs w:val="0"/>
          <w:sz w:val="24"/>
          <w:szCs w:val="24"/>
          <w:highlight w:val="none"/>
          <w:lang w:eastAsia="zh-CN"/>
        </w:rPr>
        <w:t>广州市荔湾区道路扩建工程办公室</w:t>
      </w:r>
      <w:r>
        <w:rPr>
          <w:rFonts w:hint="eastAsia" w:ascii="宋体" w:hAnsi="宋体" w:eastAsia="宋体" w:cs="宋体"/>
          <w:sz w:val="24"/>
          <w:highlight w:val="none"/>
          <w:lang w:val="en-US" w:eastAsia="zh-CN"/>
        </w:rPr>
        <w:t>向乙方开具</w:t>
      </w:r>
      <w:r>
        <w:rPr>
          <w:rFonts w:hint="eastAsia" w:ascii="宋体" w:hAnsi="宋体" w:eastAsia="宋体" w:cs="宋体"/>
          <w:color w:val="000000" w:themeColor="text1"/>
          <w:sz w:val="24"/>
          <w:highlight w:val="none"/>
          <w:lang w:val="en-US" w:eastAsia="zh-CN"/>
          <w14:textFill>
            <w14:solidFill>
              <w14:schemeClr w14:val="tx1"/>
            </w14:solidFill>
          </w14:textFill>
        </w:rPr>
        <w:t>行</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政事业收据</w:t>
      </w:r>
      <w:r>
        <w:rPr>
          <w:rFonts w:hint="eastAsia" w:ascii="宋体" w:hAnsi="宋体" w:eastAsia="宋体" w:cs="宋体"/>
          <w:color w:val="000000" w:themeColor="text1"/>
          <w:sz w:val="24"/>
          <w:highlight w:val="none"/>
          <w:lang w:val="en-US" w:eastAsia="zh-CN"/>
          <w14:textFill>
            <w14:solidFill>
              <w14:schemeClr w14:val="tx1"/>
            </w14:solidFill>
          </w14:textFill>
        </w:rPr>
        <w:t>作</w:t>
      </w:r>
      <w:r>
        <w:rPr>
          <w:rFonts w:hint="eastAsia" w:ascii="宋体" w:hAnsi="宋体" w:eastAsia="宋体" w:cs="宋体"/>
          <w:sz w:val="24"/>
          <w:highlight w:val="none"/>
          <w:lang w:val="en-US" w:eastAsia="zh-CN"/>
        </w:rPr>
        <w:t>为凭证。</w:t>
      </w:r>
    </w:p>
    <w:p w14:paraId="5225AAB4">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cs="宋体"/>
          <w:b/>
          <w:bCs w:val="0"/>
          <w:spacing w:val="10"/>
          <w:kern w:val="0"/>
          <w:sz w:val="24"/>
          <w:szCs w:val="24"/>
          <w:highlight w:val="none"/>
          <w:lang w:val="en-US" w:eastAsia="zh-CN" w:bidi="ar-SA"/>
        </w:rPr>
        <w:t>物资回收清单</w:t>
      </w:r>
      <w:r>
        <w:rPr>
          <w:rFonts w:hint="eastAsia" w:ascii="宋体" w:hAnsi="宋体" w:eastAsia="宋体" w:cs="宋体"/>
          <w:b/>
          <w:bCs w:val="0"/>
          <w:spacing w:val="10"/>
          <w:kern w:val="0"/>
          <w:sz w:val="24"/>
          <w:szCs w:val="24"/>
          <w:highlight w:val="none"/>
          <w:lang w:val="en-US" w:eastAsia="zh-CN" w:bidi="ar-SA"/>
        </w:rPr>
        <w:t>：</w:t>
      </w:r>
      <w:r>
        <w:rPr>
          <w:rFonts w:hint="eastAsia" w:ascii="宋体" w:hAnsi="宋体" w:cs="宋体"/>
          <w:b/>
          <w:bCs w:val="0"/>
          <w:spacing w:val="10"/>
          <w:kern w:val="0"/>
          <w:sz w:val="24"/>
          <w:szCs w:val="24"/>
          <w:highlight w:val="none"/>
          <w:lang w:val="en-US" w:eastAsia="zh-CN" w:bidi="ar-SA"/>
        </w:rPr>
        <w:t>详见合同附件（1）报价明细表。</w:t>
      </w:r>
    </w:p>
    <w:p w14:paraId="7ED42B31">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其他要求：</w:t>
      </w:r>
    </w:p>
    <w:p w14:paraId="1A39E46A">
      <w:pPr>
        <w:widowControl w:val="0"/>
        <w:numPr>
          <w:ilvl w:val="0"/>
          <w:numId w:val="0"/>
        </w:numPr>
        <w:spacing w:before="25" w:after="25" w:line="360" w:lineRule="auto"/>
        <w:ind w:leftChars="0"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当出现下列任一情况时，视为</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违约，</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有权</w:t>
      </w:r>
      <w:r>
        <w:rPr>
          <w:rFonts w:hint="eastAsia" w:ascii="宋体" w:hAnsi="宋体" w:eastAsia="宋体" w:cs="Times New Roman"/>
          <w:sz w:val="24"/>
          <w:szCs w:val="24"/>
          <w:highlight w:val="none"/>
          <w:lang w:val="en-US" w:eastAsia="zh-CN"/>
        </w:rPr>
        <w:t>立即终止本合同并没收</w:t>
      </w:r>
      <w:r>
        <w:rPr>
          <w:rFonts w:hint="eastAsia" w:ascii="宋体" w:hAnsi="宋体" w:eastAsia="宋体" w:cs="Times New Roman"/>
          <w:sz w:val="24"/>
          <w:szCs w:val="24"/>
          <w:highlight w:val="none"/>
          <w:lang w:eastAsia="zh-CN"/>
        </w:rPr>
        <w:t>全部已收取的回收费用</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须无条件服从，并自</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通知合同终止之日起5日内移交所有档案、资料给</w:t>
      </w:r>
      <w:r>
        <w:rPr>
          <w:rFonts w:hint="eastAsia" w:ascii="宋体" w:hAnsi="宋体" w:eastAsia="宋体" w:cs="Times New Roman"/>
          <w:sz w:val="24"/>
          <w:szCs w:val="24"/>
          <w:highlight w:val="none"/>
          <w:lang w:eastAsia="zh-CN"/>
        </w:rPr>
        <w:t>甲方。</w:t>
      </w:r>
    </w:p>
    <w:p w14:paraId="060BEEDF">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在本项目服务期限内，无故放弃服务资格的；</w:t>
      </w:r>
    </w:p>
    <w:p w14:paraId="0F590B87">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在本项目服务期限内，被广东省、</w:t>
      </w:r>
      <w:r>
        <w:rPr>
          <w:rFonts w:hint="eastAsia" w:ascii="宋体" w:hAnsi="宋体" w:eastAsia="宋体" w:cs="Times New Roman"/>
          <w:sz w:val="24"/>
          <w:szCs w:val="24"/>
          <w:highlight w:val="none"/>
          <w:lang w:val="en-US" w:eastAsia="zh-CN"/>
        </w:rPr>
        <w:t>广州</w:t>
      </w:r>
      <w:r>
        <w:rPr>
          <w:rFonts w:hint="eastAsia" w:ascii="宋体" w:hAnsi="宋体" w:eastAsia="宋体" w:cs="Times New Roman"/>
          <w:sz w:val="24"/>
          <w:szCs w:val="24"/>
          <w:highlight w:val="none"/>
        </w:rPr>
        <w:t>市（区）建设行政主管部门明令取消、暂停、禁止参与投标且在处罚有效期内；</w:t>
      </w:r>
    </w:p>
    <w:p w14:paraId="66322F6F">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在本项目服务期限内，处于被责令停业，财产被接管、冻结，破产状况等；</w:t>
      </w:r>
    </w:p>
    <w:p w14:paraId="05AB69FC">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4、</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在本项目服务期限内，有行贿、串通投标、转包、挂靠等严重违法行为的；</w:t>
      </w:r>
    </w:p>
    <w:p w14:paraId="3EDCC820">
      <w:pPr>
        <w:spacing w:line="360" w:lineRule="auto"/>
        <w:jc w:val="left"/>
        <w:rPr>
          <w:rFonts w:eastAsia="黑体" w:cs="Times New Roman"/>
          <w:sz w:val="24"/>
          <w:szCs w:val="24"/>
          <w:highlight w:val="none"/>
        </w:rPr>
      </w:pPr>
      <w:r>
        <w:rPr>
          <w:rFonts w:hint="eastAsia" w:ascii="宋体" w:hAnsi="宋体" w:eastAsia="宋体" w:cs="Times New Roman"/>
          <w:sz w:val="24"/>
          <w:szCs w:val="24"/>
          <w:highlight w:val="none"/>
        </w:rPr>
        <w:t>5、</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提出投诉并提供相关资料证明</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在项目实施过程中出现违约情况；</w:t>
      </w:r>
    </w:p>
    <w:p w14:paraId="17DC1F38">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6、</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未按约定支付被拆除建筑的回收价值；</w:t>
      </w:r>
    </w:p>
    <w:p w14:paraId="06E35F65">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7、</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未按约定时间开展拆除工作，拆除时因人手、设备不足等原因影响正常拆除工作的；</w:t>
      </w:r>
    </w:p>
    <w:p w14:paraId="170125BD">
      <w:pPr>
        <w:spacing w:line="360" w:lineRule="auto"/>
        <w:jc w:val="left"/>
        <w:rPr>
          <w:rFonts w:ascii="宋体" w:hAnsi="宋体" w:eastAsia="宋体" w:cs="Times New Roman"/>
          <w:sz w:val="24"/>
          <w:szCs w:val="24"/>
          <w:highlight w:val="none"/>
        </w:rPr>
      </w:pPr>
      <w:r>
        <w:rPr>
          <w:rFonts w:hint="eastAsia" w:ascii="宋体" w:hAnsi="宋体" w:cs="Times New Roman"/>
          <w:sz w:val="24"/>
          <w:szCs w:val="24"/>
          <w:highlight w:val="none"/>
          <w:lang w:val="en-US" w:eastAsia="zh-CN"/>
        </w:rPr>
        <w:t>8</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在项目中发生死亡1人或以上，或者重伤3人或以上，或者直接经济损失100万元或以上安全事故的；</w:t>
      </w:r>
    </w:p>
    <w:p w14:paraId="4EE037CD">
      <w:pPr>
        <w:spacing w:line="360" w:lineRule="auto"/>
        <w:jc w:val="left"/>
        <w:rPr>
          <w:rFonts w:ascii="宋体" w:hAnsi="宋体" w:eastAsia="宋体" w:cs="Times New Roman"/>
          <w:sz w:val="24"/>
          <w:szCs w:val="24"/>
          <w:highlight w:val="none"/>
        </w:rPr>
      </w:pPr>
      <w:r>
        <w:rPr>
          <w:rFonts w:hint="eastAsia" w:ascii="宋体" w:hAnsi="宋体" w:cs="Times New Roman"/>
          <w:sz w:val="24"/>
          <w:szCs w:val="24"/>
          <w:highlight w:val="none"/>
          <w:lang w:val="en-US" w:eastAsia="zh-CN"/>
        </w:rPr>
        <w:t>9</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出现群体性事件的，其中包括但不限于</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因拖欠工资导致相关人员向</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讨要工资、上门闹事等情况；</w:t>
      </w:r>
    </w:p>
    <w:p w14:paraId="730456BD">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val="en-US" w:eastAsia="zh-CN"/>
        </w:rPr>
        <w:t>0</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因粗暴施工、违规施工或施工不当，被上级点名或媒体曝光等造成不良影响；</w:t>
      </w:r>
    </w:p>
    <w:p w14:paraId="1A435165">
      <w:pPr>
        <w:spacing w:after="120" w:line="360" w:lineRule="auto"/>
        <w:rPr>
          <w:rFonts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不按投标文件承诺投入管理人员、特种作业人员、机械设备，视为弄虚作假参与投标；</w:t>
      </w:r>
    </w:p>
    <w:p w14:paraId="74C93938">
      <w:pPr>
        <w:spacing w:line="360" w:lineRule="auto"/>
        <w:jc w:val="left"/>
        <w:rPr>
          <w:rFonts w:hint="eastAsia"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rPr>
        <w:t>、合同规定的其他导致合同终止的违约情形。</w:t>
      </w:r>
    </w:p>
    <w:p w14:paraId="50B46775">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特别说明：</w:t>
      </w:r>
    </w:p>
    <w:p w14:paraId="54ACF3F3">
      <w:pPr>
        <w:numPr>
          <w:ilvl w:val="0"/>
          <w:numId w:val="4"/>
        </w:numPr>
        <w:shd w:val="clear" w:color="auto" w:fill="auto"/>
        <w:spacing w:line="360" w:lineRule="auto"/>
        <w:ind w:firstLine="480" w:firstLineChars="200"/>
        <w:jc w:val="left"/>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GB"/>
        </w:rPr>
        <w:t>被取消中标资格后由该项目的综合得分排名次高的成交候选人进行替补。</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GB"/>
        </w:rPr>
        <w:t>被取消中标资格后，双方签订的合同即时终止。若</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GB"/>
        </w:rPr>
        <w:t>被取消中标资格，则由该项目的综合得分排名次高的成交候选人补上，回收价值按</w:t>
      </w:r>
      <w:r>
        <w:rPr>
          <w:rFonts w:hint="eastAsia" w:ascii="宋体" w:hAnsi="宋体" w:cs="宋体"/>
          <w:sz w:val="24"/>
          <w:szCs w:val="24"/>
          <w:highlight w:val="none"/>
          <w:lang w:val="en-US" w:eastAsia="zh-CN"/>
        </w:rPr>
        <w:t>该成交单位的</w:t>
      </w:r>
      <w:r>
        <w:rPr>
          <w:rFonts w:hint="eastAsia" w:ascii="宋体" w:hAnsi="宋体" w:eastAsia="宋体" w:cs="宋体"/>
          <w:sz w:val="24"/>
          <w:szCs w:val="24"/>
          <w:highlight w:val="none"/>
          <w:lang w:val="en-GB" w:eastAsia="zh-CN"/>
        </w:rPr>
        <w:t>回收处置</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lang w:val="en-GB"/>
        </w:rPr>
        <w:t>支付</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lang w:val="en-GB"/>
        </w:rPr>
        <w:t>，对此替补单位不得有异议。</w:t>
      </w:r>
    </w:p>
    <w:p w14:paraId="1398D0F6">
      <w:pPr>
        <w:numPr>
          <w:ilvl w:val="0"/>
          <w:numId w:val="4"/>
        </w:numPr>
        <w:shd w:val="clear" w:color="auto" w:fill="auto"/>
        <w:spacing w:line="360" w:lineRule="auto"/>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乙方在中标后须自行完成全部采购服务内容，若存在</w:t>
      </w:r>
      <w:r>
        <w:rPr>
          <w:rFonts w:hint="eastAsia" w:ascii="宋体" w:hAnsi="宋体" w:cs="宋体"/>
          <w:sz w:val="24"/>
          <w:szCs w:val="24"/>
          <w:highlight w:val="none"/>
          <w:lang w:val="en-US" w:eastAsia="zh-CN"/>
        </w:rPr>
        <w:t>未经甲方确认非法</w:t>
      </w:r>
      <w:r>
        <w:rPr>
          <w:rFonts w:hint="eastAsia" w:ascii="宋体" w:hAnsi="宋体" w:eastAsia="宋体" w:cs="宋体"/>
          <w:sz w:val="24"/>
          <w:szCs w:val="24"/>
          <w:highlight w:val="none"/>
          <w:lang w:val="en-US" w:eastAsia="zh-CN"/>
        </w:rPr>
        <w:t>转包、分包、等安排其他单位接管拆除、处置或回收工作，视为严重违约，甲方有权立即终止合同并没收全部已收取的回收费用。</w:t>
      </w:r>
    </w:p>
    <w:p w14:paraId="2C781153">
      <w:pPr>
        <w:tabs>
          <w:tab w:val="left" w:pos="900"/>
          <w:tab w:val="left" w:pos="1080"/>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除本合同及招标文件另有约定外，违约责任以《中华人民共和国民法典》有关规定进行处理。</w:t>
      </w:r>
    </w:p>
    <w:p w14:paraId="29B408EF">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合同生效、变更与终止：</w:t>
      </w:r>
    </w:p>
    <w:p w14:paraId="12AA89BA">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由于不可抗力或甲方的原因使本项目的工作受到阻碍或延误，以致延长了完成时间，则乙方应当将此情况与可能产生的影响及时通知甲方，经甲方书面确认后，完成时间可以相应延长。但甲方不另行支付延长工作时间期间的费用。</w:t>
      </w:r>
    </w:p>
    <w:p w14:paraId="6CFEBDE0">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2、在项目实施过程中，如出现内容的变更，由</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方协商解决。</w:t>
      </w:r>
    </w:p>
    <w:p w14:paraId="485A912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3、本合同有效期自生效之日起，至乙方履行完毕全部合同义务止。</w:t>
      </w:r>
    </w:p>
    <w:p w14:paraId="200E2CCE">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4、当事人一方要求变更或解除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终止</w:t>
      </w:r>
      <w:r>
        <w:rPr>
          <w:rFonts w:hint="eastAsia" w:ascii="宋体" w:hAnsi="宋体" w:eastAsia="宋体" w:cs="宋体"/>
          <w:sz w:val="24"/>
          <w:szCs w:val="24"/>
          <w:highlight w:val="none"/>
        </w:rPr>
        <w:t>合同时，应当在20个工作日前书面通知对方，因解除合同使其他方遭受损失的，除依法</w:t>
      </w:r>
      <w:r>
        <w:rPr>
          <w:rFonts w:hint="eastAsia" w:ascii="宋体" w:hAnsi="宋体" w:eastAsia="宋体" w:cs="宋体"/>
          <w:sz w:val="24"/>
          <w:szCs w:val="24"/>
          <w:highlight w:val="none"/>
          <w:lang w:val="en-US" w:eastAsia="zh-CN"/>
        </w:rPr>
        <w:t>依约</w:t>
      </w:r>
      <w:r>
        <w:rPr>
          <w:rFonts w:hint="eastAsia" w:ascii="宋体" w:hAnsi="宋体" w:eastAsia="宋体" w:cs="宋体"/>
          <w:sz w:val="24"/>
          <w:szCs w:val="24"/>
          <w:highlight w:val="none"/>
        </w:rPr>
        <w:t>可以免除的责任外，应由责任方负责赔偿。</w:t>
      </w:r>
    </w:p>
    <w:p w14:paraId="7CA64DA8">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5、变更或解除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终止</w:t>
      </w:r>
      <w:r>
        <w:rPr>
          <w:rFonts w:hint="eastAsia" w:ascii="宋体" w:hAnsi="宋体" w:eastAsia="宋体" w:cs="宋体"/>
          <w:sz w:val="24"/>
          <w:szCs w:val="24"/>
          <w:highlight w:val="none"/>
        </w:rPr>
        <w:t>合同的通知或协议必须采取书面形式，协议未达成之前，原合同仍然有效。</w:t>
      </w:r>
      <w:r>
        <w:rPr>
          <w:rFonts w:hint="eastAsia" w:ascii="宋体" w:hAnsi="宋体" w:eastAsia="宋体" w:cs="宋体"/>
          <w:sz w:val="24"/>
          <w:szCs w:val="24"/>
          <w:highlight w:val="none"/>
          <w:lang w:val="en-US" w:eastAsia="zh-CN"/>
        </w:rPr>
        <w:t>联系地址及电话以签署页列明的为准，如有变更，应在变更后3日内通知对方，否则，相关后果自负。</w:t>
      </w:r>
    </w:p>
    <w:p w14:paraId="0061744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6、本合同的终止并不影响各方应有的权利和应当承担的责任。</w:t>
      </w:r>
    </w:p>
    <w:p w14:paraId="0329BF2E">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不可抗力</w:t>
      </w:r>
    </w:p>
    <w:p w14:paraId="4CB756D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w:t>
      </w:r>
      <w:r>
        <w:rPr>
          <w:rFonts w:hint="eastAsia" w:ascii="宋体" w:hAnsi="宋体" w:eastAsia="宋体" w:cs="宋体"/>
          <w:sz w:val="24"/>
          <w:szCs w:val="24"/>
          <w:highlight w:val="none"/>
          <w:lang w:val="en-US" w:eastAsia="zh-CN"/>
        </w:rPr>
        <w:t>积极采取应对措施，不可抗力事件结束后，</w:t>
      </w:r>
      <w:r>
        <w:rPr>
          <w:rFonts w:hint="eastAsia" w:ascii="宋体" w:hAnsi="宋体" w:eastAsia="宋体" w:cs="宋体"/>
          <w:sz w:val="24"/>
          <w:szCs w:val="24"/>
          <w:highlight w:val="none"/>
        </w:rPr>
        <w:t>应在5天内提供事故详情及合同不能履行，或者部分不能履行，或者需要延期履行的理由的有效证明文件。此项证明文件应由事故发生地区的公证机构出具。按照事故对履行合同的影响程度，由</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方协商决定是否解除合同，或者部分免除履行合同的责任，或者延期履行合同。</w:t>
      </w:r>
    </w:p>
    <w:p w14:paraId="4BF2F25F">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争议解决：</w:t>
      </w:r>
    </w:p>
    <w:p w14:paraId="0FCC04E3">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凡因履行本合同而引起的一切争议或与本合同有关的争议，应由</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方通过友好协商</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解决。协商不成时，</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方同意提交</w:t>
      </w:r>
      <w:r>
        <w:rPr>
          <w:rFonts w:hint="eastAsia" w:ascii="宋体" w:hAnsi="宋体" w:eastAsia="宋体" w:cs="宋体"/>
          <w:sz w:val="24"/>
          <w:szCs w:val="24"/>
          <w:highlight w:val="none"/>
          <w:u w:val="single"/>
        </w:rPr>
        <w:t>甲方</w:t>
      </w:r>
      <w:r>
        <w:rPr>
          <w:rFonts w:hint="eastAsia" w:ascii="宋体" w:hAnsi="宋体" w:eastAsia="宋体" w:cs="宋体"/>
          <w:sz w:val="24"/>
          <w:szCs w:val="24"/>
          <w:highlight w:val="none"/>
          <w:u w:val="single"/>
          <w:lang w:val="en-US" w:eastAsia="zh-CN"/>
        </w:rPr>
        <w:t>所在</w:t>
      </w:r>
      <w:r>
        <w:rPr>
          <w:rFonts w:hint="eastAsia" w:ascii="宋体" w:hAnsi="宋体" w:eastAsia="宋体" w:cs="宋体"/>
          <w:sz w:val="24"/>
          <w:szCs w:val="24"/>
          <w:highlight w:val="none"/>
          <w:u w:val="single"/>
        </w:rPr>
        <w:t>地的</w:t>
      </w:r>
      <w:r>
        <w:rPr>
          <w:rFonts w:hint="eastAsia" w:ascii="宋体" w:hAnsi="宋体" w:eastAsia="宋体" w:cs="宋体"/>
          <w:sz w:val="24"/>
          <w:szCs w:val="24"/>
          <w:highlight w:val="none"/>
          <w:u w:val="single"/>
          <w:lang w:val="en-US" w:eastAsia="zh-CN"/>
        </w:rPr>
        <w:t>广州市荔湾区</w:t>
      </w:r>
      <w:r>
        <w:rPr>
          <w:rFonts w:hint="eastAsia" w:ascii="宋体" w:hAnsi="宋体" w:eastAsia="宋体" w:cs="宋体"/>
          <w:sz w:val="24"/>
          <w:szCs w:val="24"/>
          <w:highlight w:val="none"/>
          <w:u w:val="single"/>
        </w:rPr>
        <w:t>人民法院</w:t>
      </w:r>
      <w:r>
        <w:rPr>
          <w:rFonts w:hint="eastAsia" w:ascii="宋体" w:hAnsi="宋体" w:eastAsia="宋体" w:cs="宋体"/>
          <w:sz w:val="24"/>
          <w:szCs w:val="24"/>
          <w:highlight w:val="none"/>
        </w:rPr>
        <w:t>进行诉讼。</w:t>
      </w:r>
    </w:p>
    <w:p w14:paraId="0325F01F">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税费：</w:t>
      </w:r>
    </w:p>
    <w:p w14:paraId="5DCB2EF5">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中国政府根据现行税法所征收的一切税费均由各缴税责任方独立承担。在中国境外发生的与本合同相关的一切税费及不可预见费均由乙方负担。</w:t>
      </w:r>
    </w:p>
    <w:p w14:paraId="1DF2A319">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其它：</w:t>
      </w:r>
    </w:p>
    <w:p w14:paraId="76B67F38">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本项目合同由下列文件组成，均为本合同不可分割的部分，下列文件的优先解释顺序如下：1）本合同执行期间甲、乙双方签署确认的文件（包括会议纪要、补充协议、往来信函及修正文件）；2）本采购合同；3）乙方针对本项目的各项制度和规定（包括在本合同签订后的各类新出台的制度和规定）；4）成交通知书；5）采购文件及答疑补遗文件（含采购文件澄清或修正内容、答疑会议纪要等）；6）响应文件及其相关承诺附件（含响应文件澄清）；7）标准、规范及有关技术文件；8）组成合同的其他文件。</w:t>
      </w:r>
    </w:p>
    <w:p w14:paraId="63C5804C">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如乙方在《响应文件》及其相关承诺附件中作出有比采购文件及答疑补遗文件和本合同更有利于甲方的响应（该是否有利于甲方的解释权双方同意最终归甲方所有），则乙方响应文件及其相关承诺附件中更有利于甲方的相关条款内容的解释顺序优于采购文件及答疑补遗文件和本合同，乙方须按这些响应承诺履行。</w:t>
      </w:r>
    </w:p>
    <w:p w14:paraId="12C7AD37">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所有经双方签署确认的文件（包括会议纪要、补充协议、变更协议等）、采购文件、响应文件和响应承诺文件、合同附件及《成交通知书》均为本合同不可分割的有效组成部分，与本合同具有同等的法律效力和履约义务，其缔约生效日期为有效签署或盖章确认之日期。</w:t>
      </w:r>
    </w:p>
    <w:p w14:paraId="4EEC8F01">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乙方在合同服务期内，自费办理派驻到项目所在地人员人身和自备财产的有关保险，保险时间应随服务时间的延长而顺延，并在出险后自行办理索赔。如果乙方不办理上述保险，则应对有关风险及后果自负其责。</w:t>
      </w:r>
    </w:p>
    <w:p w14:paraId="4DFB458D">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4、乙方向甲方提出赔偿要求不能成立时，乙方应当补偿由于该索赔所导致甲方的各种费用支出，包含但不限于差旅费、诉讼费、保全费、律师费及其他因此产生的费用。</w:t>
      </w:r>
    </w:p>
    <w:p w14:paraId="45E1DCDD">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5、未经</w:t>
      </w:r>
      <w:r>
        <w:rPr>
          <w:rFonts w:hint="eastAsia" w:ascii="宋体" w:hAnsi="宋体" w:eastAsia="宋体" w:cs="宋体"/>
          <w:sz w:val="24"/>
          <w:szCs w:val="24"/>
          <w:highlight w:val="none"/>
          <w:lang w:val="en-US" w:eastAsia="zh-CN"/>
        </w:rPr>
        <w:t>甲</w:t>
      </w:r>
      <w:r>
        <w:rPr>
          <w:rFonts w:hint="eastAsia" w:ascii="宋体" w:hAnsi="宋体" w:eastAsia="宋体" w:cs="宋体"/>
          <w:sz w:val="24"/>
          <w:szCs w:val="24"/>
          <w:highlight w:val="none"/>
        </w:rPr>
        <w:t>方的书面同意，乙方不得转让本合同约定的权利和义务。</w:t>
      </w:r>
    </w:p>
    <w:p w14:paraId="0FCC74CA">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各方都应保护对签署和履行本合同而取得的所有任何有关对方的非公开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14:paraId="7F4B4439">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7、各方应保证向对方提供的资料和数据不侵犯第三方的知识产权或其他权利，因一方提供的资料虚假、错误或侵犯第三方权利而造成误工、赔偿等损失（包括律师费）的，应当给予充分有效的赔偿。</w:t>
      </w:r>
    </w:p>
    <w:p w14:paraId="1D4223B4">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8、本合同未尽事宜，合同各方另行商定，必要时</w:t>
      </w:r>
      <w:r>
        <w:rPr>
          <w:rFonts w:hint="eastAsia" w:ascii="宋体" w:hAnsi="宋体" w:cs="宋体"/>
          <w:sz w:val="24"/>
          <w:szCs w:val="24"/>
          <w:highlight w:val="none"/>
          <w:lang w:val="en-US" w:eastAsia="zh-CN"/>
        </w:rPr>
        <w:t>签订</w:t>
      </w:r>
      <w:r>
        <w:rPr>
          <w:rFonts w:hint="eastAsia" w:ascii="宋体" w:hAnsi="宋体" w:eastAsia="宋体" w:cs="宋体"/>
          <w:sz w:val="24"/>
          <w:szCs w:val="24"/>
          <w:highlight w:val="none"/>
        </w:rPr>
        <w:t>补充合同协议。补充协议经合同各方签字盖章后作为本合同补充文件。</w:t>
      </w:r>
    </w:p>
    <w:p w14:paraId="1BC253D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本合同自</w:t>
      </w:r>
      <w:r>
        <w:rPr>
          <w:rFonts w:hint="eastAsia" w:ascii="宋体" w:hAnsi="宋体" w:eastAsia="宋体" w:cs="宋体"/>
          <w:sz w:val="24"/>
          <w:szCs w:val="24"/>
          <w:highlight w:val="none"/>
        </w:rPr>
        <w:t>甲、乙双方法定代表人或授权代表签字并加盖单位的公章后生效。</w:t>
      </w:r>
    </w:p>
    <w:p w14:paraId="199B92A3">
      <w:pPr>
        <w:tabs>
          <w:tab w:val="left" w:pos="900"/>
          <w:tab w:val="left" w:pos="1080"/>
        </w:tabs>
        <w:spacing w:line="360" w:lineRule="auto"/>
        <w:ind w:firstLine="480"/>
        <w:rPr>
          <w:rFonts w:ascii="宋体" w:hAnsi="宋体" w:eastAsia="宋体" w:cs="宋体"/>
          <w:highlight w:val="none"/>
        </w:rPr>
      </w:pPr>
      <w:r>
        <w:rPr>
          <w:rFonts w:hint="eastAsia" w:ascii="宋体" w:hAnsi="宋体" w:eastAsia="宋体" w:cs="宋体"/>
          <w:sz w:val="24"/>
          <w:szCs w:val="24"/>
          <w:highlight w:val="none"/>
        </w:rPr>
        <w:t>10、本合同壹式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ascii="宋体" w:hAnsi="宋体" w:eastAsia="宋体" w:cs="宋体"/>
          <w:highlight w:val="none"/>
        </w:rPr>
        <w:t>乙方执</w:t>
      </w:r>
      <w:r>
        <w:rPr>
          <w:rFonts w:ascii="宋体" w:hAnsi="宋体" w:eastAsia="宋体" w:cs="宋体"/>
          <w:highlight w:val="none"/>
          <w:u w:val="single"/>
        </w:rPr>
        <w:t xml:space="preserve">   </w:t>
      </w:r>
      <w:r>
        <w:rPr>
          <w:rFonts w:ascii="宋体" w:hAnsi="宋体" w:eastAsia="宋体" w:cs="宋体"/>
          <w:highlight w:val="none"/>
        </w:rPr>
        <w:t>份，见证单位执</w:t>
      </w:r>
      <w:r>
        <w:rPr>
          <w:rFonts w:ascii="宋体" w:hAnsi="宋体" w:eastAsia="宋体" w:cs="宋体"/>
          <w:highlight w:val="none"/>
          <w:u w:val="single"/>
        </w:rPr>
        <w:t xml:space="preserve"> 贰 </w:t>
      </w:r>
      <w:r>
        <w:rPr>
          <w:rFonts w:ascii="宋体" w:hAnsi="宋体" w:eastAsia="宋体" w:cs="宋体"/>
          <w:highlight w:val="none"/>
        </w:rPr>
        <w:t>份</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具有同等法律效力</w:t>
      </w:r>
      <w:r>
        <w:rPr>
          <w:rFonts w:ascii="宋体" w:hAnsi="宋体" w:eastAsia="宋体" w:cs="宋体"/>
          <w:highlight w:val="none"/>
        </w:rPr>
        <w:t>。</w:t>
      </w:r>
    </w:p>
    <w:p w14:paraId="10DCA1A5">
      <w:pPr>
        <w:tabs>
          <w:tab w:val="left" w:pos="900"/>
          <w:tab w:val="left" w:pos="1080"/>
        </w:tabs>
        <w:spacing w:line="360" w:lineRule="auto"/>
        <w:jc w:val="center"/>
        <w:rPr>
          <w:rFonts w:ascii="宋体" w:hAnsi="宋体" w:eastAsia="宋体" w:cs="宋体"/>
          <w:b/>
          <w:highlight w:val="none"/>
        </w:rPr>
      </w:pPr>
      <w:r>
        <w:rPr>
          <w:rFonts w:ascii="宋体" w:hAnsi="宋体" w:eastAsia="宋体" w:cs="宋体"/>
          <w:b/>
          <w:highlight w:val="none"/>
        </w:rPr>
        <w:t>（以下无正文）</w:t>
      </w:r>
    </w:p>
    <w:p w14:paraId="6149F093">
      <w:pPr>
        <w:rPr>
          <w:rFonts w:ascii="宋体" w:hAnsi="宋体" w:eastAsia="宋体" w:cs="宋体"/>
          <w:b/>
          <w:highlight w:val="none"/>
        </w:rPr>
      </w:pPr>
    </w:p>
    <w:p w14:paraId="2FBC6203">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甲方：</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乙方：</w:t>
      </w:r>
    </w:p>
    <w:p w14:paraId="7B2EF6E0">
      <w:pPr>
        <w:ind w:firstLine="720" w:firstLineChars="30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14:paraId="02E49C45">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（盖章）                           （盖章）               </w:t>
      </w:r>
    </w:p>
    <w:p w14:paraId="2839DCCE">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代表：                              代表：</w:t>
      </w:r>
    </w:p>
    <w:p w14:paraId="1BDC2339">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地址： </w:t>
      </w:r>
      <w:r>
        <w:rPr>
          <w:rFonts w:hint="eastAsia" w:ascii="宋体" w:hAnsi="宋体" w:eastAsia="宋体" w:cs="Times New Roman"/>
          <w:color w:val="auto"/>
          <w:sz w:val="24"/>
          <w:szCs w:val="24"/>
          <w:lang w:val="en-US" w:eastAsia="zh-CN"/>
        </w:rPr>
        <w:t xml:space="preserve">    </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 xml:space="preserve">地址：         </w:t>
      </w:r>
    </w:p>
    <w:p w14:paraId="7179027C">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电话：             </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电话：</w:t>
      </w:r>
    </w:p>
    <w:p w14:paraId="7FE97E0E">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传真：             </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传真：</w:t>
      </w:r>
    </w:p>
    <w:p w14:paraId="1A917556">
      <w:pPr>
        <w:spacing w:line="360" w:lineRule="auto"/>
        <w:rPr>
          <w:rFonts w:hint="eastAsia"/>
        </w:rPr>
      </w:pPr>
      <w:r>
        <w:rPr>
          <w:rFonts w:hint="eastAsia" w:ascii="宋体" w:hAnsi="宋体" w:eastAsia="宋体" w:cs="Times New Roman"/>
          <w:color w:val="auto"/>
          <w:sz w:val="24"/>
          <w:szCs w:val="24"/>
        </w:rPr>
        <w:t>签约时间：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月</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日</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签约时间：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月</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6D1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6A5B55">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F6A5B55">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18C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9CBB">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CFAE">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C83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AF6FF"/>
    <w:multiLevelType w:val="singleLevel"/>
    <w:tmpl w:val="D3DAF6FF"/>
    <w:lvl w:ilvl="0" w:tentative="0">
      <w:start w:val="3"/>
      <w:numFmt w:val="chineseCounting"/>
      <w:suff w:val="nothing"/>
      <w:lvlText w:val="%1、"/>
      <w:lvlJc w:val="left"/>
      <w:rPr>
        <w:rFonts w:hint="eastAsia"/>
      </w:rPr>
    </w:lvl>
  </w:abstractNum>
  <w:abstractNum w:abstractNumId="1">
    <w:nsid w:val="D4897E4C"/>
    <w:multiLevelType w:val="singleLevel"/>
    <w:tmpl w:val="D4897E4C"/>
    <w:lvl w:ilvl="0" w:tentative="0">
      <w:start w:val="4"/>
      <w:numFmt w:val="chineseCounting"/>
      <w:suff w:val="space"/>
      <w:lvlText w:val="第%1章"/>
      <w:lvlJc w:val="left"/>
      <w:rPr>
        <w:rFonts w:hint="eastAsia"/>
      </w:rPr>
    </w:lvl>
  </w:abstractNum>
  <w:abstractNum w:abstractNumId="2">
    <w:nsid w:val="E2505A70"/>
    <w:multiLevelType w:val="singleLevel"/>
    <w:tmpl w:val="E2505A70"/>
    <w:lvl w:ilvl="0" w:tentative="0">
      <w:start w:val="1"/>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zExZGY3Yzg4MzNkOTM5ZWY0ZjUyZTZiYjNhNWIifQ=="/>
  </w:docVars>
  <w:rsids>
    <w:rsidRoot w:val="00172A27"/>
    <w:rsid w:val="00064BAE"/>
    <w:rsid w:val="000723FF"/>
    <w:rsid w:val="000B0642"/>
    <w:rsid w:val="000B1177"/>
    <w:rsid w:val="000C3E23"/>
    <w:rsid w:val="000C7519"/>
    <w:rsid w:val="000E3370"/>
    <w:rsid w:val="001577CE"/>
    <w:rsid w:val="00172A27"/>
    <w:rsid w:val="00185ACE"/>
    <w:rsid w:val="001C5FE2"/>
    <w:rsid w:val="001F352F"/>
    <w:rsid w:val="001F3F1C"/>
    <w:rsid w:val="00213748"/>
    <w:rsid w:val="00231F1F"/>
    <w:rsid w:val="00252722"/>
    <w:rsid w:val="002964C8"/>
    <w:rsid w:val="002C1FC5"/>
    <w:rsid w:val="002E40BD"/>
    <w:rsid w:val="002E6413"/>
    <w:rsid w:val="00321A09"/>
    <w:rsid w:val="003B0BDF"/>
    <w:rsid w:val="003D0DCB"/>
    <w:rsid w:val="00404970"/>
    <w:rsid w:val="0040601E"/>
    <w:rsid w:val="00457EC3"/>
    <w:rsid w:val="00470C99"/>
    <w:rsid w:val="004A14CA"/>
    <w:rsid w:val="004B2B1C"/>
    <w:rsid w:val="004E7075"/>
    <w:rsid w:val="00525992"/>
    <w:rsid w:val="00542F02"/>
    <w:rsid w:val="005B56BC"/>
    <w:rsid w:val="005D10F6"/>
    <w:rsid w:val="005D39AE"/>
    <w:rsid w:val="00621345"/>
    <w:rsid w:val="00621B2C"/>
    <w:rsid w:val="00635551"/>
    <w:rsid w:val="00663E8B"/>
    <w:rsid w:val="006B0B24"/>
    <w:rsid w:val="006F0C76"/>
    <w:rsid w:val="006F4F24"/>
    <w:rsid w:val="007025C0"/>
    <w:rsid w:val="00710C16"/>
    <w:rsid w:val="00712F0B"/>
    <w:rsid w:val="00750DC3"/>
    <w:rsid w:val="007674F3"/>
    <w:rsid w:val="00801EA4"/>
    <w:rsid w:val="00871601"/>
    <w:rsid w:val="00954EE1"/>
    <w:rsid w:val="00981477"/>
    <w:rsid w:val="009949C2"/>
    <w:rsid w:val="009B49CB"/>
    <w:rsid w:val="009D24D2"/>
    <w:rsid w:val="00A6071C"/>
    <w:rsid w:val="00A60EE1"/>
    <w:rsid w:val="00A67106"/>
    <w:rsid w:val="00AD10E6"/>
    <w:rsid w:val="00B01822"/>
    <w:rsid w:val="00B0192C"/>
    <w:rsid w:val="00B07837"/>
    <w:rsid w:val="00B12FBE"/>
    <w:rsid w:val="00B722FD"/>
    <w:rsid w:val="00B968E9"/>
    <w:rsid w:val="00BA02B6"/>
    <w:rsid w:val="00BB12A7"/>
    <w:rsid w:val="00BB7E21"/>
    <w:rsid w:val="00C22D78"/>
    <w:rsid w:val="00C35B93"/>
    <w:rsid w:val="00CA6F06"/>
    <w:rsid w:val="00D10FF2"/>
    <w:rsid w:val="00DB1902"/>
    <w:rsid w:val="00DC5FBA"/>
    <w:rsid w:val="00E3430F"/>
    <w:rsid w:val="00E54DB0"/>
    <w:rsid w:val="00E86317"/>
    <w:rsid w:val="00EA69F9"/>
    <w:rsid w:val="00ED5F33"/>
    <w:rsid w:val="00F04C02"/>
    <w:rsid w:val="00F460CA"/>
    <w:rsid w:val="00F50F44"/>
    <w:rsid w:val="00F56A54"/>
    <w:rsid w:val="00F62EE2"/>
    <w:rsid w:val="00F7043D"/>
    <w:rsid w:val="00F94126"/>
    <w:rsid w:val="00FE54E5"/>
    <w:rsid w:val="0177746A"/>
    <w:rsid w:val="01884F87"/>
    <w:rsid w:val="01965A8B"/>
    <w:rsid w:val="01F561BC"/>
    <w:rsid w:val="0233485E"/>
    <w:rsid w:val="023377E9"/>
    <w:rsid w:val="027E2B86"/>
    <w:rsid w:val="027F6AB2"/>
    <w:rsid w:val="02BC1AB4"/>
    <w:rsid w:val="02CB1CF7"/>
    <w:rsid w:val="02D237A3"/>
    <w:rsid w:val="03192A39"/>
    <w:rsid w:val="03290802"/>
    <w:rsid w:val="0341757C"/>
    <w:rsid w:val="036D6C12"/>
    <w:rsid w:val="037440AA"/>
    <w:rsid w:val="03882AA3"/>
    <w:rsid w:val="0390784E"/>
    <w:rsid w:val="03A1581A"/>
    <w:rsid w:val="03C055D4"/>
    <w:rsid w:val="03C261E6"/>
    <w:rsid w:val="03D654A6"/>
    <w:rsid w:val="03EC461B"/>
    <w:rsid w:val="0482288A"/>
    <w:rsid w:val="049E6A7D"/>
    <w:rsid w:val="04A50001"/>
    <w:rsid w:val="04A84C0B"/>
    <w:rsid w:val="04AE6573"/>
    <w:rsid w:val="04C759C7"/>
    <w:rsid w:val="053F68BD"/>
    <w:rsid w:val="054B487F"/>
    <w:rsid w:val="05882122"/>
    <w:rsid w:val="0592795F"/>
    <w:rsid w:val="05E07FDD"/>
    <w:rsid w:val="06152415"/>
    <w:rsid w:val="06163264"/>
    <w:rsid w:val="062D7134"/>
    <w:rsid w:val="064E6B4B"/>
    <w:rsid w:val="06516E6C"/>
    <w:rsid w:val="06720B91"/>
    <w:rsid w:val="06737CC6"/>
    <w:rsid w:val="06952D48"/>
    <w:rsid w:val="06DE006E"/>
    <w:rsid w:val="06DF0534"/>
    <w:rsid w:val="06F17B69"/>
    <w:rsid w:val="06F61340"/>
    <w:rsid w:val="07097B70"/>
    <w:rsid w:val="070D0FF5"/>
    <w:rsid w:val="07217064"/>
    <w:rsid w:val="07371E8C"/>
    <w:rsid w:val="076C2E08"/>
    <w:rsid w:val="079F5D35"/>
    <w:rsid w:val="07AB66B1"/>
    <w:rsid w:val="07B11DED"/>
    <w:rsid w:val="07CD3F90"/>
    <w:rsid w:val="0814603A"/>
    <w:rsid w:val="08187DF2"/>
    <w:rsid w:val="08341C7A"/>
    <w:rsid w:val="083C0BBE"/>
    <w:rsid w:val="08577723"/>
    <w:rsid w:val="085A7CA4"/>
    <w:rsid w:val="086C5949"/>
    <w:rsid w:val="08773604"/>
    <w:rsid w:val="08A2050D"/>
    <w:rsid w:val="08EE20B5"/>
    <w:rsid w:val="08FC1BD4"/>
    <w:rsid w:val="09106A69"/>
    <w:rsid w:val="091E278D"/>
    <w:rsid w:val="09354765"/>
    <w:rsid w:val="0955211A"/>
    <w:rsid w:val="09613968"/>
    <w:rsid w:val="09727E00"/>
    <w:rsid w:val="09A963A8"/>
    <w:rsid w:val="09BA4874"/>
    <w:rsid w:val="09BC2F70"/>
    <w:rsid w:val="09DA6CC4"/>
    <w:rsid w:val="09F96CEC"/>
    <w:rsid w:val="0A0F2F94"/>
    <w:rsid w:val="0A742C74"/>
    <w:rsid w:val="0A9E1164"/>
    <w:rsid w:val="0AA41140"/>
    <w:rsid w:val="0AD83FE5"/>
    <w:rsid w:val="0ADC3C6A"/>
    <w:rsid w:val="0AE86F0B"/>
    <w:rsid w:val="0AFB1E33"/>
    <w:rsid w:val="0B0E2AA9"/>
    <w:rsid w:val="0B506029"/>
    <w:rsid w:val="0B8B40BA"/>
    <w:rsid w:val="0BA85AEE"/>
    <w:rsid w:val="0C1666D9"/>
    <w:rsid w:val="0C5E2336"/>
    <w:rsid w:val="0C65182D"/>
    <w:rsid w:val="0C6832D1"/>
    <w:rsid w:val="0C685E74"/>
    <w:rsid w:val="0CAE75F4"/>
    <w:rsid w:val="0CAF31AE"/>
    <w:rsid w:val="0CB33F28"/>
    <w:rsid w:val="0CDD27BA"/>
    <w:rsid w:val="0D2F5197"/>
    <w:rsid w:val="0D4E0A83"/>
    <w:rsid w:val="0DC44636"/>
    <w:rsid w:val="0DC813E7"/>
    <w:rsid w:val="0DE16A29"/>
    <w:rsid w:val="0DEF0C72"/>
    <w:rsid w:val="0E016558"/>
    <w:rsid w:val="0E5510C6"/>
    <w:rsid w:val="0E7B30FD"/>
    <w:rsid w:val="0E80608C"/>
    <w:rsid w:val="0E9329A7"/>
    <w:rsid w:val="0EC87A33"/>
    <w:rsid w:val="0EDD3173"/>
    <w:rsid w:val="0EE369B8"/>
    <w:rsid w:val="0EE54141"/>
    <w:rsid w:val="0F2C6214"/>
    <w:rsid w:val="0F693777"/>
    <w:rsid w:val="0F82096D"/>
    <w:rsid w:val="0F911D11"/>
    <w:rsid w:val="0FAA3AF3"/>
    <w:rsid w:val="0FC50DE1"/>
    <w:rsid w:val="0FD513FF"/>
    <w:rsid w:val="103A0042"/>
    <w:rsid w:val="10572E1C"/>
    <w:rsid w:val="10610ACC"/>
    <w:rsid w:val="108C69C6"/>
    <w:rsid w:val="10D302F6"/>
    <w:rsid w:val="10EC35AD"/>
    <w:rsid w:val="10EF3A87"/>
    <w:rsid w:val="110209FB"/>
    <w:rsid w:val="110A60E1"/>
    <w:rsid w:val="11142FE9"/>
    <w:rsid w:val="111634FE"/>
    <w:rsid w:val="111C3579"/>
    <w:rsid w:val="111E1B8C"/>
    <w:rsid w:val="11237BB4"/>
    <w:rsid w:val="1141667B"/>
    <w:rsid w:val="117E5AE4"/>
    <w:rsid w:val="11A11042"/>
    <w:rsid w:val="11A42091"/>
    <w:rsid w:val="11BF5650"/>
    <w:rsid w:val="11DB1FD4"/>
    <w:rsid w:val="11FE19D0"/>
    <w:rsid w:val="122C75E1"/>
    <w:rsid w:val="123C7D9C"/>
    <w:rsid w:val="12517511"/>
    <w:rsid w:val="12560705"/>
    <w:rsid w:val="12BC52C9"/>
    <w:rsid w:val="12CB18A0"/>
    <w:rsid w:val="12DB5F87"/>
    <w:rsid w:val="12F16D53"/>
    <w:rsid w:val="131B298A"/>
    <w:rsid w:val="1320443E"/>
    <w:rsid w:val="13340C46"/>
    <w:rsid w:val="1335019A"/>
    <w:rsid w:val="133F0EF1"/>
    <w:rsid w:val="134941FE"/>
    <w:rsid w:val="1366046D"/>
    <w:rsid w:val="13CE5AEB"/>
    <w:rsid w:val="13D16FB1"/>
    <w:rsid w:val="13E9328B"/>
    <w:rsid w:val="14182E24"/>
    <w:rsid w:val="14887FE3"/>
    <w:rsid w:val="148C5AC6"/>
    <w:rsid w:val="14A30806"/>
    <w:rsid w:val="14B037BD"/>
    <w:rsid w:val="14BF2ED0"/>
    <w:rsid w:val="15311E8E"/>
    <w:rsid w:val="154C7EEC"/>
    <w:rsid w:val="1569344C"/>
    <w:rsid w:val="157C5E3E"/>
    <w:rsid w:val="15976302"/>
    <w:rsid w:val="15B4486D"/>
    <w:rsid w:val="15B92161"/>
    <w:rsid w:val="15E1505E"/>
    <w:rsid w:val="15FB2D46"/>
    <w:rsid w:val="160C7694"/>
    <w:rsid w:val="16117F08"/>
    <w:rsid w:val="163A1FED"/>
    <w:rsid w:val="16485F62"/>
    <w:rsid w:val="165648F1"/>
    <w:rsid w:val="168F4517"/>
    <w:rsid w:val="169173CC"/>
    <w:rsid w:val="169326D4"/>
    <w:rsid w:val="16956B84"/>
    <w:rsid w:val="169D45AA"/>
    <w:rsid w:val="16CD17DC"/>
    <w:rsid w:val="16EC57A8"/>
    <w:rsid w:val="16FA2753"/>
    <w:rsid w:val="17171557"/>
    <w:rsid w:val="17250E52"/>
    <w:rsid w:val="174F7FEF"/>
    <w:rsid w:val="1783279A"/>
    <w:rsid w:val="17C36FE9"/>
    <w:rsid w:val="17CB3FEA"/>
    <w:rsid w:val="17CF44CE"/>
    <w:rsid w:val="17D5247A"/>
    <w:rsid w:val="17F93839"/>
    <w:rsid w:val="18034B0E"/>
    <w:rsid w:val="180D1D8C"/>
    <w:rsid w:val="189A116C"/>
    <w:rsid w:val="18B360E5"/>
    <w:rsid w:val="19034A2C"/>
    <w:rsid w:val="191C0765"/>
    <w:rsid w:val="19456404"/>
    <w:rsid w:val="19633A52"/>
    <w:rsid w:val="1977386D"/>
    <w:rsid w:val="197B44D3"/>
    <w:rsid w:val="19815D01"/>
    <w:rsid w:val="1989241B"/>
    <w:rsid w:val="19D7018C"/>
    <w:rsid w:val="19E82D37"/>
    <w:rsid w:val="19F9359A"/>
    <w:rsid w:val="1A032ABF"/>
    <w:rsid w:val="1A564CD9"/>
    <w:rsid w:val="1A586D24"/>
    <w:rsid w:val="1A671D89"/>
    <w:rsid w:val="1A8C768C"/>
    <w:rsid w:val="1ABB326B"/>
    <w:rsid w:val="1ADC6D40"/>
    <w:rsid w:val="1AEF2CD4"/>
    <w:rsid w:val="1AFE70F0"/>
    <w:rsid w:val="1B134065"/>
    <w:rsid w:val="1B366823"/>
    <w:rsid w:val="1B3C68E0"/>
    <w:rsid w:val="1B593640"/>
    <w:rsid w:val="1B6E5E95"/>
    <w:rsid w:val="1B9B5053"/>
    <w:rsid w:val="1BAA0D9D"/>
    <w:rsid w:val="1BAB04C0"/>
    <w:rsid w:val="1BB60E84"/>
    <w:rsid w:val="1BB625A0"/>
    <w:rsid w:val="1BC93522"/>
    <w:rsid w:val="1BD0657E"/>
    <w:rsid w:val="1BD742B3"/>
    <w:rsid w:val="1C0C0F5F"/>
    <w:rsid w:val="1C626DD1"/>
    <w:rsid w:val="1CF33ECD"/>
    <w:rsid w:val="1D216C8C"/>
    <w:rsid w:val="1D4848AB"/>
    <w:rsid w:val="1D4D5BBF"/>
    <w:rsid w:val="1D681F7F"/>
    <w:rsid w:val="1DB05195"/>
    <w:rsid w:val="1DE736DB"/>
    <w:rsid w:val="1E291981"/>
    <w:rsid w:val="1E384085"/>
    <w:rsid w:val="1EC94C27"/>
    <w:rsid w:val="1EF7217F"/>
    <w:rsid w:val="1F2250E8"/>
    <w:rsid w:val="1F677495"/>
    <w:rsid w:val="1F705CA9"/>
    <w:rsid w:val="1FE4426C"/>
    <w:rsid w:val="200D799B"/>
    <w:rsid w:val="20142AD8"/>
    <w:rsid w:val="203F5C44"/>
    <w:rsid w:val="20851E1E"/>
    <w:rsid w:val="208F03B0"/>
    <w:rsid w:val="209064BF"/>
    <w:rsid w:val="20F078C1"/>
    <w:rsid w:val="214546D5"/>
    <w:rsid w:val="21461CA4"/>
    <w:rsid w:val="2156309B"/>
    <w:rsid w:val="219815A4"/>
    <w:rsid w:val="21C91DAE"/>
    <w:rsid w:val="21E33C49"/>
    <w:rsid w:val="22250889"/>
    <w:rsid w:val="222A0391"/>
    <w:rsid w:val="2241392C"/>
    <w:rsid w:val="224A320D"/>
    <w:rsid w:val="226A7290"/>
    <w:rsid w:val="227D3638"/>
    <w:rsid w:val="22A34CD4"/>
    <w:rsid w:val="22F96E30"/>
    <w:rsid w:val="237C1C3C"/>
    <w:rsid w:val="23847F75"/>
    <w:rsid w:val="23C230FB"/>
    <w:rsid w:val="24366168"/>
    <w:rsid w:val="245506BD"/>
    <w:rsid w:val="2455551C"/>
    <w:rsid w:val="25150AD2"/>
    <w:rsid w:val="25436F25"/>
    <w:rsid w:val="25A36DFE"/>
    <w:rsid w:val="25D0411E"/>
    <w:rsid w:val="262C15E6"/>
    <w:rsid w:val="26693DF4"/>
    <w:rsid w:val="26695200"/>
    <w:rsid w:val="267A5FE7"/>
    <w:rsid w:val="270950B3"/>
    <w:rsid w:val="27292E6F"/>
    <w:rsid w:val="272C4A53"/>
    <w:rsid w:val="273962E4"/>
    <w:rsid w:val="27725EA6"/>
    <w:rsid w:val="27982240"/>
    <w:rsid w:val="279A6BB4"/>
    <w:rsid w:val="279F1BA2"/>
    <w:rsid w:val="27B0612E"/>
    <w:rsid w:val="27B3185E"/>
    <w:rsid w:val="280F7AA8"/>
    <w:rsid w:val="28101807"/>
    <w:rsid w:val="283F26BC"/>
    <w:rsid w:val="285558FF"/>
    <w:rsid w:val="285D0AB8"/>
    <w:rsid w:val="28655846"/>
    <w:rsid w:val="28836D95"/>
    <w:rsid w:val="291D4CD1"/>
    <w:rsid w:val="29267B99"/>
    <w:rsid w:val="295977AD"/>
    <w:rsid w:val="29963CBE"/>
    <w:rsid w:val="299C1605"/>
    <w:rsid w:val="29A52D33"/>
    <w:rsid w:val="29C43104"/>
    <w:rsid w:val="29D240FF"/>
    <w:rsid w:val="29D71CDA"/>
    <w:rsid w:val="29F54404"/>
    <w:rsid w:val="29FD638B"/>
    <w:rsid w:val="2A102612"/>
    <w:rsid w:val="2A1262DA"/>
    <w:rsid w:val="2A181417"/>
    <w:rsid w:val="2A1D59B7"/>
    <w:rsid w:val="2A561070"/>
    <w:rsid w:val="2A975ABC"/>
    <w:rsid w:val="2A9C08EC"/>
    <w:rsid w:val="2AB21382"/>
    <w:rsid w:val="2AB64A4A"/>
    <w:rsid w:val="2AEB2604"/>
    <w:rsid w:val="2B3D713B"/>
    <w:rsid w:val="2B540048"/>
    <w:rsid w:val="2B5554F0"/>
    <w:rsid w:val="2BD27692"/>
    <w:rsid w:val="2BD30635"/>
    <w:rsid w:val="2BEE0D62"/>
    <w:rsid w:val="2C1644EE"/>
    <w:rsid w:val="2C251BC9"/>
    <w:rsid w:val="2C5A152D"/>
    <w:rsid w:val="2CAE2003"/>
    <w:rsid w:val="2CB21A82"/>
    <w:rsid w:val="2CDC277E"/>
    <w:rsid w:val="2CED0939"/>
    <w:rsid w:val="2CF06451"/>
    <w:rsid w:val="2CF23D41"/>
    <w:rsid w:val="2CF86FCF"/>
    <w:rsid w:val="2D731F36"/>
    <w:rsid w:val="2D80355B"/>
    <w:rsid w:val="2D9563AE"/>
    <w:rsid w:val="2D9B7D50"/>
    <w:rsid w:val="2DE476F5"/>
    <w:rsid w:val="2DED665C"/>
    <w:rsid w:val="2DED6AD0"/>
    <w:rsid w:val="2DFD2898"/>
    <w:rsid w:val="2E133BBE"/>
    <w:rsid w:val="2E51599C"/>
    <w:rsid w:val="2E693335"/>
    <w:rsid w:val="2E7E3003"/>
    <w:rsid w:val="2E9B4011"/>
    <w:rsid w:val="2E9C43C4"/>
    <w:rsid w:val="2EA15E7F"/>
    <w:rsid w:val="2EC14CF7"/>
    <w:rsid w:val="2F1B5356"/>
    <w:rsid w:val="2F1F0080"/>
    <w:rsid w:val="2F20527D"/>
    <w:rsid w:val="2F48116D"/>
    <w:rsid w:val="2FA314E7"/>
    <w:rsid w:val="2FDA602D"/>
    <w:rsid w:val="2FE30722"/>
    <w:rsid w:val="2FFE6828"/>
    <w:rsid w:val="300D062A"/>
    <w:rsid w:val="304B5B4F"/>
    <w:rsid w:val="305D7B83"/>
    <w:rsid w:val="30755B6D"/>
    <w:rsid w:val="307A24E3"/>
    <w:rsid w:val="30C916BD"/>
    <w:rsid w:val="30ED7060"/>
    <w:rsid w:val="30FF6FC5"/>
    <w:rsid w:val="3117436B"/>
    <w:rsid w:val="313A1C7B"/>
    <w:rsid w:val="314338A0"/>
    <w:rsid w:val="31576E76"/>
    <w:rsid w:val="31C04AE1"/>
    <w:rsid w:val="31C37EBA"/>
    <w:rsid w:val="31CD53A0"/>
    <w:rsid w:val="31E63BA8"/>
    <w:rsid w:val="321721E3"/>
    <w:rsid w:val="323E5D53"/>
    <w:rsid w:val="327C0DB5"/>
    <w:rsid w:val="32FD2C50"/>
    <w:rsid w:val="32FF2430"/>
    <w:rsid w:val="332B1FFF"/>
    <w:rsid w:val="335C6818"/>
    <w:rsid w:val="33741E73"/>
    <w:rsid w:val="33C3797D"/>
    <w:rsid w:val="33CA3782"/>
    <w:rsid w:val="33FC0C83"/>
    <w:rsid w:val="340A48D2"/>
    <w:rsid w:val="342A12F0"/>
    <w:rsid w:val="34621962"/>
    <w:rsid w:val="346E4FEA"/>
    <w:rsid w:val="347462F7"/>
    <w:rsid w:val="34750C80"/>
    <w:rsid w:val="34903C42"/>
    <w:rsid w:val="3499449E"/>
    <w:rsid w:val="349A7B65"/>
    <w:rsid w:val="349B58E9"/>
    <w:rsid w:val="34A83397"/>
    <w:rsid w:val="34B942E8"/>
    <w:rsid w:val="34C2798A"/>
    <w:rsid w:val="34DD1293"/>
    <w:rsid w:val="34F03210"/>
    <w:rsid w:val="356A50D7"/>
    <w:rsid w:val="357A4C49"/>
    <w:rsid w:val="357E2A76"/>
    <w:rsid w:val="35B02AE6"/>
    <w:rsid w:val="35BB233A"/>
    <w:rsid w:val="35CA7714"/>
    <w:rsid w:val="35CD7D39"/>
    <w:rsid w:val="35F53FC7"/>
    <w:rsid w:val="3621259A"/>
    <w:rsid w:val="36276251"/>
    <w:rsid w:val="36345EEA"/>
    <w:rsid w:val="3765072F"/>
    <w:rsid w:val="37663E6F"/>
    <w:rsid w:val="37834718"/>
    <w:rsid w:val="379C2911"/>
    <w:rsid w:val="37BA0329"/>
    <w:rsid w:val="37C526AA"/>
    <w:rsid w:val="382B1649"/>
    <w:rsid w:val="383733B0"/>
    <w:rsid w:val="3894435E"/>
    <w:rsid w:val="38D24378"/>
    <w:rsid w:val="38F3513F"/>
    <w:rsid w:val="39047736"/>
    <w:rsid w:val="397D00DA"/>
    <w:rsid w:val="3A1B1BB9"/>
    <w:rsid w:val="3A23459E"/>
    <w:rsid w:val="3A644E17"/>
    <w:rsid w:val="3A6B7791"/>
    <w:rsid w:val="3A82463C"/>
    <w:rsid w:val="3A954F38"/>
    <w:rsid w:val="3ABD4426"/>
    <w:rsid w:val="3AEE65BD"/>
    <w:rsid w:val="3AF71440"/>
    <w:rsid w:val="3AFB06C4"/>
    <w:rsid w:val="3B320B7F"/>
    <w:rsid w:val="3B4501F9"/>
    <w:rsid w:val="3B6224F2"/>
    <w:rsid w:val="3B707977"/>
    <w:rsid w:val="3B766F88"/>
    <w:rsid w:val="3BAE686A"/>
    <w:rsid w:val="3BD00035"/>
    <w:rsid w:val="3BDB37FA"/>
    <w:rsid w:val="3C466148"/>
    <w:rsid w:val="3C636521"/>
    <w:rsid w:val="3C762E6C"/>
    <w:rsid w:val="3C990195"/>
    <w:rsid w:val="3C9B232D"/>
    <w:rsid w:val="3CB74DA0"/>
    <w:rsid w:val="3CFC47A5"/>
    <w:rsid w:val="3D3679ED"/>
    <w:rsid w:val="3DB04320"/>
    <w:rsid w:val="3DD2041D"/>
    <w:rsid w:val="3DF13806"/>
    <w:rsid w:val="3E156517"/>
    <w:rsid w:val="3E3413CD"/>
    <w:rsid w:val="3E9608F7"/>
    <w:rsid w:val="3E974008"/>
    <w:rsid w:val="3EA57D92"/>
    <w:rsid w:val="3EEE6DC2"/>
    <w:rsid w:val="3EF10C97"/>
    <w:rsid w:val="3EF2257E"/>
    <w:rsid w:val="3F1502D5"/>
    <w:rsid w:val="3F462D11"/>
    <w:rsid w:val="3FBB0C15"/>
    <w:rsid w:val="3FDD0A50"/>
    <w:rsid w:val="40024FC7"/>
    <w:rsid w:val="402F17FA"/>
    <w:rsid w:val="40535D91"/>
    <w:rsid w:val="40825D69"/>
    <w:rsid w:val="40A62E81"/>
    <w:rsid w:val="40B33822"/>
    <w:rsid w:val="41153A37"/>
    <w:rsid w:val="4130324E"/>
    <w:rsid w:val="418B5245"/>
    <w:rsid w:val="41C779D0"/>
    <w:rsid w:val="41F50F2F"/>
    <w:rsid w:val="421401A8"/>
    <w:rsid w:val="42353485"/>
    <w:rsid w:val="429B3F56"/>
    <w:rsid w:val="42A75FCF"/>
    <w:rsid w:val="42BC4BDD"/>
    <w:rsid w:val="42D40FF5"/>
    <w:rsid w:val="42DC02D8"/>
    <w:rsid w:val="42F150E2"/>
    <w:rsid w:val="4300507B"/>
    <w:rsid w:val="43273938"/>
    <w:rsid w:val="433366A7"/>
    <w:rsid w:val="438A5152"/>
    <w:rsid w:val="44224F14"/>
    <w:rsid w:val="4463034C"/>
    <w:rsid w:val="447B30E5"/>
    <w:rsid w:val="44BD4DAB"/>
    <w:rsid w:val="44C671F9"/>
    <w:rsid w:val="44D77A80"/>
    <w:rsid w:val="45050ABD"/>
    <w:rsid w:val="45164DD6"/>
    <w:rsid w:val="46291B2E"/>
    <w:rsid w:val="462A3C80"/>
    <w:rsid w:val="46821D2B"/>
    <w:rsid w:val="469D0882"/>
    <w:rsid w:val="46AF2981"/>
    <w:rsid w:val="46D24581"/>
    <w:rsid w:val="46E30709"/>
    <w:rsid w:val="46E508D3"/>
    <w:rsid w:val="471926FE"/>
    <w:rsid w:val="472F78EA"/>
    <w:rsid w:val="479E0D55"/>
    <w:rsid w:val="47C555C4"/>
    <w:rsid w:val="47F47502"/>
    <w:rsid w:val="47FA5E49"/>
    <w:rsid w:val="480A6E57"/>
    <w:rsid w:val="48114C6B"/>
    <w:rsid w:val="485A4D8E"/>
    <w:rsid w:val="486A6E89"/>
    <w:rsid w:val="48822425"/>
    <w:rsid w:val="489D68C9"/>
    <w:rsid w:val="48A7089B"/>
    <w:rsid w:val="48BE0532"/>
    <w:rsid w:val="48EB621C"/>
    <w:rsid w:val="48FA1186"/>
    <w:rsid w:val="48FF6B13"/>
    <w:rsid w:val="49121C04"/>
    <w:rsid w:val="49616C7F"/>
    <w:rsid w:val="497A2811"/>
    <w:rsid w:val="49845D29"/>
    <w:rsid w:val="49A06FFD"/>
    <w:rsid w:val="4A0A26D2"/>
    <w:rsid w:val="4A56002A"/>
    <w:rsid w:val="4A666FA9"/>
    <w:rsid w:val="4AA219FA"/>
    <w:rsid w:val="4AF929A9"/>
    <w:rsid w:val="4B217E4D"/>
    <w:rsid w:val="4B3E3678"/>
    <w:rsid w:val="4B3F77F4"/>
    <w:rsid w:val="4B7C7600"/>
    <w:rsid w:val="4B8E71BC"/>
    <w:rsid w:val="4BC0266D"/>
    <w:rsid w:val="4BE42F39"/>
    <w:rsid w:val="4C46404C"/>
    <w:rsid w:val="4C4B622A"/>
    <w:rsid w:val="4C5F2B64"/>
    <w:rsid w:val="4C845E66"/>
    <w:rsid w:val="4CB5099C"/>
    <w:rsid w:val="4CD62146"/>
    <w:rsid w:val="4CE87C96"/>
    <w:rsid w:val="4CF65190"/>
    <w:rsid w:val="4D1660F0"/>
    <w:rsid w:val="4D3263CA"/>
    <w:rsid w:val="4D6639B5"/>
    <w:rsid w:val="4D815A20"/>
    <w:rsid w:val="4DCA562F"/>
    <w:rsid w:val="4DD3102D"/>
    <w:rsid w:val="4DE66281"/>
    <w:rsid w:val="4E02440F"/>
    <w:rsid w:val="4E677AC3"/>
    <w:rsid w:val="4E8A3DE2"/>
    <w:rsid w:val="4EEC7FE0"/>
    <w:rsid w:val="4F073604"/>
    <w:rsid w:val="4F1442D2"/>
    <w:rsid w:val="4F14571A"/>
    <w:rsid w:val="4F2F3703"/>
    <w:rsid w:val="4F7C4281"/>
    <w:rsid w:val="4FAC0EB5"/>
    <w:rsid w:val="4FBC37DE"/>
    <w:rsid w:val="4FEB08B0"/>
    <w:rsid w:val="4FF07632"/>
    <w:rsid w:val="50277295"/>
    <w:rsid w:val="502B7847"/>
    <w:rsid w:val="503F4CCA"/>
    <w:rsid w:val="50520D67"/>
    <w:rsid w:val="505E1082"/>
    <w:rsid w:val="50631654"/>
    <w:rsid w:val="50746E80"/>
    <w:rsid w:val="50854860"/>
    <w:rsid w:val="50861786"/>
    <w:rsid w:val="50A81419"/>
    <w:rsid w:val="510E01E5"/>
    <w:rsid w:val="512152C6"/>
    <w:rsid w:val="51284991"/>
    <w:rsid w:val="512C52DC"/>
    <w:rsid w:val="513B13C3"/>
    <w:rsid w:val="516A7EFA"/>
    <w:rsid w:val="519E055C"/>
    <w:rsid w:val="51AF398B"/>
    <w:rsid w:val="51BE6FF5"/>
    <w:rsid w:val="51E90E1F"/>
    <w:rsid w:val="51F324D9"/>
    <w:rsid w:val="520A6223"/>
    <w:rsid w:val="520E1688"/>
    <w:rsid w:val="52156DFB"/>
    <w:rsid w:val="523C5A16"/>
    <w:rsid w:val="524B6895"/>
    <w:rsid w:val="52880638"/>
    <w:rsid w:val="52BA1ABD"/>
    <w:rsid w:val="52F3539E"/>
    <w:rsid w:val="53221939"/>
    <w:rsid w:val="53384DB9"/>
    <w:rsid w:val="5353545D"/>
    <w:rsid w:val="535B4023"/>
    <w:rsid w:val="537961D3"/>
    <w:rsid w:val="537C0F42"/>
    <w:rsid w:val="539329CE"/>
    <w:rsid w:val="539F08E2"/>
    <w:rsid w:val="53E63DE5"/>
    <w:rsid w:val="53FA770F"/>
    <w:rsid w:val="53FE38A6"/>
    <w:rsid w:val="53FE4EC1"/>
    <w:rsid w:val="54054B4E"/>
    <w:rsid w:val="540C5299"/>
    <w:rsid w:val="542D76E9"/>
    <w:rsid w:val="54332AD1"/>
    <w:rsid w:val="54637B93"/>
    <w:rsid w:val="546432FF"/>
    <w:rsid w:val="54813F25"/>
    <w:rsid w:val="54E42FA3"/>
    <w:rsid w:val="54FC6A64"/>
    <w:rsid w:val="552D4A32"/>
    <w:rsid w:val="55494F54"/>
    <w:rsid w:val="5562562D"/>
    <w:rsid w:val="55654C60"/>
    <w:rsid w:val="556F679E"/>
    <w:rsid w:val="55A446D4"/>
    <w:rsid w:val="55C202D9"/>
    <w:rsid w:val="55CE1ABC"/>
    <w:rsid w:val="55ED27BA"/>
    <w:rsid w:val="56143712"/>
    <w:rsid w:val="562543F0"/>
    <w:rsid w:val="562E2D41"/>
    <w:rsid w:val="56472932"/>
    <w:rsid w:val="566E6FDE"/>
    <w:rsid w:val="56857A5A"/>
    <w:rsid w:val="56A93FDE"/>
    <w:rsid w:val="56AB54F0"/>
    <w:rsid w:val="56B178D9"/>
    <w:rsid w:val="56DB7B5D"/>
    <w:rsid w:val="56DF7624"/>
    <w:rsid w:val="571F580B"/>
    <w:rsid w:val="578C5B84"/>
    <w:rsid w:val="579F5997"/>
    <w:rsid w:val="57DC4092"/>
    <w:rsid w:val="57DD65F5"/>
    <w:rsid w:val="57EF5C8F"/>
    <w:rsid w:val="581315E1"/>
    <w:rsid w:val="58240E03"/>
    <w:rsid w:val="582C0C2F"/>
    <w:rsid w:val="587E528D"/>
    <w:rsid w:val="58802A94"/>
    <w:rsid w:val="58896EB8"/>
    <w:rsid w:val="58CF27D9"/>
    <w:rsid w:val="58E2469B"/>
    <w:rsid w:val="594E4F0D"/>
    <w:rsid w:val="59613C89"/>
    <w:rsid w:val="59815914"/>
    <w:rsid w:val="598C0E3F"/>
    <w:rsid w:val="59BF3961"/>
    <w:rsid w:val="59DD395F"/>
    <w:rsid w:val="5A027D20"/>
    <w:rsid w:val="5A3C3E4E"/>
    <w:rsid w:val="5A5A6D5E"/>
    <w:rsid w:val="5A6C3440"/>
    <w:rsid w:val="5A6F2A8B"/>
    <w:rsid w:val="5A843DDB"/>
    <w:rsid w:val="5AC22250"/>
    <w:rsid w:val="5AC642EA"/>
    <w:rsid w:val="5B0E1F1C"/>
    <w:rsid w:val="5B203D3C"/>
    <w:rsid w:val="5B5045AB"/>
    <w:rsid w:val="5BCC13A4"/>
    <w:rsid w:val="5BDC5908"/>
    <w:rsid w:val="5C0D4124"/>
    <w:rsid w:val="5C0E5C4D"/>
    <w:rsid w:val="5C362317"/>
    <w:rsid w:val="5C9F2A1E"/>
    <w:rsid w:val="5CC86E6B"/>
    <w:rsid w:val="5CCC5387"/>
    <w:rsid w:val="5CD264B6"/>
    <w:rsid w:val="5CD728E8"/>
    <w:rsid w:val="5D137698"/>
    <w:rsid w:val="5D7B6442"/>
    <w:rsid w:val="5DAA158A"/>
    <w:rsid w:val="5DBB2588"/>
    <w:rsid w:val="5DBC1ADE"/>
    <w:rsid w:val="5E015F89"/>
    <w:rsid w:val="5E0C6C59"/>
    <w:rsid w:val="5E1D4502"/>
    <w:rsid w:val="5E280456"/>
    <w:rsid w:val="5E2E182B"/>
    <w:rsid w:val="5E367F00"/>
    <w:rsid w:val="5E5F410C"/>
    <w:rsid w:val="5E727544"/>
    <w:rsid w:val="5EAC04F8"/>
    <w:rsid w:val="5EFB0559"/>
    <w:rsid w:val="5EFB072C"/>
    <w:rsid w:val="5F6353C0"/>
    <w:rsid w:val="5F7411DF"/>
    <w:rsid w:val="5FAC4FC0"/>
    <w:rsid w:val="608C4CD0"/>
    <w:rsid w:val="6093190F"/>
    <w:rsid w:val="60975FD4"/>
    <w:rsid w:val="60D3419A"/>
    <w:rsid w:val="610B05E5"/>
    <w:rsid w:val="614577A3"/>
    <w:rsid w:val="6187595F"/>
    <w:rsid w:val="618C03BA"/>
    <w:rsid w:val="618E3A6C"/>
    <w:rsid w:val="61965FDD"/>
    <w:rsid w:val="619A35BE"/>
    <w:rsid w:val="62782477"/>
    <w:rsid w:val="62B81634"/>
    <w:rsid w:val="62D0186E"/>
    <w:rsid w:val="62D01CCF"/>
    <w:rsid w:val="62D410BF"/>
    <w:rsid w:val="62FB09B2"/>
    <w:rsid w:val="63077E28"/>
    <w:rsid w:val="630A578B"/>
    <w:rsid w:val="633628C8"/>
    <w:rsid w:val="634118E7"/>
    <w:rsid w:val="63664336"/>
    <w:rsid w:val="639A641D"/>
    <w:rsid w:val="63DF069D"/>
    <w:rsid w:val="63E80524"/>
    <w:rsid w:val="64067815"/>
    <w:rsid w:val="640F28A6"/>
    <w:rsid w:val="64153CF6"/>
    <w:rsid w:val="64262521"/>
    <w:rsid w:val="647029C7"/>
    <w:rsid w:val="64A6075F"/>
    <w:rsid w:val="64CA675F"/>
    <w:rsid w:val="64FC1202"/>
    <w:rsid w:val="650A77D7"/>
    <w:rsid w:val="654A0AB0"/>
    <w:rsid w:val="65E72B0F"/>
    <w:rsid w:val="66253BC5"/>
    <w:rsid w:val="66436F02"/>
    <w:rsid w:val="66534313"/>
    <w:rsid w:val="665C746E"/>
    <w:rsid w:val="665F6419"/>
    <w:rsid w:val="669B2BD8"/>
    <w:rsid w:val="66B975EB"/>
    <w:rsid w:val="66BE12CB"/>
    <w:rsid w:val="6728396C"/>
    <w:rsid w:val="67F55AD2"/>
    <w:rsid w:val="67F76CFF"/>
    <w:rsid w:val="68745474"/>
    <w:rsid w:val="688E06C4"/>
    <w:rsid w:val="68914293"/>
    <w:rsid w:val="68D61693"/>
    <w:rsid w:val="69553A86"/>
    <w:rsid w:val="698D0230"/>
    <w:rsid w:val="699B2EEF"/>
    <w:rsid w:val="69B15B5C"/>
    <w:rsid w:val="69B4596C"/>
    <w:rsid w:val="69C86033"/>
    <w:rsid w:val="6A0B7D2D"/>
    <w:rsid w:val="6A382E6D"/>
    <w:rsid w:val="6A592EEB"/>
    <w:rsid w:val="6A8C4B12"/>
    <w:rsid w:val="6ACF10A2"/>
    <w:rsid w:val="6AF27111"/>
    <w:rsid w:val="6B1724CA"/>
    <w:rsid w:val="6B452B08"/>
    <w:rsid w:val="6B7F1BBE"/>
    <w:rsid w:val="6B9C6F6E"/>
    <w:rsid w:val="6BA87474"/>
    <w:rsid w:val="6BA876E9"/>
    <w:rsid w:val="6BF67649"/>
    <w:rsid w:val="6C043A65"/>
    <w:rsid w:val="6C156F89"/>
    <w:rsid w:val="6C8F0234"/>
    <w:rsid w:val="6CE32AAB"/>
    <w:rsid w:val="6DAF3C29"/>
    <w:rsid w:val="6DB225B5"/>
    <w:rsid w:val="6DB91B74"/>
    <w:rsid w:val="6DB97A80"/>
    <w:rsid w:val="6DCA02AD"/>
    <w:rsid w:val="6DED325C"/>
    <w:rsid w:val="6E1A626D"/>
    <w:rsid w:val="6E241705"/>
    <w:rsid w:val="6E30244E"/>
    <w:rsid w:val="6E7169B2"/>
    <w:rsid w:val="6E82288E"/>
    <w:rsid w:val="6E8576AF"/>
    <w:rsid w:val="6E9804E5"/>
    <w:rsid w:val="6ED76777"/>
    <w:rsid w:val="6EE43963"/>
    <w:rsid w:val="6F555835"/>
    <w:rsid w:val="6F64507A"/>
    <w:rsid w:val="6F746BB2"/>
    <w:rsid w:val="6F7935C3"/>
    <w:rsid w:val="6F992CB0"/>
    <w:rsid w:val="6F9C351D"/>
    <w:rsid w:val="6FC73359"/>
    <w:rsid w:val="6FEE3766"/>
    <w:rsid w:val="70231548"/>
    <w:rsid w:val="70290AD6"/>
    <w:rsid w:val="70390D6C"/>
    <w:rsid w:val="70623255"/>
    <w:rsid w:val="70A262D4"/>
    <w:rsid w:val="70F93224"/>
    <w:rsid w:val="70F96AC1"/>
    <w:rsid w:val="7123212C"/>
    <w:rsid w:val="712C3E28"/>
    <w:rsid w:val="715500FA"/>
    <w:rsid w:val="71A11F19"/>
    <w:rsid w:val="71AB7A47"/>
    <w:rsid w:val="71E60A7F"/>
    <w:rsid w:val="72001B56"/>
    <w:rsid w:val="722611DF"/>
    <w:rsid w:val="722E2B52"/>
    <w:rsid w:val="724B0059"/>
    <w:rsid w:val="72587B69"/>
    <w:rsid w:val="72B8241C"/>
    <w:rsid w:val="72F62F44"/>
    <w:rsid w:val="72FB12C7"/>
    <w:rsid w:val="730B69EF"/>
    <w:rsid w:val="730E3D4F"/>
    <w:rsid w:val="73306456"/>
    <w:rsid w:val="73842EAC"/>
    <w:rsid w:val="73BC0688"/>
    <w:rsid w:val="73C05474"/>
    <w:rsid w:val="73C7446B"/>
    <w:rsid w:val="73D05294"/>
    <w:rsid w:val="73DD7E9F"/>
    <w:rsid w:val="7401006C"/>
    <w:rsid w:val="740E1F0C"/>
    <w:rsid w:val="7457131C"/>
    <w:rsid w:val="745E5245"/>
    <w:rsid w:val="74617B01"/>
    <w:rsid w:val="74637395"/>
    <w:rsid w:val="74641B6C"/>
    <w:rsid w:val="74BC7F26"/>
    <w:rsid w:val="74BE1C24"/>
    <w:rsid w:val="74DF0134"/>
    <w:rsid w:val="751910F3"/>
    <w:rsid w:val="7541517E"/>
    <w:rsid w:val="754825D6"/>
    <w:rsid w:val="756F711B"/>
    <w:rsid w:val="75710DC7"/>
    <w:rsid w:val="7587074E"/>
    <w:rsid w:val="75934EFB"/>
    <w:rsid w:val="75961182"/>
    <w:rsid w:val="759870A8"/>
    <w:rsid w:val="75BC5C4B"/>
    <w:rsid w:val="75CA0ACC"/>
    <w:rsid w:val="767E3796"/>
    <w:rsid w:val="76972EFE"/>
    <w:rsid w:val="76BB6FE1"/>
    <w:rsid w:val="76CC48EC"/>
    <w:rsid w:val="76F653BF"/>
    <w:rsid w:val="7710285A"/>
    <w:rsid w:val="77283027"/>
    <w:rsid w:val="772B3B04"/>
    <w:rsid w:val="77520F8F"/>
    <w:rsid w:val="776112D4"/>
    <w:rsid w:val="77682B99"/>
    <w:rsid w:val="779364FE"/>
    <w:rsid w:val="77C1347E"/>
    <w:rsid w:val="77F24622"/>
    <w:rsid w:val="7849336B"/>
    <w:rsid w:val="78560196"/>
    <w:rsid w:val="78724A92"/>
    <w:rsid w:val="787F5325"/>
    <w:rsid w:val="78974FBD"/>
    <w:rsid w:val="789E340A"/>
    <w:rsid w:val="78A67F9E"/>
    <w:rsid w:val="78F565A9"/>
    <w:rsid w:val="79042956"/>
    <w:rsid w:val="79275416"/>
    <w:rsid w:val="7961380D"/>
    <w:rsid w:val="79952A93"/>
    <w:rsid w:val="79B24069"/>
    <w:rsid w:val="79C02579"/>
    <w:rsid w:val="79FB15FB"/>
    <w:rsid w:val="7A002DFF"/>
    <w:rsid w:val="7A2969B2"/>
    <w:rsid w:val="7A2A0BA8"/>
    <w:rsid w:val="7A68410A"/>
    <w:rsid w:val="7A85177D"/>
    <w:rsid w:val="7A913082"/>
    <w:rsid w:val="7AB20A8F"/>
    <w:rsid w:val="7AB6730A"/>
    <w:rsid w:val="7B080ADF"/>
    <w:rsid w:val="7B294E9E"/>
    <w:rsid w:val="7B345278"/>
    <w:rsid w:val="7B4F3D02"/>
    <w:rsid w:val="7B557F44"/>
    <w:rsid w:val="7B6E48BB"/>
    <w:rsid w:val="7B775D08"/>
    <w:rsid w:val="7B776773"/>
    <w:rsid w:val="7B7FC8D8"/>
    <w:rsid w:val="7BC67479"/>
    <w:rsid w:val="7BDD5433"/>
    <w:rsid w:val="7BFF08CA"/>
    <w:rsid w:val="7C060DCF"/>
    <w:rsid w:val="7C540C4B"/>
    <w:rsid w:val="7C7A184A"/>
    <w:rsid w:val="7C8A04BA"/>
    <w:rsid w:val="7CA0538C"/>
    <w:rsid w:val="7CA12119"/>
    <w:rsid w:val="7CBC527A"/>
    <w:rsid w:val="7CC43EF5"/>
    <w:rsid w:val="7CDF2942"/>
    <w:rsid w:val="7D0118D5"/>
    <w:rsid w:val="7D0F483D"/>
    <w:rsid w:val="7D2708CA"/>
    <w:rsid w:val="7D3A1640"/>
    <w:rsid w:val="7D622989"/>
    <w:rsid w:val="7DA30FBC"/>
    <w:rsid w:val="7E09220C"/>
    <w:rsid w:val="7E1472D8"/>
    <w:rsid w:val="7E6B2A38"/>
    <w:rsid w:val="7E6C387B"/>
    <w:rsid w:val="7E8B0A1A"/>
    <w:rsid w:val="7E8D34A6"/>
    <w:rsid w:val="7E983FDE"/>
    <w:rsid w:val="7E9A0FA0"/>
    <w:rsid w:val="7EA85A3A"/>
    <w:rsid w:val="7EAB413D"/>
    <w:rsid w:val="7ED439FC"/>
    <w:rsid w:val="7EFC7B34"/>
    <w:rsid w:val="7F195085"/>
    <w:rsid w:val="7F1B48A6"/>
    <w:rsid w:val="7F2963A4"/>
    <w:rsid w:val="7F3D2627"/>
    <w:rsid w:val="7F3F7A80"/>
    <w:rsid w:val="7FA846C3"/>
    <w:rsid w:val="7FD52C8A"/>
    <w:rsid w:val="7FDD36D6"/>
    <w:rsid w:val="7FEE3921"/>
    <w:rsid w:val="7FF4717D"/>
    <w:rsid w:val="EFFDF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widowControl/>
      <w:spacing w:before="340" w:after="330"/>
      <w:jc w:val="left"/>
      <w:outlineLvl w:val="0"/>
    </w:pPr>
    <w:rPr>
      <w:rFonts w:ascii="宋体" w:cs="宋体"/>
      <w:kern w:val="0"/>
      <w:sz w:val="28"/>
      <w:szCs w:val="28"/>
    </w:rPr>
  </w:style>
  <w:style w:type="paragraph" w:styleId="3">
    <w:name w:val="heading 2"/>
    <w:basedOn w:val="1"/>
    <w:next w:val="1"/>
    <w:qFormat/>
    <w:uiPriority w:val="99"/>
    <w:pPr>
      <w:numPr>
        <w:ilvl w:val="1"/>
        <w:numId w:val="1"/>
      </w:numPr>
      <w:spacing w:before="260"/>
      <w:jc w:val="left"/>
      <w:outlineLvl w:val="1"/>
    </w:pPr>
    <w:rPr>
      <w:rFonts w:ascii="宋体" w:hAnsi="Arial" w:cs="宋体"/>
      <w:kern w:val="0"/>
      <w:sz w:val="28"/>
      <w:szCs w:val="28"/>
    </w:rPr>
  </w:style>
  <w:style w:type="paragraph" w:styleId="4">
    <w:name w:val="heading 3"/>
    <w:basedOn w:val="1"/>
    <w:next w:val="1"/>
    <w:qFormat/>
    <w:uiPriority w:val="99"/>
    <w:pPr>
      <w:keepNext/>
      <w:keepLines/>
      <w:widowControl/>
      <w:numPr>
        <w:ilvl w:val="2"/>
        <w:numId w:val="1"/>
      </w:numPr>
      <w:spacing w:before="260" w:after="260" w:line="416" w:lineRule="auto"/>
      <w:jc w:val="left"/>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p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99"/>
    <w:pPr>
      <w:ind w:firstLine="630"/>
    </w:pPr>
    <w:rPr>
      <w:rFonts w:ascii="宋体" w:cs="宋体"/>
      <w:sz w:val="32"/>
      <w:szCs w:val="32"/>
    </w:rPr>
  </w:style>
  <w:style w:type="paragraph" w:styleId="10">
    <w:name w:val="Block Text"/>
    <w:basedOn w:val="1"/>
    <w:unhideWhenUsed/>
    <w:qFormat/>
    <w:uiPriority w:val="0"/>
    <w:pPr>
      <w:spacing w:line="440" w:lineRule="exact"/>
      <w:ind w:left="-540" w:leftChars="-257" w:right="-334" w:rightChars="-159" w:firstLine="1140"/>
    </w:pPr>
    <w:rPr>
      <w:sz w:val="24"/>
      <w:szCs w:val="20"/>
    </w:rPr>
  </w:style>
  <w:style w:type="paragraph" w:styleId="11">
    <w:name w:val="Plain Text"/>
    <w:basedOn w:val="1"/>
    <w:link w:val="24"/>
    <w:qFormat/>
    <w:uiPriority w:val="0"/>
    <w:rPr>
      <w:rFonts w:ascii="宋体" w:hAnsi="Courier New" w:eastAsia="Times New Roman"/>
      <w:szCs w:val="20"/>
    </w:rPr>
  </w:style>
  <w:style w:type="paragraph" w:styleId="12">
    <w:name w:val="Date"/>
    <w:basedOn w:val="1"/>
    <w:next w:val="1"/>
    <w:qFormat/>
    <w:uiPriority w:val="0"/>
    <w:pPr>
      <w:ind w:left="2500" w:leftChars="2500"/>
    </w:pPr>
    <w:rPr>
      <w:rFonts w:ascii="Calibri" w:hAnsi="Calibri"/>
    </w:rPr>
  </w:style>
  <w:style w:type="paragraph" w:styleId="13">
    <w:name w:val="Balloon Text"/>
    <w:basedOn w:val="1"/>
    <w:link w:val="25"/>
    <w:qFormat/>
    <w:uiPriority w:val="0"/>
    <w:rPr>
      <w:sz w:val="18"/>
      <w:szCs w:val="18"/>
    </w:rPr>
  </w:style>
  <w:style w:type="paragraph" w:styleId="14">
    <w:name w:val="footer"/>
    <w:basedOn w:val="1"/>
    <w:link w:val="26"/>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8"/>
    <w:unhideWhenUsed/>
    <w:qFormat/>
    <w:uiPriority w:val="0"/>
    <w:pPr>
      <w:autoSpaceDE w:val="0"/>
      <w:autoSpaceDN w:val="0"/>
      <w:adjustRightInd w:val="0"/>
      <w:spacing w:line="360" w:lineRule="auto"/>
      <w:ind w:firstLine="420" w:firstLineChars="100"/>
      <w:jc w:val="left"/>
    </w:pPr>
    <w:rPr>
      <w:rFonts w:ascii="宋体"/>
      <w:kern w:val="0"/>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color w:val="333333"/>
      <w:u w:val="none"/>
    </w:rPr>
  </w:style>
  <w:style w:type="character" w:styleId="23">
    <w:name w:val="Hyperlink"/>
    <w:qFormat/>
    <w:uiPriority w:val="0"/>
    <w:rPr>
      <w:color w:val="333333"/>
      <w:u w:val="none"/>
    </w:rPr>
  </w:style>
  <w:style w:type="character" w:customStyle="1" w:styleId="24">
    <w:name w:val="纯文本 字符"/>
    <w:link w:val="11"/>
    <w:qFormat/>
    <w:uiPriority w:val="0"/>
    <w:rPr>
      <w:rFonts w:ascii="宋体" w:hAnsi="Courier New" w:eastAsia="Times New Roman"/>
      <w:kern w:val="2"/>
      <w:sz w:val="21"/>
    </w:rPr>
  </w:style>
  <w:style w:type="character" w:customStyle="1" w:styleId="25">
    <w:name w:val="批注框文本 字符"/>
    <w:link w:val="13"/>
    <w:qFormat/>
    <w:uiPriority w:val="0"/>
    <w:rPr>
      <w:rFonts w:ascii="Calibri" w:hAnsi="Calibri" w:eastAsia="宋体" w:cs="Times New Roman"/>
      <w:kern w:val="2"/>
      <w:sz w:val="18"/>
      <w:szCs w:val="18"/>
    </w:rPr>
  </w:style>
  <w:style w:type="character" w:customStyle="1" w:styleId="26">
    <w:name w:val="页脚 字符"/>
    <w:link w:val="14"/>
    <w:qFormat/>
    <w:uiPriority w:val="0"/>
    <w:rPr>
      <w:rFonts w:ascii="Calibri" w:hAnsi="Calibri" w:eastAsia="宋体" w:cs="Times New Roman"/>
      <w:kern w:val="2"/>
      <w:sz w:val="18"/>
      <w:szCs w:val="18"/>
    </w:rPr>
  </w:style>
  <w:style w:type="character" w:customStyle="1" w:styleId="27">
    <w:name w:val="页眉 字符"/>
    <w:link w:val="15"/>
    <w:qFormat/>
    <w:uiPriority w:val="0"/>
    <w:rPr>
      <w:rFonts w:ascii="Calibri" w:hAnsi="Calibri" w:eastAsia="宋体" w:cs="Times New Roman"/>
      <w:kern w:val="2"/>
      <w:sz w:val="18"/>
      <w:szCs w:val="18"/>
    </w:rPr>
  </w:style>
  <w:style w:type="character" w:customStyle="1" w:styleId="28">
    <w:name w:val="ca-02"/>
    <w:qFormat/>
    <w:uiPriority w:val="99"/>
  </w:style>
  <w:style w:type="character" w:customStyle="1" w:styleId="29">
    <w:name w:val="NormalCharacter"/>
    <w:semiHidden/>
    <w:qFormat/>
    <w:uiPriority w:val="0"/>
    <w:rPr>
      <w:rFonts w:cs="Calibri"/>
      <w:kern w:val="2"/>
      <w:sz w:val="21"/>
      <w:szCs w:val="21"/>
      <w:lang w:val="en-US" w:eastAsia="zh-CN" w:bidi="ar-SA"/>
    </w:rPr>
  </w:style>
  <w:style w:type="paragraph" w:customStyle="1" w:styleId="30">
    <w:name w:val="_Style 4"/>
    <w:basedOn w:val="2"/>
    <w:next w:val="1"/>
    <w:qFormat/>
    <w:uiPriority w:val="99"/>
    <w:pPr>
      <w:widowControl w:val="0"/>
      <w:spacing w:line="576" w:lineRule="auto"/>
      <w:jc w:val="both"/>
      <w:outlineLvl w:val="9"/>
    </w:pPr>
    <w:rPr>
      <w:rFonts w:ascii="Calibri" w:hAnsi="Calibri" w:cs="Calibri"/>
      <w:b/>
      <w:bCs/>
      <w:kern w:val="44"/>
      <w:sz w:val="44"/>
      <w:szCs w:val="44"/>
    </w:rPr>
  </w:style>
  <w:style w:type="paragraph" w:customStyle="1" w:styleId="31">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32">
    <w:name w:val="Table Paragraph"/>
    <w:basedOn w:val="1"/>
    <w:qFormat/>
    <w:uiPriority w:val="1"/>
    <w:pPr>
      <w:jc w:val="left"/>
    </w:pPr>
    <w:rPr>
      <w:kern w:val="0"/>
      <w:sz w:val="22"/>
      <w:lang w:eastAsia="en-US"/>
    </w:rPr>
  </w:style>
  <w:style w:type="paragraph" w:customStyle="1" w:styleId="33">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正"/>
    <w:basedOn w:val="1"/>
    <w:qFormat/>
    <w:uiPriority w:val="0"/>
    <w:pPr>
      <w:spacing w:line="560" w:lineRule="exact"/>
      <w:ind w:firstLine="561"/>
    </w:pPr>
    <w:rPr>
      <w:rFonts w:eastAsia="仿宋_GB2312"/>
      <w:sz w:val="28"/>
    </w:rPr>
  </w:style>
  <w:style w:type="paragraph" w:styleId="35">
    <w:name w:val="List Paragraph"/>
    <w:basedOn w:val="1"/>
    <w:qFormat/>
    <w:uiPriority w:val="34"/>
    <w:pPr>
      <w:ind w:firstLine="420" w:firstLineChars="200"/>
    </w:pPr>
    <w:rPr>
      <w:szCs w:val="21"/>
    </w:rPr>
  </w:style>
  <w:style w:type="paragraph" w:customStyle="1" w:styleId="36">
    <w:name w:val="表头"/>
    <w:basedOn w:val="1"/>
    <w:qFormat/>
    <w:uiPriority w:val="0"/>
    <w:pPr>
      <w:spacing w:line="360" w:lineRule="auto"/>
      <w:jc w:val="center"/>
    </w:pPr>
    <w:rPr>
      <w:rFonts w:ascii="黑体" w:eastAsia="黑体"/>
      <w:kern w:val="0"/>
      <w:sz w:val="24"/>
      <w:szCs w:val="20"/>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8">
    <w:name w:val="Table Normal"/>
    <w:unhideWhenUsed/>
    <w:qFormat/>
    <w:uiPriority w:val="0"/>
    <w:tblPr>
      <w:tblCellMar>
        <w:top w:w="0" w:type="dxa"/>
        <w:left w:w="0" w:type="dxa"/>
        <w:bottom w:w="0" w:type="dxa"/>
        <w:right w:w="0" w:type="dxa"/>
      </w:tblCellMar>
    </w:tblPr>
  </w:style>
  <w:style w:type="character" w:customStyle="1" w:styleId="39">
    <w:name w:val="font51"/>
    <w:qFormat/>
    <w:uiPriority w:val="0"/>
    <w:rPr>
      <w:rFonts w:hint="eastAsia" w:ascii="宋体" w:hAnsi="宋体" w:eastAsia="宋体" w:cs="宋体"/>
      <w:color w:val="000000"/>
      <w:sz w:val="20"/>
      <w:szCs w:val="20"/>
      <w:u w:val="none"/>
      <w:vertAlign w:val="superscript"/>
    </w:rPr>
  </w:style>
  <w:style w:type="paragraph" w:customStyle="1" w:styleId="40">
    <w:name w:val="Char Char Char Char Char Char Char Char1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41">
    <w:name w:val="font71"/>
    <w:basedOn w:val="20"/>
    <w:qFormat/>
    <w:uiPriority w:val="0"/>
    <w:rPr>
      <w:rFonts w:hint="eastAsia" w:ascii="宋体" w:hAnsi="宋体" w:eastAsia="宋体" w:cs="宋体"/>
      <w:color w:val="000000"/>
      <w:sz w:val="20"/>
      <w:szCs w:val="20"/>
      <w:u w:val="none"/>
      <w:vertAlign w:val="superscript"/>
    </w:rPr>
  </w:style>
  <w:style w:type="character" w:customStyle="1" w:styleId="42">
    <w:name w:val="font61"/>
    <w:basedOn w:val="20"/>
    <w:qFormat/>
    <w:uiPriority w:val="0"/>
    <w:rPr>
      <w:rFonts w:hint="eastAsia" w:ascii="宋体" w:hAnsi="宋体" w:eastAsia="宋体" w:cs="宋体"/>
      <w:color w:val="000000"/>
      <w:sz w:val="20"/>
      <w:szCs w:val="20"/>
      <w:u w:val="none"/>
      <w:vertAlign w:val="superscript"/>
    </w:rPr>
  </w:style>
  <w:style w:type="table" w:customStyle="1" w:styleId="43">
    <w:name w:val="网格型1"/>
    <w:qFormat/>
    <w:uiPriority w:val="0"/>
    <w:pPr>
      <w:widowControl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44">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8081</Words>
  <Characters>8376</Characters>
  <Lines>161</Lines>
  <Paragraphs>45</Paragraphs>
  <TotalTime>26</TotalTime>
  <ScaleCrop>false</ScaleCrop>
  <LinksUpToDate>false</LinksUpToDate>
  <CharactersWithSpaces>8987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lenovo</cp:lastModifiedBy>
  <cp:lastPrinted>2025-05-06T01:02:00Z</cp:lastPrinted>
  <dcterms:modified xsi:type="dcterms:W3CDTF">2025-05-12T08:57:52Z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C353D9DC87BE4AC7A0886ADABCD6AB5D_13</vt:lpwstr>
  </property>
  <property fmtid="{D5CDD505-2E9C-101B-9397-08002B2CF9AE}" pid="4" name="KSOTemplateDocerSaveRecord">
    <vt:lpwstr>eyJoZGlkIjoiMzhjYzA1NDQ4ZjYzYjE1NWY3OTMyNjJkYmYwYjRhMmYifQ==</vt:lpwstr>
  </property>
</Properties>
</file>