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807091">
      <w:pPr>
        <w:ind w:firstLine="0" w:firstLineChars="0"/>
        <w:jc w:val="center"/>
        <w:rPr>
          <w:rFonts w:hint="eastAsia" w:ascii="仿宋_GB2312" w:hAnsi="仿宋_GB2312" w:cs="仿宋_GB2312"/>
          <w:sz w:val="32"/>
          <w:szCs w:val="32"/>
        </w:rPr>
      </w:pPr>
      <w:r>
        <w:rPr>
          <w:rFonts w:hint="eastAsia" w:ascii="方正小标宋简体" w:hAnsi="宋体" w:eastAsia="方正小标宋简体" w:cs="Times New Roman"/>
          <w:sz w:val="44"/>
          <w:szCs w:val="44"/>
        </w:rPr>
        <w:t>荔湾区人民政府关于</w:t>
      </w:r>
      <w:bookmarkStart w:id="0" w:name="OLE_LINK2"/>
      <w:bookmarkStart w:id="1" w:name="OLE_LINK4"/>
      <w:r>
        <w:rPr>
          <w:rFonts w:hint="eastAsia" w:ascii="方正小标宋简体" w:hAnsi="宋体" w:eastAsia="方正小标宋简体" w:cs="Times New Roman"/>
          <w:sz w:val="44"/>
          <w:szCs w:val="44"/>
        </w:rPr>
        <w:t>调整沙涌水闸泵站管理范围</w:t>
      </w:r>
      <w:bookmarkEnd w:id="0"/>
      <w:r>
        <w:rPr>
          <w:rFonts w:hint="eastAsia" w:ascii="方正小标宋简体" w:hAnsi="宋体" w:eastAsia="方正小标宋简体" w:cs="Times New Roman"/>
          <w:sz w:val="44"/>
          <w:szCs w:val="44"/>
        </w:rPr>
        <w:t>的公告</w:t>
      </w:r>
      <w:bookmarkEnd w:id="1"/>
      <w:r>
        <w:rPr>
          <w:rFonts w:hint="eastAsia" w:ascii="方正小标宋简体" w:hAnsi="宋体" w:eastAsia="方正小标宋简体" w:cs="Times New Roman"/>
          <w:sz w:val="44"/>
          <w:szCs w:val="44"/>
        </w:rPr>
        <w:t>（征求意见稿）</w:t>
      </w:r>
    </w:p>
    <w:p w14:paraId="2F015413">
      <w:pPr>
        <w:ind w:firstLine="640"/>
        <w:rPr>
          <w:rFonts w:hint="eastAsia" w:eastAsia="仿宋" w:cs="Times New Roman"/>
          <w:sz w:val="32"/>
          <w:szCs w:val="32"/>
        </w:rPr>
      </w:pPr>
      <w:r>
        <w:rPr>
          <w:rFonts w:hint="eastAsia" w:eastAsia="仿宋" w:cs="Times New Roman"/>
          <w:sz w:val="32"/>
          <w:szCs w:val="32"/>
        </w:rPr>
        <w:t>为进一步做好荔湾区沙涌水闸泵站管理与保护工作，保障河道行洪安全与日常管养维护</w:t>
      </w:r>
      <w:r>
        <w:rPr>
          <w:rFonts w:hint="eastAsia" w:eastAsia="仿宋" w:cs="Times New Roman"/>
          <w:sz w:val="32"/>
          <w:szCs w:val="32"/>
          <w:lang w:eastAsia="zh-CN"/>
        </w:rPr>
        <w:t>，</w:t>
      </w:r>
      <w:r>
        <w:rPr>
          <w:rFonts w:hint="eastAsia" w:eastAsia="仿宋" w:cs="Times New Roman"/>
          <w:sz w:val="32"/>
          <w:szCs w:val="32"/>
        </w:rPr>
        <w:t>根据《中华人民共和国水法》《中华人民共和国防洪法》《中华人民共和国河道管理条例》《广东省河道管理条例》《广东省水利工程管理条例》《广州市水务管理条例》等法律法规的规定，在《广州市荔湾区人民政府关于划定荔湾区河湖管理范围和水利工程管理与保护范围的公告》（荔府规〔2023〕3号）基础上，现调整沙涌水闸泵站管理范围，公告如下：</w:t>
      </w:r>
    </w:p>
    <w:p w14:paraId="43708FDD">
      <w:pPr>
        <w:spacing w:line="560" w:lineRule="exact"/>
        <w:ind w:firstLine="640"/>
        <w:rPr>
          <w:rFonts w:hint="eastAsia" w:ascii="黑体" w:hAnsi="黑体" w:eastAsia="黑体" w:cs="黑体"/>
          <w:sz w:val="32"/>
          <w:szCs w:val="32"/>
          <w:lang w:val="en-US" w:eastAsia="zh-CN"/>
        </w:rPr>
      </w:pPr>
      <w:r>
        <w:rPr>
          <w:rFonts w:hint="eastAsia" w:ascii="黑体" w:hAnsi="黑体" w:eastAsia="黑体" w:cs="黑体"/>
          <w:sz w:val="32"/>
          <w:szCs w:val="32"/>
        </w:rPr>
        <w:t>一、调整</w:t>
      </w:r>
      <w:r>
        <w:rPr>
          <w:rFonts w:hint="eastAsia" w:ascii="黑体" w:hAnsi="黑体" w:eastAsia="黑体" w:cs="黑体"/>
          <w:sz w:val="32"/>
          <w:szCs w:val="32"/>
          <w:lang w:val="en-US" w:eastAsia="zh-CN"/>
        </w:rPr>
        <w:t>对象</w:t>
      </w:r>
    </w:p>
    <w:p w14:paraId="106C6003">
      <w:pPr>
        <w:ind w:firstLine="640"/>
        <w:rPr>
          <w:rFonts w:hint="eastAsia"/>
        </w:rPr>
      </w:pPr>
      <w:r>
        <w:rPr>
          <w:rFonts w:hint="eastAsia" w:eastAsia="仿宋"/>
          <w:sz w:val="32"/>
          <w:szCs w:val="32"/>
        </w:rPr>
        <w:t>沙涌水闸泵站主体结构北端坐标为（X=224605.502，Y=35811.003），南端（X=224563.592，Y=35805.358），西端（X=224586.764，Y=35786.333），东端（X=224563.592，Y=35805.358），以上坐标均采用广州2000坐标系。</w:t>
      </w:r>
    </w:p>
    <w:p w14:paraId="6E8EE2A8">
      <w:pPr>
        <w:spacing w:line="560" w:lineRule="exact"/>
        <w:ind w:firstLine="640"/>
        <w:rPr>
          <w:rFonts w:hint="eastAsia" w:ascii="黑体" w:hAnsi="黑体" w:eastAsia="黑体" w:cs="黑体"/>
          <w:sz w:val="32"/>
          <w:szCs w:val="32"/>
        </w:rPr>
      </w:pPr>
      <w:r>
        <w:rPr>
          <w:rFonts w:hint="eastAsia" w:ascii="黑体" w:hAnsi="黑体" w:eastAsia="黑体" w:cs="黑体"/>
          <w:sz w:val="32"/>
          <w:szCs w:val="32"/>
        </w:rPr>
        <w:t>二、调整内容</w:t>
      </w:r>
    </w:p>
    <w:p w14:paraId="0F9CC6E9">
      <w:pPr>
        <w:ind w:firstLine="640"/>
        <w:rPr>
          <w:rFonts w:eastAsia="仿宋"/>
          <w:sz w:val="32"/>
          <w:szCs w:val="32"/>
        </w:rPr>
      </w:pPr>
      <w:r>
        <w:rPr>
          <w:rFonts w:hint="eastAsia" w:eastAsia="仿宋"/>
          <w:sz w:val="32"/>
          <w:szCs w:val="32"/>
        </w:rPr>
        <w:t>将沙涌水闸（泵站）管理范围线由水闸、泵站工程各组成部分（包括上游引水渠、闸室、泵室、下游消能防冲工程和两岸连接建筑物等）的覆盖范围及主体结构边线南侧外延30米调整为外延10米。</w:t>
      </w:r>
    </w:p>
    <w:p w14:paraId="080284B5">
      <w:pPr>
        <w:ind w:firstLine="0" w:firstLineChars="0"/>
        <w:rPr>
          <w:rFonts w:hint="eastAsia" w:eastAsia="仿宋"/>
          <w:sz w:val="32"/>
          <w:szCs w:val="32"/>
        </w:rPr>
      </w:pPr>
    </w:p>
    <w:p w14:paraId="7132127B">
      <w:pPr>
        <w:spacing w:line="560" w:lineRule="exact"/>
        <w:ind w:firstLine="640"/>
        <w:rPr>
          <w:rFonts w:hint="eastAsia" w:ascii="黑体" w:hAnsi="黑体" w:eastAsia="黑体" w:cs="黑体"/>
          <w:sz w:val="32"/>
          <w:szCs w:val="32"/>
        </w:rPr>
      </w:pPr>
      <w:r>
        <w:rPr>
          <w:rFonts w:hint="eastAsia" w:ascii="黑体" w:hAnsi="黑体" w:eastAsia="黑体" w:cs="黑体"/>
          <w:sz w:val="32"/>
          <w:szCs w:val="32"/>
        </w:rPr>
        <w:t>三、管理原则</w:t>
      </w:r>
    </w:p>
    <w:p w14:paraId="28FBEBA0">
      <w:pPr>
        <w:ind w:firstLine="640"/>
        <w:rPr>
          <w:rFonts w:hint="eastAsia" w:eastAsia="仿宋"/>
          <w:sz w:val="32"/>
          <w:szCs w:val="32"/>
        </w:rPr>
      </w:pPr>
      <w:r>
        <w:rPr>
          <w:rFonts w:hint="eastAsia" w:eastAsia="仿宋"/>
          <w:sz w:val="32"/>
          <w:szCs w:val="32"/>
        </w:rPr>
        <w:t>禁止任何公民、法人和其他组织擅自在管理范围内从事可能危及行洪和堤防安全的建设或经营活动，违者依法从严查处。公民如有发现任何河道管理范围违法建设、经营活动，可向广州市荔湾区水务局如实反映，监督电话：020-81499627。</w:t>
      </w:r>
    </w:p>
    <w:p w14:paraId="522CF625">
      <w:pPr>
        <w:ind w:firstLine="640"/>
        <w:rPr>
          <w:rFonts w:eastAsia="仿宋"/>
          <w:sz w:val="32"/>
          <w:szCs w:val="32"/>
        </w:rPr>
      </w:pPr>
      <w:r>
        <w:rPr>
          <w:rFonts w:hint="eastAsia" w:eastAsia="仿宋"/>
          <w:sz w:val="32"/>
          <w:szCs w:val="32"/>
        </w:rPr>
        <w:t>此公告内容属于行业管理，不改变土地的权属和用地属性，也不作为土地权属的证明材料。</w:t>
      </w:r>
    </w:p>
    <w:p w14:paraId="209D5516">
      <w:pPr>
        <w:widowControl/>
        <w:spacing w:line="560" w:lineRule="exact"/>
        <w:ind w:firstLine="640"/>
        <w:jc w:val="left"/>
        <w:rPr>
          <w:rFonts w:hint="eastAsia" w:ascii="黑体" w:hAnsi="黑体" w:eastAsia="黑体"/>
          <w:sz w:val="32"/>
          <w:szCs w:val="32"/>
        </w:rPr>
      </w:pPr>
      <w:r>
        <w:rPr>
          <w:rFonts w:hint="eastAsia" w:ascii="黑体" w:hAnsi="黑体" w:eastAsia="黑体"/>
          <w:sz w:val="32"/>
          <w:szCs w:val="32"/>
        </w:rPr>
        <w:t>四、其他</w:t>
      </w:r>
    </w:p>
    <w:p w14:paraId="4ED5E650">
      <w:pPr>
        <w:spacing w:line="560" w:lineRule="exact"/>
        <w:ind w:firstLine="640"/>
        <w:rPr>
          <w:rFonts w:eastAsia="仿宋"/>
          <w:sz w:val="32"/>
          <w:szCs w:val="32"/>
        </w:rPr>
      </w:pPr>
      <w:r>
        <w:rPr>
          <w:rFonts w:hint="eastAsia" w:eastAsia="仿宋"/>
          <w:sz w:val="32"/>
          <w:szCs w:val="32"/>
        </w:rPr>
        <w:t>本公告自印发之日起施行，有效期5年。</w:t>
      </w:r>
    </w:p>
    <w:p w14:paraId="74EFBEBD">
      <w:pPr>
        <w:ind w:firstLine="560"/>
        <w:rPr>
          <w:rFonts w:hint="eastAsia"/>
        </w:rPr>
      </w:pPr>
    </w:p>
    <w:p w14:paraId="65761F14">
      <w:pPr>
        <w:ind w:firstLine="640"/>
        <w:rPr>
          <w:rFonts w:hint="eastAsia" w:eastAsia="仿宋" w:cs="Times New Roman"/>
          <w:sz w:val="32"/>
          <w:szCs w:val="32"/>
        </w:rPr>
      </w:pPr>
      <w:r>
        <w:rPr>
          <w:rFonts w:eastAsia="仿宋" w:cs="Times New Roman"/>
          <w:sz w:val="32"/>
          <w:szCs w:val="32"/>
        </w:rPr>
        <w:t>附件：</w:t>
      </w:r>
      <w:r>
        <w:rPr>
          <w:rFonts w:hint="eastAsia" w:eastAsia="仿宋" w:cs="Times New Roman"/>
          <w:sz w:val="32"/>
          <w:szCs w:val="32"/>
        </w:rPr>
        <w:t>1.调整前沙涌水闸（泵站）管理范围线划定图</w:t>
      </w:r>
    </w:p>
    <w:p w14:paraId="29C00A18">
      <w:pPr>
        <w:ind w:firstLine="1619" w:firstLineChars="506"/>
        <w:rPr>
          <w:rFonts w:hint="eastAsia" w:eastAsia="仿宋" w:cs="Times New Roman"/>
          <w:sz w:val="32"/>
          <w:szCs w:val="32"/>
        </w:rPr>
      </w:pPr>
      <w:r>
        <w:rPr>
          <w:rFonts w:hint="eastAsia" w:eastAsia="仿宋" w:cs="Times New Roman"/>
          <w:sz w:val="32"/>
          <w:szCs w:val="32"/>
        </w:rPr>
        <w:t>2.调整后沙涌水闸（泵站）管理范围线划定图</w:t>
      </w:r>
    </w:p>
    <w:p w14:paraId="3789FEAA">
      <w:pPr>
        <w:ind w:firstLine="1416" w:firstLineChars="506"/>
        <w:rPr>
          <w:rFonts w:hint="eastAsia"/>
        </w:rPr>
      </w:pPr>
    </w:p>
    <w:p w14:paraId="159011C7">
      <w:pPr>
        <w:spacing w:line="560" w:lineRule="exact"/>
        <w:ind w:firstLine="3968" w:firstLineChars="1240"/>
        <w:jc w:val="center"/>
        <w:rPr>
          <w:rFonts w:hint="eastAsia" w:eastAsia="仿宋"/>
          <w:sz w:val="32"/>
          <w:szCs w:val="32"/>
        </w:rPr>
      </w:pPr>
      <w:r>
        <w:rPr>
          <w:rFonts w:hint="eastAsia" w:eastAsia="仿宋"/>
          <w:sz w:val="32"/>
          <w:szCs w:val="32"/>
        </w:rPr>
        <w:t>荔湾区人民政府</w:t>
      </w:r>
    </w:p>
    <w:p w14:paraId="5306B790">
      <w:pPr>
        <w:spacing w:line="560" w:lineRule="exact"/>
        <w:ind w:firstLine="3968" w:firstLineChars="1240"/>
        <w:jc w:val="center"/>
        <w:rPr>
          <w:rFonts w:hint="eastAsia" w:eastAsia="仿宋"/>
          <w:sz w:val="32"/>
          <w:szCs w:val="32"/>
        </w:rPr>
      </w:pPr>
      <w:r>
        <w:rPr>
          <w:rFonts w:hint="eastAsia" w:eastAsia="仿宋"/>
          <w:sz w:val="32"/>
          <w:szCs w:val="32"/>
        </w:rPr>
        <w:t>202</w:t>
      </w:r>
      <w:r>
        <w:rPr>
          <w:rFonts w:hint="eastAsia" w:eastAsia="仿宋"/>
          <w:sz w:val="32"/>
          <w:szCs w:val="32"/>
          <w:lang w:val="en-US" w:eastAsia="zh-CN"/>
        </w:rPr>
        <w:t>5</w:t>
      </w:r>
      <w:r>
        <w:rPr>
          <w:rFonts w:hint="eastAsia" w:eastAsia="仿宋"/>
          <w:sz w:val="32"/>
          <w:szCs w:val="32"/>
        </w:rPr>
        <w:t>年</w:t>
      </w:r>
      <w:r>
        <w:rPr>
          <w:rFonts w:hint="eastAsia" w:eastAsia="仿宋"/>
          <w:sz w:val="32"/>
          <w:szCs w:val="32"/>
          <w:lang w:val="en-US" w:eastAsia="zh-CN"/>
        </w:rPr>
        <w:t>5</w:t>
      </w:r>
      <w:r>
        <w:rPr>
          <w:rFonts w:hint="eastAsia" w:eastAsia="仿宋"/>
          <w:sz w:val="32"/>
          <w:szCs w:val="32"/>
        </w:rPr>
        <w:t>月</w:t>
      </w:r>
      <w:r>
        <w:rPr>
          <w:rFonts w:hint="eastAsia" w:eastAsia="仿宋"/>
          <w:sz w:val="32"/>
          <w:szCs w:val="32"/>
          <w:lang w:val="en-US" w:eastAsia="zh-CN"/>
        </w:rPr>
        <w:t>13</w:t>
      </w:r>
      <w:bookmarkStart w:id="2" w:name="_GoBack"/>
      <w:bookmarkEnd w:id="2"/>
      <w:r>
        <w:rPr>
          <w:rFonts w:hint="eastAsia" w:eastAsia="仿宋"/>
          <w:sz w:val="32"/>
          <w:szCs w:val="32"/>
        </w:rPr>
        <w:t>日</w:t>
      </w:r>
    </w:p>
    <w:p w14:paraId="32407CF3">
      <w:pPr>
        <w:ind w:firstLine="560"/>
        <w:jc w:val="right"/>
        <w:rPr>
          <w:rFonts w:hint="eastAsia"/>
        </w:rPr>
      </w:pPr>
    </w:p>
    <w:p w14:paraId="267F9169">
      <w:pPr>
        <w:widowControl/>
        <w:ind w:firstLine="0" w:firstLineChars="0"/>
        <w:jc w:val="left"/>
        <w:rPr>
          <w:rFonts w:hint="eastAsia"/>
        </w:rPr>
      </w:pPr>
      <w:r>
        <w:rPr>
          <w:rFonts w:hint="eastAsia"/>
        </w:rPr>
        <w:br w:type="page"/>
      </w:r>
    </w:p>
    <w:p w14:paraId="0C375D0A">
      <w:pPr>
        <w:ind w:firstLine="0" w:firstLineChars="0"/>
        <w:rPr>
          <w:rFonts w:hint="eastAsia"/>
        </w:rPr>
      </w:pPr>
      <w:r>
        <w:t>附件</w:t>
      </w:r>
      <w:r>
        <w:rPr>
          <w:rFonts w:hint="eastAsia"/>
        </w:rPr>
        <w:t>1：调整前沙涌水闸（泵站）管理范围线划定图</w:t>
      </w:r>
    </w:p>
    <w:p w14:paraId="577EEA3A">
      <w:pPr>
        <w:ind w:firstLine="0" w:firstLineChars="0"/>
        <w:rPr>
          <w:rFonts w:hint="eastAsia"/>
        </w:rPr>
      </w:pPr>
      <w:r>
        <w:rPr>
          <w:rFonts w:hint="eastAsia"/>
        </w:rPr>
        <w:drawing>
          <wp:inline distT="0" distB="0" distL="0" distR="0">
            <wp:extent cx="5274310" cy="3728720"/>
            <wp:effectExtent l="0" t="0" r="2540" b="5080"/>
            <wp:docPr id="454391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91518"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728720"/>
                    </a:xfrm>
                    <a:prstGeom prst="rect">
                      <a:avLst/>
                    </a:prstGeom>
                    <a:noFill/>
                    <a:ln>
                      <a:noFill/>
                    </a:ln>
                  </pic:spPr>
                </pic:pic>
              </a:graphicData>
            </a:graphic>
          </wp:inline>
        </w:drawing>
      </w:r>
    </w:p>
    <w:p w14:paraId="52D2DA44">
      <w:pPr>
        <w:ind w:firstLine="0" w:firstLineChars="0"/>
        <w:rPr>
          <w:rFonts w:hint="eastAsia"/>
        </w:rPr>
      </w:pPr>
      <w:r>
        <w:t>附件</w:t>
      </w:r>
      <w:r>
        <w:rPr>
          <w:rFonts w:hint="eastAsia"/>
        </w:rPr>
        <w:t>2：调整后沙涌水闸（泵站）管理范围线划定图</w:t>
      </w:r>
    </w:p>
    <w:p w14:paraId="47C0A80D">
      <w:pPr>
        <w:ind w:firstLine="0" w:firstLineChars="0"/>
        <w:rPr>
          <w:rFonts w:hint="eastAsia"/>
        </w:rPr>
      </w:pPr>
      <w:r>
        <w:rPr>
          <w:rFonts w:hint="eastAsia"/>
        </w:rPr>
        <w:drawing>
          <wp:inline distT="0" distB="0" distL="0" distR="0">
            <wp:extent cx="5274310" cy="3728720"/>
            <wp:effectExtent l="0" t="0" r="2540" b="5080"/>
            <wp:docPr id="7221094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09461"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728720"/>
                    </a:xfrm>
                    <a:prstGeom prst="rect">
                      <a:avLst/>
                    </a:prstGeom>
                    <a:noFill/>
                    <a:ln>
                      <a:noFill/>
                    </a:ln>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等线 Ligh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5B7A9">
    <w:pPr>
      <w:pStyle w:val="11"/>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A9396">
    <w:pPr>
      <w:pStyle w:val="11"/>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86249">
    <w:pPr>
      <w:pStyle w:val="11"/>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C82F0">
    <w:pPr>
      <w:pStyle w:val="12"/>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A8F96">
    <w:pPr>
      <w:pStyle w:val="12"/>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E17AB">
    <w:pPr>
      <w:pStyle w:val="12"/>
      <w:ind w:firstLine="360"/>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392"/>
    <w:rsid w:val="00051E0B"/>
    <w:rsid w:val="00275CD9"/>
    <w:rsid w:val="002E00C2"/>
    <w:rsid w:val="0033613E"/>
    <w:rsid w:val="003C031D"/>
    <w:rsid w:val="003C43EE"/>
    <w:rsid w:val="003F2F01"/>
    <w:rsid w:val="00430E7A"/>
    <w:rsid w:val="00510B42"/>
    <w:rsid w:val="005124F2"/>
    <w:rsid w:val="00552524"/>
    <w:rsid w:val="005A0E47"/>
    <w:rsid w:val="005F1301"/>
    <w:rsid w:val="006208C3"/>
    <w:rsid w:val="00642CBC"/>
    <w:rsid w:val="00657374"/>
    <w:rsid w:val="006A0877"/>
    <w:rsid w:val="006A3392"/>
    <w:rsid w:val="006E2A2F"/>
    <w:rsid w:val="00724638"/>
    <w:rsid w:val="00737BA7"/>
    <w:rsid w:val="00737BB5"/>
    <w:rsid w:val="00754395"/>
    <w:rsid w:val="00756C2A"/>
    <w:rsid w:val="007B5D65"/>
    <w:rsid w:val="0081126B"/>
    <w:rsid w:val="00887E4E"/>
    <w:rsid w:val="008E6DD0"/>
    <w:rsid w:val="00911904"/>
    <w:rsid w:val="009372A3"/>
    <w:rsid w:val="009815B8"/>
    <w:rsid w:val="0099316D"/>
    <w:rsid w:val="00A059B1"/>
    <w:rsid w:val="00A10580"/>
    <w:rsid w:val="00A76C3B"/>
    <w:rsid w:val="00A96512"/>
    <w:rsid w:val="00AD7D34"/>
    <w:rsid w:val="00AE364F"/>
    <w:rsid w:val="00B6036B"/>
    <w:rsid w:val="00B85EC7"/>
    <w:rsid w:val="00C3294A"/>
    <w:rsid w:val="00C91E79"/>
    <w:rsid w:val="00CA74AA"/>
    <w:rsid w:val="00CF2D57"/>
    <w:rsid w:val="00D009EF"/>
    <w:rsid w:val="00D10245"/>
    <w:rsid w:val="00D30464"/>
    <w:rsid w:val="00D50A99"/>
    <w:rsid w:val="00D55E29"/>
    <w:rsid w:val="00DD6C57"/>
    <w:rsid w:val="00DF681C"/>
    <w:rsid w:val="00E03A9D"/>
    <w:rsid w:val="00E7396C"/>
    <w:rsid w:val="00E83524"/>
    <w:rsid w:val="00F84B83"/>
    <w:rsid w:val="04102A5A"/>
    <w:rsid w:val="452D6453"/>
    <w:rsid w:val="4B3154A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仿宋" w:hAnsi="仿宋" w:eastAsia="仿宋_GB2312" w:cstheme="minorBidi"/>
      <w:kern w:val="2"/>
      <w:sz w:val="28"/>
      <w:szCs w:val="22"/>
      <w:lang w:val="en-US" w:eastAsia="zh-CN" w:bidi="ar-SA"/>
    </w:rPr>
  </w:style>
  <w:style w:type="paragraph" w:styleId="2">
    <w:name w:val="heading 1"/>
    <w:basedOn w:val="1"/>
    <w:next w:val="1"/>
    <w:link w:val="18"/>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0"/>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1"/>
    <w:semiHidden/>
    <w:unhideWhenUsed/>
    <w:qFormat/>
    <w:uiPriority w:val="9"/>
    <w:pPr>
      <w:keepNext/>
      <w:keepLines/>
      <w:spacing w:before="80" w:after="40"/>
      <w:outlineLvl w:val="3"/>
    </w:pPr>
    <w:rPr>
      <w:rFonts w:cstheme="majorBidi"/>
      <w:color w:val="2F5597" w:themeColor="accent1" w:themeShade="BF"/>
      <w:szCs w:val="28"/>
    </w:rPr>
  </w:style>
  <w:style w:type="paragraph" w:styleId="6">
    <w:name w:val="heading 5"/>
    <w:basedOn w:val="1"/>
    <w:next w:val="1"/>
    <w:link w:val="22"/>
    <w:semiHidden/>
    <w:unhideWhenUsed/>
    <w:qFormat/>
    <w:uiPriority w:val="9"/>
    <w:pPr>
      <w:keepNext/>
      <w:keepLines/>
      <w:spacing w:before="80" w:after="40"/>
      <w:outlineLvl w:val="4"/>
    </w:pPr>
    <w:rPr>
      <w:rFonts w:cstheme="majorBidi"/>
      <w:color w:val="2F5597" w:themeColor="accent1" w:themeShade="BF"/>
      <w:sz w:val="24"/>
      <w:szCs w:val="24"/>
    </w:rPr>
  </w:style>
  <w:style w:type="paragraph" w:styleId="7">
    <w:name w:val="heading 6"/>
    <w:basedOn w:val="1"/>
    <w:next w:val="1"/>
    <w:link w:val="23"/>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24"/>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6"/>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6">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11">
    <w:name w:val="footer"/>
    <w:basedOn w:val="1"/>
    <w:link w:val="37"/>
    <w:unhideWhenUsed/>
    <w:qFormat/>
    <w:uiPriority w:val="99"/>
    <w:pPr>
      <w:tabs>
        <w:tab w:val="center" w:pos="4153"/>
        <w:tab w:val="right" w:pos="8306"/>
      </w:tabs>
      <w:snapToGrid w:val="0"/>
      <w:jc w:val="left"/>
    </w:pPr>
    <w:rPr>
      <w:sz w:val="18"/>
      <w:szCs w:val="18"/>
    </w:rPr>
  </w:style>
  <w:style w:type="paragraph" w:styleId="12">
    <w:name w:val="header"/>
    <w:basedOn w:val="1"/>
    <w:link w:val="36"/>
    <w:unhideWhenUsed/>
    <w:qFormat/>
    <w:uiPriority w:val="99"/>
    <w:pPr>
      <w:tabs>
        <w:tab w:val="center" w:pos="4153"/>
        <w:tab w:val="right" w:pos="8306"/>
      </w:tabs>
      <w:snapToGrid w:val="0"/>
      <w:jc w:val="center"/>
    </w:pPr>
    <w:rPr>
      <w:sz w:val="18"/>
      <w:szCs w:val="18"/>
    </w:rPr>
  </w:style>
  <w:style w:type="paragraph" w:styleId="13">
    <w:name w:val="Subtitle"/>
    <w:basedOn w:val="1"/>
    <w:next w:val="1"/>
    <w:link w:val="28"/>
    <w:qFormat/>
    <w:uiPriority w:val="11"/>
    <w:pPr>
      <w:spacing w:after="160"/>
      <w:ind w:firstLine="200" w:firstLineChars="200"/>
      <w:jc w:val="center"/>
    </w:pPr>
    <w:rPr>
      <w:rFonts w:asciiTheme="majorHAnsi" w:hAnsiTheme="majorHAnsi" w:eastAsiaTheme="majorEastAsia" w:cstheme="majorBidi"/>
      <w:color w:val="595959" w:themeColor="text1" w:themeTint="A6"/>
      <w:spacing w:val="15"/>
      <w:szCs w:val="28"/>
      <w14:textFill>
        <w14:solidFill>
          <w14:schemeClr w14:val="tx1">
            <w14:lumMod w14:val="65000"/>
            <w14:lumOff w14:val="35000"/>
          </w14:schemeClr>
        </w14:solidFill>
      </w14:textFill>
    </w:rPr>
  </w:style>
  <w:style w:type="paragraph" w:styleId="14">
    <w:name w:val="Title"/>
    <w:basedOn w:val="1"/>
    <w:next w:val="1"/>
    <w:link w:val="27"/>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customStyle="1" w:styleId="18">
    <w:name w:val="标题 1 字符"/>
    <w:basedOn w:val="16"/>
    <w:link w:val="2"/>
    <w:uiPriority w:val="9"/>
    <w:rPr>
      <w:rFonts w:asciiTheme="majorHAnsi" w:hAnsiTheme="majorHAnsi" w:eastAsiaTheme="majorEastAsia" w:cstheme="majorBidi"/>
      <w:color w:val="2F5597" w:themeColor="accent1" w:themeShade="BF"/>
      <w:sz w:val="48"/>
      <w:szCs w:val="48"/>
    </w:rPr>
  </w:style>
  <w:style w:type="character" w:customStyle="1" w:styleId="19">
    <w:name w:val="标题 2 字符"/>
    <w:basedOn w:val="16"/>
    <w:link w:val="3"/>
    <w:semiHidden/>
    <w:uiPriority w:val="9"/>
    <w:rPr>
      <w:rFonts w:asciiTheme="majorHAnsi" w:hAnsiTheme="majorHAnsi" w:eastAsiaTheme="majorEastAsia" w:cstheme="majorBidi"/>
      <w:color w:val="2F5597" w:themeColor="accent1" w:themeShade="BF"/>
      <w:sz w:val="40"/>
      <w:szCs w:val="40"/>
    </w:rPr>
  </w:style>
  <w:style w:type="character" w:customStyle="1" w:styleId="20">
    <w:name w:val="标题 3 字符"/>
    <w:basedOn w:val="16"/>
    <w:link w:val="4"/>
    <w:semiHidden/>
    <w:uiPriority w:val="9"/>
    <w:rPr>
      <w:rFonts w:asciiTheme="majorHAnsi" w:hAnsiTheme="majorHAnsi" w:eastAsiaTheme="majorEastAsia" w:cstheme="majorBidi"/>
      <w:color w:val="2F5597" w:themeColor="accent1" w:themeShade="BF"/>
      <w:sz w:val="32"/>
      <w:szCs w:val="32"/>
    </w:rPr>
  </w:style>
  <w:style w:type="character" w:customStyle="1" w:styleId="21">
    <w:name w:val="标题 4 字符"/>
    <w:basedOn w:val="16"/>
    <w:link w:val="5"/>
    <w:semiHidden/>
    <w:qFormat/>
    <w:uiPriority w:val="9"/>
    <w:rPr>
      <w:rFonts w:cstheme="majorBidi"/>
      <w:color w:val="2F5597" w:themeColor="accent1" w:themeShade="BF"/>
      <w:sz w:val="28"/>
      <w:szCs w:val="28"/>
    </w:rPr>
  </w:style>
  <w:style w:type="character" w:customStyle="1" w:styleId="22">
    <w:name w:val="标题 5 字符"/>
    <w:basedOn w:val="16"/>
    <w:link w:val="6"/>
    <w:semiHidden/>
    <w:uiPriority w:val="9"/>
    <w:rPr>
      <w:rFonts w:cstheme="majorBidi"/>
      <w:color w:val="2F5597" w:themeColor="accent1" w:themeShade="BF"/>
      <w:sz w:val="24"/>
      <w:szCs w:val="24"/>
    </w:rPr>
  </w:style>
  <w:style w:type="character" w:customStyle="1" w:styleId="23">
    <w:name w:val="标题 6 字符"/>
    <w:basedOn w:val="16"/>
    <w:link w:val="7"/>
    <w:semiHidden/>
    <w:uiPriority w:val="9"/>
    <w:rPr>
      <w:rFonts w:cstheme="majorBidi"/>
      <w:b/>
      <w:bCs/>
      <w:color w:val="2F5597" w:themeColor="accent1" w:themeShade="BF"/>
    </w:rPr>
  </w:style>
  <w:style w:type="character" w:customStyle="1" w:styleId="24">
    <w:name w:val="标题 7 字符"/>
    <w:basedOn w:val="16"/>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5">
    <w:name w:val="标题 8 字符"/>
    <w:basedOn w:val="16"/>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6">
    <w:name w:val="标题 9 字符"/>
    <w:basedOn w:val="16"/>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标题 字符"/>
    <w:basedOn w:val="16"/>
    <w:link w:val="14"/>
    <w:qFormat/>
    <w:uiPriority w:val="10"/>
    <w:rPr>
      <w:rFonts w:asciiTheme="majorHAnsi" w:hAnsiTheme="majorHAnsi" w:eastAsiaTheme="majorEastAsia" w:cstheme="majorBidi"/>
      <w:spacing w:val="-10"/>
      <w:kern w:val="28"/>
      <w:sz w:val="56"/>
      <w:szCs w:val="56"/>
    </w:rPr>
  </w:style>
  <w:style w:type="character" w:customStyle="1" w:styleId="28">
    <w:name w:val="副标题 字符"/>
    <w:basedOn w:val="16"/>
    <w:link w:val="13"/>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引用 字符"/>
    <w:basedOn w:val="16"/>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
    <w:basedOn w:val="16"/>
    <w:qFormat/>
    <w:uiPriority w:val="21"/>
    <w:rPr>
      <w:i/>
      <w:iCs/>
      <w:color w:val="2F5597" w:themeColor="accent1" w:themeShade="BF"/>
    </w:rPr>
  </w:style>
  <w:style w:type="paragraph" w:styleId="33">
    <w:name w:val="Intense Quote"/>
    <w:basedOn w:val="1"/>
    <w:next w:val="1"/>
    <w:link w:val="34"/>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4">
    <w:name w:val="明显引用 字符"/>
    <w:basedOn w:val="16"/>
    <w:link w:val="33"/>
    <w:qFormat/>
    <w:uiPriority w:val="30"/>
    <w:rPr>
      <w:i/>
      <w:iCs/>
      <w:color w:val="2F5597" w:themeColor="accent1" w:themeShade="BF"/>
    </w:rPr>
  </w:style>
  <w:style w:type="character" w:customStyle="1" w:styleId="35">
    <w:name w:val="Intense Reference"/>
    <w:basedOn w:val="16"/>
    <w:qFormat/>
    <w:uiPriority w:val="32"/>
    <w:rPr>
      <w:b/>
      <w:bCs/>
      <w:smallCaps/>
      <w:color w:val="2F5597" w:themeColor="accent1" w:themeShade="BF"/>
      <w:spacing w:val="5"/>
    </w:rPr>
  </w:style>
  <w:style w:type="character" w:customStyle="1" w:styleId="36">
    <w:name w:val="页眉 字符"/>
    <w:basedOn w:val="16"/>
    <w:link w:val="12"/>
    <w:qFormat/>
    <w:uiPriority w:val="99"/>
    <w:rPr>
      <w:sz w:val="18"/>
      <w:szCs w:val="18"/>
    </w:rPr>
  </w:style>
  <w:style w:type="character" w:customStyle="1" w:styleId="37">
    <w:name w:val="页脚 字符"/>
    <w:basedOn w:val="16"/>
    <w:link w:val="11"/>
    <w:uiPriority w:val="99"/>
    <w:rPr>
      <w:sz w:val="18"/>
      <w:szCs w:val="18"/>
    </w:rPr>
  </w:style>
  <w:style w:type="character" w:customStyle="1" w:styleId="38">
    <w:name w:val="Unresolved Mention"/>
    <w:basedOn w:val="16"/>
    <w:semiHidden/>
    <w:unhideWhenUsed/>
    <w:qFormat/>
    <w:uiPriority w:val="99"/>
    <w:rPr>
      <w:color w:val="605E5C"/>
      <w:shd w:val="clear" w:color="auto" w:fill="E1DFDD"/>
    </w:rPr>
  </w:style>
  <w:style w:type="paragraph" w:customStyle="1" w:styleId="39">
    <w:name w:val="Revision"/>
    <w:hidden/>
    <w:semiHidden/>
    <w:uiPriority w:val="99"/>
    <w:rPr>
      <w:rFonts w:ascii="仿宋" w:hAnsi="仿宋" w:eastAsia="仿宋_GB2312" w:cstheme="minorBidi"/>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655</Words>
  <Characters>763</Characters>
  <Lines>5</Lines>
  <Paragraphs>1</Paragraphs>
  <TotalTime>426</TotalTime>
  <ScaleCrop>false</ScaleCrop>
  <LinksUpToDate>false</LinksUpToDate>
  <CharactersWithSpaces>763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2025-04-27T03:29:00Z</dcterms:created>
  <dc:creator>cbw</dc:creator>
  <cp:lastModifiedBy>王利鹏</cp:lastModifiedBy>
  <cp:lastPrinted>2025-04-28T09:31:00Z</cp:lastPrinted>
  <dcterms:modified xsi:type="dcterms:W3CDTF">2025-05-13T06:27:18Z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eyJoZGlkIjoiYjk2MzViOTI0N2FmNjg4YzI3NTYwMjBjMTNjZDdmNzMifQ==</vt:lpwstr>
  </property>
  <property fmtid="{D5CDD505-2E9C-101B-9397-08002B2CF9AE}" pid="3" name="KSOProductBuildVer">
    <vt:lpwstr>2052-12.1.0.20784</vt:lpwstr>
  </property>
  <property fmtid="{D5CDD505-2E9C-101B-9397-08002B2CF9AE}" pid="4" name="ICV">
    <vt:lpwstr>AD6BB0FA2E1146ACBBBE201C37178E99_12</vt:lpwstr>
  </property>
</Properties>
</file>