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E0BE">
      <w:pPr>
        <w:tabs>
          <w:tab w:val="left" w:pos="720"/>
          <w:tab w:val="left" w:pos="2700"/>
        </w:tabs>
        <w:spacing w:line="360" w:lineRule="auto"/>
        <w:rPr>
          <w:rFonts w:hint="eastAsia" w:ascii="宋体" w:hAnsi="宋体"/>
          <w:b/>
          <w:color w:val="000000"/>
          <w:sz w:val="56"/>
          <w:szCs w:val="56"/>
        </w:rPr>
      </w:pPr>
      <w:bookmarkStart w:id="0" w:name="_Toc264554778"/>
      <w:bookmarkStart w:id="17" w:name="_GoBack"/>
      <w:bookmarkEnd w:id="17"/>
    </w:p>
    <w:p w14:paraId="3E108C6D">
      <w:pPr>
        <w:tabs>
          <w:tab w:val="left" w:pos="720"/>
          <w:tab w:val="left" w:pos="2700"/>
        </w:tabs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1BE7FC4E">
      <w:pPr>
        <w:tabs>
          <w:tab w:val="left" w:pos="720"/>
          <w:tab w:val="left" w:pos="2700"/>
        </w:tabs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2DC6F37C">
      <w:pPr>
        <w:tabs>
          <w:tab w:val="left" w:pos="720"/>
          <w:tab w:val="left" w:pos="2700"/>
        </w:tabs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 xml:space="preserve">  合 同 书</w:t>
      </w:r>
    </w:p>
    <w:p w14:paraId="4477A9E6">
      <w:pPr>
        <w:tabs>
          <w:tab w:val="left" w:pos="3780"/>
        </w:tabs>
        <w:spacing w:line="1000" w:lineRule="exact"/>
        <w:ind w:left="1575" w:leftChars="750" w:right="808" w:rightChars="385"/>
        <w:rPr>
          <w:rFonts w:hint="eastAsia" w:ascii="宋体" w:hAnsi="宋体"/>
          <w:b/>
          <w:color w:val="000000"/>
          <w:sz w:val="28"/>
          <w:szCs w:val="28"/>
        </w:rPr>
      </w:pPr>
    </w:p>
    <w:p w14:paraId="3DBDABD4">
      <w:pPr>
        <w:tabs>
          <w:tab w:val="left" w:pos="2340"/>
          <w:tab w:val="left" w:pos="2520"/>
        </w:tabs>
        <w:spacing w:line="1000" w:lineRule="exact"/>
        <w:ind w:right="-57" w:rightChars="-27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项目名称：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>202</w:t>
      </w:r>
      <w:r>
        <w:rPr>
          <w:rFonts w:ascii="宋体" w:hAnsi="宋体" w:cs="宋体"/>
          <w:b/>
          <w:color w:val="000000"/>
          <w:sz w:val="32"/>
          <w:szCs w:val="32"/>
          <w:u w:val="single"/>
        </w:rPr>
        <w:t>5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>年荔湾区生产建设项目水土保持监督检查技术服务项目</w:t>
      </w:r>
    </w:p>
    <w:p w14:paraId="3075C499">
      <w:pPr>
        <w:spacing w:line="1000" w:lineRule="exact"/>
        <w:ind w:right="808" w:rightChars="385"/>
        <w:rPr>
          <w:rFonts w:hint="eastAsia"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甲    方：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 xml:space="preserve">                                    </w:t>
      </w:r>
    </w:p>
    <w:p w14:paraId="31040098">
      <w:pPr>
        <w:spacing w:line="1000" w:lineRule="exact"/>
        <w:ind w:right="808" w:rightChars="385"/>
        <w:rPr>
          <w:rFonts w:hint="eastAsia"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乙    方：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               </w:t>
      </w:r>
    </w:p>
    <w:p w14:paraId="019786FD">
      <w:pPr>
        <w:adjustRightInd w:val="0"/>
        <w:snapToGrid w:val="0"/>
        <w:spacing w:line="300" w:lineRule="auto"/>
        <w:ind w:right="808" w:rightChars="385"/>
        <w:jc w:val="center"/>
        <w:rPr>
          <w:rFonts w:hint="eastAsia" w:ascii="宋体" w:hAnsi="宋体"/>
          <w:b/>
          <w:color w:val="000000"/>
          <w:kern w:val="0"/>
          <w:sz w:val="24"/>
          <w:szCs w:val="28"/>
        </w:rPr>
      </w:pPr>
    </w:p>
    <w:p w14:paraId="2D223B21">
      <w:pPr>
        <w:tabs>
          <w:tab w:val="left" w:pos="720"/>
        </w:tabs>
        <w:spacing w:line="360" w:lineRule="auto"/>
        <w:ind w:right="808" w:rightChars="385"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154322B4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4B971DD5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7F604CAE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2C6A9EB5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11574406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5BD94B7B">
      <w:pPr>
        <w:tabs>
          <w:tab w:val="left" w:pos="720"/>
        </w:tabs>
        <w:spacing w:line="360" w:lineRule="auto"/>
        <w:ind w:firstLine="354" w:firstLineChars="147"/>
        <w:rPr>
          <w:rFonts w:hint="eastAsia" w:ascii="宋体" w:hAnsi="宋体"/>
          <w:b/>
          <w:color w:val="000000"/>
          <w:sz w:val="24"/>
        </w:rPr>
      </w:pPr>
    </w:p>
    <w:p w14:paraId="3A319B74">
      <w:pPr>
        <w:tabs>
          <w:tab w:val="left" w:pos="720"/>
        </w:tabs>
        <w:spacing w:line="360" w:lineRule="auto"/>
        <w:rPr>
          <w:rFonts w:hint="eastAsia" w:ascii="宋体" w:hAnsi="宋体"/>
          <w:b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p w14:paraId="1C258EF4">
      <w:pPr>
        <w:tabs>
          <w:tab w:val="left" w:pos="720"/>
        </w:tabs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甲    方：</w:t>
      </w:r>
    </w:p>
    <w:p w14:paraId="67E9EA0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    话：</w:t>
      </w:r>
    </w:p>
    <w:p w14:paraId="13C2E72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地  址： </w:t>
      </w:r>
    </w:p>
    <w:p w14:paraId="372AA540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乙    方：</w:t>
      </w:r>
    </w:p>
    <w:p w14:paraId="7A12592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    话：</w:t>
      </w:r>
    </w:p>
    <w:p w14:paraId="2CF3CD6B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地  址： </w:t>
      </w:r>
    </w:p>
    <w:p w14:paraId="201C5305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年荔湾区生产建设项目水土保持监督检查技术服务项目</w:t>
      </w:r>
      <w:r>
        <w:rPr>
          <w:rFonts w:hint="eastAsia" w:ascii="宋体" w:hAnsi="宋体"/>
          <w:color w:val="000000"/>
          <w:sz w:val="24"/>
        </w:rPr>
        <w:t xml:space="preserve">                                  </w:t>
      </w:r>
    </w:p>
    <w:p w14:paraId="79A9B5CA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7EAFF174">
      <w:pPr>
        <w:spacing w:line="578" w:lineRule="exact"/>
        <w:ind w:firstLine="720" w:firstLineChars="225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按照《中华人民共和国民法典》的规定，</w:t>
      </w:r>
      <w:r>
        <w:rPr>
          <w:rFonts w:hint="eastAsia" w:eastAsia="仿宋_GB2312" w:cs="仿宋_GB2312"/>
          <w:color w:val="000000"/>
          <w:kern w:val="28"/>
          <w:sz w:val="32"/>
          <w:szCs w:val="32"/>
        </w:rPr>
        <w:t>经双方协商，</w:t>
      </w:r>
      <w:r>
        <w:rPr>
          <w:rFonts w:hint="eastAsia" w:eastAsia="仿宋_GB2312" w:cs="仿宋_GB2312"/>
          <w:color w:val="000000"/>
          <w:sz w:val="32"/>
          <w:szCs w:val="32"/>
        </w:rPr>
        <w:t>本着平等互利和诚实信用的原则，</w:t>
      </w:r>
      <w:r>
        <w:rPr>
          <w:rFonts w:hint="eastAsia" w:eastAsia="仿宋_GB2312" w:cs="仿宋_GB2312"/>
          <w:color w:val="000000"/>
          <w:kern w:val="28"/>
          <w:sz w:val="32"/>
          <w:szCs w:val="32"/>
        </w:rPr>
        <w:t>一致同意签订本合同如下</w:t>
      </w:r>
      <w:r>
        <w:rPr>
          <w:rFonts w:hint="eastAsia" w:eastAsia="仿宋_GB2312" w:cs="仿宋_GB2312"/>
          <w:color w:val="000000"/>
          <w:sz w:val="32"/>
          <w:szCs w:val="32"/>
        </w:rPr>
        <w:t>：</w:t>
      </w:r>
    </w:p>
    <w:p w14:paraId="3ECEDEB6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一、合同金额</w:t>
      </w:r>
    </w:p>
    <w:p w14:paraId="2142B16E">
      <w:pPr>
        <w:pStyle w:val="6"/>
        <w:spacing w:line="578" w:lineRule="exact"/>
        <w:ind w:firstLine="755" w:firstLineChars="236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合同总金额为人民币（大写）：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人民币  拾  万  仟  佰元整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￥        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）。</w:t>
      </w:r>
    </w:p>
    <w:p w14:paraId="169D7D1D">
      <w:pPr>
        <w:pStyle w:val="6"/>
        <w:adjustRightInd w:val="0"/>
        <w:snapToGrid w:val="0"/>
        <w:spacing w:line="578" w:lineRule="exact"/>
        <w:rPr>
          <w:rFonts w:hint="eastAsia" w:hAnsi="宋体"/>
          <w:b/>
          <w:color w:val="000000"/>
        </w:rPr>
      </w:pPr>
      <w:r>
        <w:rPr>
          <w:rFonts w:hint="eastAsia" w:hAnsi="宋体"/>
          <w:b/>
          <w:color w:val="00000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注：本合同总价包括但不限于完成本项目的相关调查、资料收集、方案调研、所有工作内容的编制、修改，送审（含专家评审会费用）、交通费、税费、人员费用，合同实施过程中应预见及不可预见等在内的全部费用。除前述费用以外，甲方无需再向乙方支付其他任何款项。乙方须提前向甲方提供发票，收到发票后甲方进行款项支付。</w:t>
      </w:r>
    </w:p>
    <w:p w14:paraId="32D58532">
      <w:pPr>
        <w:numPr>
          <w:ilvl w:val="0"/>
          <w:numId w:val="2"/>
        </w:numPr>
        <w:spacing w:line="578" w:lineRule="exact"/>
        <w:ind w:firstLine="64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项目服务期限</w:t>
      </w:r>
    </w:p>
    <w:p w14:paraId="4463A9D4">
      <w:pPr>
        <w:pStyle w:val="6"/>
        <w:spacing w:line="578" w:lineRule="exact"/>
        <w:ind w:firstLine="755" w:firstLineChars="236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服务期限至2026年3月31日</w:t>
      </w:r>
    </w:p>
    <w:p w14:paraId="3E76FB9D">
      <w:pPr>
        <w:numPr>
          <w:ilvl w:val="0"/>
          <w:numId w:val="2"/>
        </w:numPr>
        <w:spacing w:line="578" w:lineRule="exact"/>
        <w:ind w:firstLine="64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服务内容</w:t>
      </w:r>
    </w:p>
    <w:p w14:paraId="759F8874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1" w:name="_Toc44679077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bookmarkEnd w:id="1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对已有水土保持方案批复的历史项目开展水土保持监管工作</w:t>
      </w:r>
    </w:p>
    <w:p w14:paraId="0442C2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4679079"/>
      <w:bookmarkStart w:id="3" w:name="_Toc490758530"/>
      <w:r>
        <w:rPr>
          <w:rFonts w:hint="eastAsia" w:ascii="仿宋_GB2312" w:hAnsi="仿宋_GB2312" w:eastAsia="仿宋_GB2312" w:cs="仿宋_GB2312"/>
          <w:sz w:val="32"/>
          <w:szCs w:val="32"/>
        </w:rPr>
        <w:t>服务内容包括监督检查、系统录入、验收核查。</w:t>
      </w:r>
    </w:p>
    <w:p w14:paraId="1039F0A7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bookmarkEnd w:id="2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对2025年新批复的生产建设项目开展水土保持监管工作</w:t>
      </w:r>
    </w:p>
    <w:p w14:paraId="19D1E6C6">
      <w:pPr>
        <w:spacing w:before="62" w:beforeLines="20" w:after="62" w:afterLines="20" w:line="360" w:lineRule="auto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服务内容包括方案技术审查、方案现场核查、监督检查、系统录入。（预估项目10个，其中政府投资类5个，企业投资类5个）</w:t>
      </w:r>
    </w:p>
    <w:p w14:paraId="248F04EF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4" w:name="_Toc524531377"/>
      <w:bookmarkStart w:id="5" w:name="_Toc44679080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bookmarkEnd w:id="4"/>
      <w:bookmarkEnd w:id="5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对国家、省、市级下发的疑似水土保持违法违规扰动图斑开展核查工作</w:t>
      </w:r>
    </w:p>
    <w:p w14:paraId="1DBD17D9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按照水土保持法律法规及上级部门要求，对</w:t>
      </w:r>
      <w:bookmarkStart w:id="6" w:name="OLE_LINK2"/>
      <w:r>
        <w:rPr>
          <w:rFonts w:hint="eastAsia" w:ascii="仿宋_GB2312" w:hAnsi="仿宋_GB2312" w:eastAsia="仿宋_GB2312" w:cs="仿宋_GB2312"/>
          <w:sz w:val="32"/>
          <w:szCs w:val="32"/>
        </w:rPr>
        <w:t>国家、省、市级下发的疑似水土保持违法违规扰动图斑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开展核查工作，为项目认定、查处</w:t>
      </w:r>
      <w:r>
        <w:rPr>
          <w:rFonts w:ascii="仿宋_GB2312" w:hAnsi="仿宋_GB2312" w:eastAsia="仿宋_GB2312" w:cs="仿宋_GB2312"/>
          <w:sz w:val="32"/>
          <w:szCs w:val="32"/>
        </w:rPr>
        <w:t>及整改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销号提供技术</w:t>
      </w:r>
      <w:r>
        <w:rPr>
          <w:rFonts w:ascii="仿宋_GB2312" w:hAnsi="仿宋_GB2312" w:eastAsia="仿宋_GB2312" w:cs="仿宋_GB2312"/>
          <w:sz w:val="32"/>
          <w:szCs w:val="32"/>
        </w:rPr>
        <w:t>指导工作</w:t>
      </w:r>
      <w:r>
        <w:rPr>
          <w:rFonts w:hint="eastAsia" w:eastAsia="仿宋_GB2312" w:cs="仿宋_GB2312"/>
          <w:color w:val="000000"/>
          <w:sz w:val="32"/>
          <w:szCs w:val="32"/>
        </w:rPr>
        <w:t>。</w:t>
      </w:r>
    </w:p>
    <w:bookmarkEnd w:id="3"/>
    <w:p w14:paraId="7A489D32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7" w:name="_Hlk40090715"/>
      <w:bookmarkStart w:id="8" w:name="_Toc66979523"/>
      <w:bookmarkStart w:id="9" w:name="_Toc72834279"/>
      <w:bookmarkStart w:id="10" w:name="_Toc40188008"/>
      <w:bookmarkStart w:id="11" w:name="_Toc74210908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bookmarkEnd w:id="7"/>
      <w:bookmarkEnd w:id="8"/>
      <w:bookmarkEnd w:id="9"/>
      <w:bookmarkEnd w:id="10"/>
      <w:bookmarkEnd w:id="11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水土保持率提升工作</w:t>
      </w:r>
    </w:p>
    <w:p w14:paraId="4EC37E4D"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_Toc72834280"/>
      <w:bookmarkStart w:id="13" w:name="_Toc66979524"/>
      <w:bookmarkStart w:id="14" w:name="_Toc40188009"/>
      <w:bookmarkStart w:id="15" w:name="_Toc74210909"/>
      <w:r>
        <w:rPr>
          <w:rFonts w:hint="eastAsia" w:ascii="仿宋_GB2312" w:hAnsi="仿宋_GB2312" w:eastAsia="仿宋_GB2312" w:cs="仿宋_GB2312"/>
          <w:sz w:val="32"/>
          <w:szCs w:val="32"/>
        </w:rPr>
        <w:t>对前三项工作未覆盖到的、存在明显地表扰动的生产建设项目及活动，开展水土流失现场调查工作和水土保持措施落实整改技术指导工作。</w:t>
      </w:r>
    </w:p>
    <w:p w14:paraId="3CD1229E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</w:t>
      </w:r>
      <w:bookmarkEnd w:id="12"/>
      <w:bookmarkEnd w:id="13"/>
      <w:bookmarkEnd w:id="14"/>
      <w:bookmarkEnd w:id="15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协助开展水土保持宣传和培训各1次。</w:t>
      </w:r>
    </w:p>
    <w:p w14:paraId="3E29EEA6"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（六）对我局在水土保持工作中遇到的技术问题，提供专业意见和解决方案。</w:t>
      </w:r>
    </w:p>
    <w:p w14:paraId="69B53BAE">
      <w:pPr>
        <w:spacing w:line="578" w:lineRule="exact"/>
        <w:ind w:left="420" w:left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四、验收标准及要求</w:t>
      </w:r>
    </w:p>
    <w:p w14:paraId="68BF7932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（一）验收标准：各项工作要符合水土保持法律法规要求，国家、行业、省市对水土保持各项规定和要求，符合招标文件要求及投标文件响应情况。</w:t>
      </w:r>
    </w:p>
    <w:p w14:paraId="14995E17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（二）验收方法：根据甲方要求提供项目成果资料。</w:t>
      </w:r>
    </w:p>
    <w:p w14:paraId="5ABB538C">
      <w:pPr>
        <w:pStyle w:val="6"/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五、付款方式</w:t>
      </w:r>
    </w:p>
    <w:p w14:paraId="5F810EBB">
      <w:pPr>
        <w:spacing w:line="578" w:lineRule="exact"/>
        <w:ind w:firstLine="48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（一）合同签订后30日内，支付合同额的30%，即人民币</w:t>
      </w:r>
      <w:bookmarkStart w:id="16" w:name="OLE_LINK1"/>
      <w:r>
        <w:rPr>
          <w:rFonts w:hint="eastAsia" w:eastAsia="仿宋_GB2312" w:cs="仿宋_GB2312"/>
          <w:color w:val="000000"/>
          <w:sz w:val="32"/>
          <w:szCs w:val="32"/>
          <w:u w:val="single"/>
        </w:rPr>
        <w:t xml:space="preserve">  万  仟  佰  拾元整（￥      元）</w:t>
      </w:r>
      <w:bookmarkEnd w:id="16"/>
      <w:r>
        <w:rPr>
          <w:rFonts w:hint="eastAsia" w:eastAsia="仿宋_GB2312" w:cs="仿宋_GB2312"/>
          <w:color w:val="000000"/>
          <w:sz w:val="32"/>
          <w:szCs w:val="32"/>
        </w:rPr>
        <w:t>；</w:t>
      </w:r>
    </w:p>
    <w:p w14:paraId="751EF2D9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  <w:u w:val="single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（二）完成本合同第三条约定的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第（一）、（三）、（四）、（五）项工作</w:t>
      </w:r>
      <w:r>
        <w:rPr>
          <w:rFonts w:hint="eastAsia" w:eastAsia="仿宋_GB2312" w:cs="仿宋_GB2312"/>
          <w:color w:val="000000"/>
          <w:sz w:val="32"/>
          <w:szCs w:val="32"/>
        </w:rPr>
        <w:t>，符合甲方以及省市相关部门的要求后，支付合同额的40%，即人民币</w:t>
      </w:r>
      <w:r>
        <w:rPr>
          <w:rFonts w:hint="eastAsia" w:eastAsia="仿宋_GB2312" w:cs="仿宋_GB2312"/>
          <w:color w:val="000000"/>
          <w:sz w:val="32"/>
          <w:szCs w:val="32"/>
          <w:u w:val="single"/>
        </w:rPr>
        <w:t xml:space="preserve">  万  仟  佰  拾元整（￥      元）；</w:t>
      </w:r>
    </w:p>
    <w:p w14:paraId="3F5763A5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zh-CN"/>
        </w:rPr>
        <w:t>（三）</w:t>
      </w:r>
      <w:r>
        <w:rPr>
          <w:rFonts w:hint="eastAsia" w:eastAsia="仿宋_GB2312" w:cs="仿宋_GB2312"/>
          <w:color w:val="000000"/>
          <w:sz w:val="32"/>
          <w:szCs w:val="32"/>
        </w:rPr>
        <w:t>项目服务期限内</w:t>
      </w:r>
      <w:r>
        <w:rPr>
          <w:rFonts w:hint="eastAsia" w:eastAsia="仿宋_GB2312" w:cs="仿宋_GB2312"/>
          <w:color w:val="000000"/>
          <w:sz w:val="32"/>
          <w:szCs w:val="32"/>
          <w:lang w:val="zh-CN"/>
        </w:rPr>
        <w:t>，所有成果符合甲方以及省市相关部门的要求，经甲方</w:t>
      </w:r>
      <w:r>
        <w:rPr>
          <w:rFonts w:hint="eastAsia" w:eastAsia="仿宋_GB2312" w:cs="仿宋_GB2312"/>
          <w:color w:val="000000"/>
          <w:sz w:val="32"/>
          <w:szCs w:val="32"/>
        </w:rPr>
        <w:t>确认</w:t>
      </w:r>
      <w:r>
        <w:rPr>
          <w:rFonts w:hint="eastAsia" w:eastAsia="仿宋_GB2312" w:cs="仿宋_GB2312"/>
          <w:color w:val="000000"/>
          <w:sz w:val="32"/>
          <w:szCs w:val="32"/>
          <w:lang w:val="zh-CN"/>
        </w:rPr>
        <w:t>合格，支付合同尾款</w:t>
      </w:r>
      <w:r>
        <w:rPr>
          <w:rFonts w:hint="eastAsia" w:eastAsia="仿宋_GB2312" w:cs="仿宋_GB2312"/>
          <w:color w:val="000000"/>
          <w:sz w:val="32"/>
          <w:szCs w:val="32"/>
        </w:rPr>
        <w:t>。</w:t>
      </w:r>
    </w:p>
    <w:p w14:paraId="169691AD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六、违约责任</w:t>
      </w:r>
    </w:p>
    <w:p w14:paraId="295F606F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（一）乙方提供的服务不符合本项目合同规定及甲方要求的，甲方有权拒收，有权单方解除本合同并且乙方须向甲方支付本合同总价5%的违约金。</w:t>
      </w:r>
    </w:p>
    <w:p w14:paraId="4B0339D9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乙方未能按规定的时间完成服务工作的，从逾期之日起每日按本合同总价5%的数额向甲方支付违约金；逾期15个日历天以上的，甲方有权单方解除本合同，乙方应向甲方支付本合同总价5%的违约金，由此造成的甲方经济损失由乙方承担。</w:t>
      </w:r>
    </w:p>
    <w:p w14:paraId="55CF0429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（三）甲方无正当理由甲方逾期付款，则每日按合同总价的5%向乙方偿付违约金，但因国家政府财政原因调整导致逾期付款的，不视为甲方违约，乙方不得要求甲方承担违约责任，不得要求甲方赔偿或补偿。</w:t>
      </w:r>
    </w:p>
    <w:p w14:paraId="01DF79EE">
      <w:pPr>
        <w:spacing w:line="578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（四）其它违约责任按《中华人民共和国民法典》处理。</w:t>
      </w:r>
    </w:p>
    <w:p w14:paraId="75555B8D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七、争端的解决</w:t>
      </w:r>
    </w:p>
    <w:p w14:paraId="66A623FD">
      <w:pPr>
        <w:spacing w:line="578" w:lineRule="exact"/>
        <w:ind w:firstLine="716" w:firstLineChars="224"/>
        <w:rPr>
          <w:rFonts w:hint="eastAsia" w:ascii="宋体" w:hAnsi="宋体"/>
          <w:color w:val="000000"/>
          <w:sz w:val="24"/>
        </w:rPr>
      </w:pPr>
      <w:r>
        <w:rPr>
          <w:rFonts w:hint="eastAsia" w:eastAsia="仿宋_GB2312" w:cs="仿宋_GB2312"/>
          <w:color w:val="000000"/>
          <w:sz w:val="32"/>
          <w:szCs w:val="32"/>
        </w:rPr>
        <w:t>合同执行过程中发生的任何争议，如双方不能通过友好协商解决，由甲方所在地法院管辖。</w:t>
      </w:r>
    </w:p>
    <w:p w14:paraId="0EBF83BE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八、不可抗力</w:t>
      </w:r>
    </w:p>
    <w:p w14:paraId="642DD9E7">
      <w:pPr>
        <w:spacing w:line="578" w:lineRule="exact"/>
        <w:ind w:firstLine="716" w:firstLineChars="224"/>
        <w:rPr>
          <w:rFonts w:hint="eastAsia" w:ascii="宋体" w:hAnsi="宋体"/>
          <w:color w:val="000000"/>
          <w:sz w:val="24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 w14:paraId="4E0D5081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九、其它</w:t>
      </w:r>
    </w:p>
    <w:p w14:paraId="6FD639AE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（一）本合同所有附件均为合同的有效组成部分，与本合同具有同等法律效力。</w:t>
      </w:r>
    </w:p>
    <w:p w14:paraId="086FB9BB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（二）在执行本合同的过程中，所有经双方签署确认的文件（包括会议纪要、补充协议）即成为本合同的有效组成部分。</w:t>
      </w:r>
    </w:p>
    <w:p w14:paraId="4134F59A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（三）如一方地址、电话、传真号码有变更，应在变更当日内书面通知对方，否则，应承担相应责任。 </w:t>
      </w:r>
    </w:p>
    <w:p w14:paraId="27BEF767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（四）除甲方事先书面同意外，乙方不得部分或全部转让其应履行的合同义务。</w:t>
      </w:r>
    </w:p>
    <w:p w14:paraId="6425F7D1">
      <w:pPr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十、合同生效</w:t>
      </w:r>
    </w:p>
    <w:p w14:paraId="1FA0FF1E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（一）本合同在甲乙双方法人代表或其授权代表签字盖章后生效。</w:t>
      </w:r>
    </w:p>
    <w:p w14:paraId="7E67F4D7">
      <w:pPr>
        <w:spacing w:line="578" w:lineRule="exact"/>
        <w:ind w:firstLine="716" w:firstLineChars="224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（二）本合同一式8份。甲方执4份，乙方执4份。</w:t>
      </w:r>
    </w:p>
    <w:p w14:paraId="7528DF3A">
      <w:pPr>
        <w:tabs>
          <w:tab w:val="left" w:pos="540"/>
        </w:tabs>
        <w:spacing w:line="440" w:lineRule="exac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（以下无正文）</w:t>
      </w:r>
    </w:p>
    <w:tbl>
      <w:tblPr>
        <w:tblStyle w:val="10"/>
        <w:tblW w:w="89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5"/>
        <w:gridCol w:w="4317"/>
      </w:tblGrid>
      <w:tr w14:paraId="3ACE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219" w:type="dxa"/>
            <w:vAlign w:val="center"/>
          </w:tcPr>
          <w:p w14:paraId="3C08AF7A">
            <w:pPr>
              <w:spacing w:line="560" w:lineRule="exact"/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甲方（盖章）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 xml:space="preserve">：              </w:t>
            </w:r>
          </w:p>
          <w:p w14:paraId="3440BB74">
            <w:pPr>
              <w:spacing w:line="5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425" w:type="dxa"/>
            <w:vAlign w:val="center"/>
          </w:tcPr>
          <w:p w14:paraId="32642CB4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14:paraId="4813CDE1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乙方（盖章）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 xml:space="preserve">：                  </w:t>
            </w:r>
          </w:p>
        </w:tc>
      </w:tr>
      <w:tr w14:paraId="5453B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19" w:type="dxa"/>
            <w:vAlign w:val="center"/>
          </w:tcPr>
          <w:p w14:paraId="10725F2B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法定代表人或代理人（签字）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>：</w:t>
            </w:r>
          </w:p>
          <w:p w14:paraId="0EB9BC1B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425" w:type="dxa"/>
            <w:vAlign w:val="center"/>
          </w:tcPr>
          <w:p w14:paraId="0672163A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14:paraId="61CB6E4F">
            <w:pPr>
              <w:spacing w:line="400" w:lineRule="exac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法定代表人或代理人（签字）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u w:val="single"/>
              </w:rPr>
              <w:t xml:space="preserve">：     </w:t>
            </w:r>
          </w:p>
        </w:tc>
      </w:tr>
      <w:tr w14:paraId="30E40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19" w:type="dxa"/>
            <w:vAlign w:val="center"/>
          </w:tcPr>
          <w:p w14:paraId="29E939A2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7354B82B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7" w:type="dxa"/>
            <w:vAlign w:val="center"/>
          </w:tcPr>
          <w:p w14:paraId="142A2BEE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开户银行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：                   </w:t>
            </w:r>
          </w:p>
        </w:tc>
      </w:tr>
      <w:tr w14:paraId="7FC0F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19" w:type="dxa"/>
            <w:vAlign w:val="center"/>
          </w:tcPr>
          <w:p w14:paraId="3737402B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签定地点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：  广州市     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DA583D1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7" w:type="dxa"/>
            <w:vAlign w:val="center"/>
          </w:tcPr>
          <w:p w14:paraId="31BECCBB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账  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：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  <w:tr w14:paraId="20E3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19" w:type="dxa"/>
            <w:vAlign w:val="center"/>
          </w:tcPr>
          <w:p w14:paraId="29373039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    期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：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25" w:type="dxa"/>
            <w:vAlign w:val="center"/>
          </w:tcPr>
          <w:p w14:paraId="4541D48C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7" w:type="dxa"/>
            <w:vAlign w:val="center"/>
          </w:tcPr>
          <w:p w14:paraId="0983D089">
            <w:pPr>
              <w:spacing w:line="3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    期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：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</w:tbl>
    <w:p w14:paraId="5DE7C255"/>
    <w:sectPr>
      <w:footerReference r:id="rId4" w:type="default"/>
      <w:pgSz w:w="11906" w:h="16838"/>
      <w:pgMar w:top="2098" w:right="1474" w:bottom="1984" w:left="1587" w:header="850" w:footer="1559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legro BT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4744C">
    <w:pPr>
      <w:pStyle w:val="8"/>
      <w:jc w:val="center"/>
      <w:rPr>
        <w:rFonts w:hint="eastAsia"/>
      </w:rPr>
    </w:pPr>
  </w:p>
  <w:p w14:paraId="3B5E50BD"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7B98E">
    <w:pPr>
      <w:pStyle w:val="8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761DA2">
    <w:pPr>
      <w:pStyle w:val="8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427E7"/>
    <w:multiLevelType w:val="multilevel"/>
    <w:tmpl w:val="4F9427E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AB47458"/>
    <w:multiLevelType w:val="singleLevel"/>
    <w:tmpl w:val="5AB47458"/>
    <w:lvl w:ilvl="0" w:tentative="0">
      <w:start w:val="2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DYyZGJmYWVjOWFlNTdlYzgzMjFkYzIyMTZmNzkifQ=="/>
  </w:docVars>
  <w:rsids>
    <w:rsidRoot w:val="00044CF8"/>
    <w:rsid w:val="00025CE2"/>
    <w:rsid w:val="000266F9"/>
    <w:rsid w:val="00044CF8"/>
    <w:rsid w:val="000633A8"/>
    <w:rsid w:val="000A67CA"/>
    <w:rsid w:val="000B23C1"/>
    <w:rsid w:val="000C2CE9"/>
    <w:rsid w:val="000E4ECF"/>
    <w:rsid w:val="000F13BA"/>
    <w:rsid w:val="00101D3D"/>
    <w:rsid w:val="00105D7B"/>
    <w:rsid w:val="00125830"/>
    <w:rsid w:val="00125C71"/>
    <w:rsid w:val="001317F5"/>
    <w:rsid w:val="00150871"/>
    <w:rsid w:val="00153056"/>
    <w:rsid w:val="001974EE"/>
    <w:rsid w:val="001A2390"/>
    <w:rsid w:val="001C61BD"/>
    <w:rsid w:val="001D7B6B"/>
    <w:rsid w:val="001E03C7"/>
    <w:rsid w:val="001E097E"/>
    <w:rsid w:val="001E42C2"/>
    <w:rsid w:val="001E5FF5"/>
    <w:rsid w:val="001E75CA"/>
    <w:rsid w:val="00200FD2"/>
    <w:rsid w:val="002128FC"/>
    <w:rsid w:val="00276730"/>
    <w:rsid w:val="00281F57"/>
    <w:rsid w:val="002830F7"/>
    <w:rsid w:val="00295132"/>
    <w:rsid w:val="002B2B50"/>
    <w:rsid w:val="002B3ED7"/>
    <w:rsid w:val="002C7E54"/>
    <w:rsid w:val="002F7EC4"/>
    <w:rsid w:val="00307829"/>
    <w:rsid w:val="003228C1"/>
    <w:rsid w:val="00341986"/>
    <w:rsid w:val="00353DBC"/>
    <w:rsid w:val="00355FD5"/>
    <w:rsid w:val="00356B4B"/>
    <w:rsid w:val="00376D05"/>
    <w:rsid w:val="00381152"/>
    <w:rsid w:val="00387712"/>
    <w:rsid w:val="003C45AD"/>
    <w:rsid w:val="003E5206"/>
    <w:rsid w:val="003E5AB1"/>
    <w:rsid w:val="00406951"/>
    <w:rsid w:val="0043069E"/>
    <w:rsid w:val="00431A83"/>
    <w:rsid w:val="00433594"/>
    <w:rsid w:val="00447672"/>
    <w:rsid w:val="00487092"/>
    <w:rsid w:val="004B0E1A"/>
    <w:rsid w:val="004B571E"/>
    <w:rsid w:val="004C78CF"/>
    <w:rsid w:val="004D03C1"/>
    <w:rsid w:val="004D786B"/>
    <w:rsid w:val="0050712A"/>
    <w:rsid w:val="0050724D"/>
    <w:rsid w:val="005154A0"/>
    <w:rsid w:val="00546104"/>
    <w:rsid w:val="00550369"/>
    <w:rsid w:val="00562185"/>
    <w:rsid w:val="00571F4A"/>
    <w:rsid w:val="0057242F"/>
    <w:rsid w:val="00587EFC"/>
    <w:rsid w:val="00591CA4"/>
    <w:rsid w:val="00592354"/>
    <w:rsid w:val="00597805"/>
    <w:rsid w:val="005B0039"/>
    <w:rsid w:val="005B72D0"/>
    <w:rsid w:val="005C46FA"/>
    <w:rsid w:val="005F1708"/>
    <w:rsid w:val="006333AE"/>
    <w:rsid w:val="00655828"/>
    <w:rsid w:val="00661321"/>
    <w:rsid w:val="00661EC6"/>
    <w:rsid w:val="006628D6"/>
    <w:rsid w:val="00677EC9"/>
    <w:rsid w:val="00692C6B"/>
    <w:rsid w:val="006A3E6D"/>
    <w:rsid w:val="006C07DD"/>
    <w:rsid w:val="006E1D25"/>
    <w:rsid w:val="006E551C"/>
    <w:rsid w:val="006F07CE"/>
    <w:rsid w:val="00702CBA"/>
    <w:rsid w:val="0072168C"/>
    <w:rsid w:val="00763748"/>
    <w:rsid w:val="00770320"/>
    <w:rsid w:val="007C04E7"/>
    <w:rsid w:val="007C1B52"/>
    <w:rsid w:val="007C27FE"/>
    <w:rsid w:val="007D5E8D"/>
    <w:rsid w:val="007F4496"/>
    <w:rsid w:val="007F647A"/>
    <w:rsid w:val="008122EC"/>
    <w:rsid w:val="0082447B"/>
    <w:rsid w:val="00824722"/>
    <w:rsid w:val="00835467"/>
    <w:rsid w:val="008528FE"/>
    <w:rsid w:val="00885F9B"/>
    <w:rsid w:val="008A5EB2"/>
    <w:rsid w:val="008C52B1"/>
    <w:rsid w:val="009118D3"/>
    <w:rsid w:val="00912692"/>
    <w:rsid w:val="00927D8A"/>
    <w:rsid w:val="00930B0F"/>
    <w:rsid w:val="00977DB2"/>
    <w:rsid w:val="00983C4D"/>
    <w:rsid w:val="009A309F"/>
    <w:rsid w:val="009A4039"/>
    <w:rsid w:val="009B2873"/>
    <w:rsid w:val="009C5EBF"/>
    <w:rsid w:val="009F1095"/>
    <w:rsid w:val="00A0193A"/>
    <w:rsid w:val="00A249A1"/>
    <w:rsid w:val="00A254F4"/>
    <w:rsid w:val="00A4513B"/>
    <w:rsid w:val="00A6640C"/>
    <w:rsid w:val="00A77948"/>
    <w:rsid w:val="00AB385D"/>
    <w:rsid w:val="00AC5DCC"/>
    <w:rsid w:val="00AD3108"/>
    <w:rsid w:val="00AE4ACB"/>
    <w:rsid w:val="00AE7680"/>
    <w:rsid w:val="00B13EBB"/>
    <w:rsid w:val="00B15710"/>
    <w:rsid w:val="00B318CC"/>
    <w:rsid w:val="00B36A89"/>
    <w:rsid w:val="00B47A0D"/>
    <w:rsid w:val="00B54F12"/>
    <w:rsid w:val="00B61483"/>
    <w:rsid w:val="00B8449A"/>
    <w:rsid w:val="00BA2B3E"/>
    <w:rsid w:val="00BB560A"/>
    <w:rsid w:val="00BD20B4"/>
    <w:rsid w:val="00BE6CCA"/>
    <w:rsid w:val="00BF61EA"/>
    <w:rsid w:val="00C01C79"/>
    <w:rsid w:val="00C0270E"/>
    <w:rsid w:val="00C06499"/>
    <w:rsid w:val="00C274A2"/>
    <w:rsid w:val="00C32C70"/>
    <w:rsid w:val="00C615E2"/>
    <w:rsid w:val="00C717CE"/>
    <w:rsid w:val="00C72A00"/>
    <w:rsid w:val="00C73584"/>
    <w:rsid w:val="00CA0B57"/>
    <w:rsid w:val="00CC42B8"/>
    <w:rsid w:val="00CD7983"/>
    <w:rsid w:val="00CE19E1"/>
    <w:rsid w:val="00CF18E8"/>
    <w:rsid w:val="00CF2AB6"/>
    <w:rsid w:val="00D03AEE"/>
    <w:rsid w:val="00D20492"/>
    <w:rsid w:val="00D33630"/>
    <w:rsid w:val="00D502A5"/>
    <w:rsid w:val="00D53664"/>
    <w:rsid w:val="00D56615"/>
    <w:rsid w:val="00D577C5"/>
    <w:rsid w:val="00D83A44"/>
    <w:rsid w:val="00DC1226"/>
    <w:rsid w:val="00DD2948"/>
    <w:rsid w:val="00DE62B4"/>
    <w:rsid w:val="00DF62B3"/>
    <w:rsid w:val="00E16804"/>
    <w:rsid w:val="00E3614B"/>
    <w:rsid w:val="00E77B0F"/>
    <w:rsid w:val="00EA1564"/>
    <w:rsid w:val="00ED242F"/>
    <w:rsid w:val="00F26398"/>
    <w:rsid w:val="00F511D1"/>
    <w:rsid w:val="00F65F01"/>
    <w:rsid w:val="00F71A69"/>
    <w:rsid w:val="00FE2CC7"/>
    <w:rsid w:val="01F47B68"/>
    <w:rsid w:val="02801CC6"/>
    <w:rsid w:val="04431D15"/>
    <w:rsid w:val="063514B5"/>
    <w:rsid w:val="158634A6"/>
    <w:rsid w:val="17D34247"/>
    <w:rsid w:val="1B337A6C"/>
    <w:rsid w:val="1EFB35EE"/>
    <w:rsid w:val="24D60B5A"/>
    <w:rsid w:val="2F342FAF"/>
    <w:rsid w:val="30247A16"/>
    <w:rsid w:val="31347640"/>
    <w:rsid w:val="397362F8"/>
    <w:rsid w:val="3CD376B9"/>
    <w:rsid w:val="45D21315"/>
    <w:rsid w:val="4953307D"/>
    <w:rsid w:val="4B952463"/>
    <w:rsid w:val="4BFA6444"/>
    <w:rsid w:val="4D1D1A8F"/>
    <w:rsid w:val="56D20ACE"/>
    <w:rsid w:val="58D0366B"/>
    <w:rsid w:val="5B440BD6"/>
    <w:rsid w:val="5B896714"/>
    <w:rsid w:val="5C2370E6"/>
    <w:rsid w:val="5D78162C"/>
    <w:rsid w:val="64DF1234"/>
    <w:rsid w:val="676C4729"/>
    <w:rsid w:val="69502A03"/>
    <w:rsid w:val="6D72598F"/>
    <w:rsid w:val="6D8908B5"/>
    <w:rsid w:val="6D9A1CD2"/>
    <w:rsid w:val="70612AF2"/>
    <w:rsid w:val="726902F0"/>
    <w:rsid w:val="75932D99"/>
    <w:rsid w:val="76DF5526"/>
    <w:rsid w:val="787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1"/>
    </w:rPr>
  </w:style>
  <w:style w:type="paragraph" w:styleId="3">
    <w:name w:val="Body Text"/>
    <w:basedOn w:val="1"/>
    <w:qFormat/>
    <w:uiPriority w:val="99"/>
    <w:rPr>
      <w:rFonts w:ascii="仿宋_GB2312" w:hAnsi="Allegro BT" w:eastAsia="仿宋_GB2312"/>
      <w:kern w:val="0"/>
      <w:sz w:val="24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纯文本 字符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脚 字符"/>
    <w:link w:val="8"/>
    <w:qFormat/>
    <w:uiPriority w:val="99"/>
    <w:rPr>
      <w:sz w:val="18"/>
      <w:szCs w:val="18"/>
    </w:rPr>
  </w:style>
  <w:style w:type="character" w:customStyle="1" w:styleId="15">
    <w:name w:val="页脚 字符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字符1"/>
    <w:basedOn w:val="11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7">
    <w:name w:val="页眉 字符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BE18-29B7-47D0-922E-32CC62348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1754</Words>
  <Characters>1779</Characters>
  <Lines>88</Lines>
  <Paragraphs>118</Paragraphs>
  <TotalTime>9</TotalTime>
  <ScaleCrop>false</ScaleCrop>
  <LinksUpToDate>false</LinksUpToDate>
  <CharactersWithSpaces>2156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2021-07-16T01:39:00Z</dcterms:created>
  <dc:creator>MO CHNE</dc:creator>
  <cp:lastModifiedBy>源哥仔</cp:lastModifiedBy>
  <cp:lastPrinted>2024-04-01T06:29:00Z</cp:lastPrinted>
  <dcterms:modified xsi:type="dcterms:W3CDTF">2025-05-19T10:11:35Z</dcterms:modified>
  <dc:title>合 同 书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1D20C808F3EE44D3876C36EB30AD2546_13</vt:lpwstr>
  </property>
  <property fmtid="{D5CDD505-2E9C-101B-9397-08002B2CF9AE}" pid="4" name="KSOTemplateDocerSaveRecord">
    <vt:lpwstr>eyJoZGlkIjoiMmIxMDUyZDA2YjMyNzg5ZmM1NDNiNjM2MWM3NjVjNzIiLCJ1c2VySWQiOiI2NTk3Nzk3OTIifQ==</vt:lpwstr>
  </property>
</Properties>
</file>