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4DEA2D">
      <w:pPr>
        <w:jc w:val="center"/>
        <w:rPr>
          <w:rFonts w:ascii="宋体" w:hAnsi="宋体" w:cs="宋体"/>
          <w:color w:val="auto"/>
          <w:sz w:val="32"/>
          <w:szCs w:val="32"/>
          <w:highlight w:val="none"/>
          <w:u w:val="single"/>
        </w:rPr>
      </w:pPr>
    </w:p>
    <w:p w14:paraId="09903F0D">
      <w:pPr>
        <w:pStyle w:val="26"/>
        <w:rPr>
          <w:rFonts w:ascii="宋体" w:hAnsi="宋体" w:cs="宋体"/>
          <w:color w:val="auto"/>
          <w:sz w:val="32"/>
          <w:szCs w:val="32"/>
          <w:highlight w:val="none"/>
          <w:u w:val="single"/>
        </w:rPr>
      </w:pPr>
    </w:p>
    <w:p w14:paraId="06577470">
      <w:pPr>
        <w:pStyle w:val="26"/>
        <w:rPr>
          <w:rFonts w:ascii="宋体" w:hAnsi="宋体" w:cs="宋体"/>
          <w:color w:val="auto"/>
          <w:sz w:val="32"/>
          <w:szCs w:val="32"/>
          <w:highlight w:val="none"/>
          <w:u w:val="single"/>
        </w:rPr>
      </w:pPr>
    </w:p>
    <w:p w14:paraId="6BFE875B">
      <w:pPr>
        <w:jc w:val="center"/>
        <w:rPr>
          <w:rFonts w:ascii="宋体" w:hAnsi="宋体" w:cs="宋体"/>
          <w:b/>
          <w:bCs/>
          <w:color w:val="auto"/>
          <w:sz w:val="44"/>
          <w:szCs w:val="44"/>
          <w:highlight w:val="none"/>
          <w:u w:val="single"/>
        </w:rPr>
      </w:pPr>
      <w:r>
        <w:rPr>
          <w:rFonts w:hint="eastAsia" w:ascii="宋体" w:hAnsi="宋体" w:cs="宋体"/>
          <w:b/>
          <w:bCs/>
          <w:color w:val="auto"/>
          <w:sz w:val="44"/>
          <w:szCs w:val="44"/>
          <w:highlight w:val="none"/>
          <w:u w:val="single"/>
        </w:rPr>
        <w:t>广州市美华中学改扩建工程招标代理服务</w:t>
      </w:r>
    </w:p>
    <w:p w14:paraId="2E8FF35A">
      <w:pPr>
        <w:rPr>
          <w:rFonts w:ascii="宋体" w:hAnsi="宋体" w:cs="宋体"/>
          <w:b/>
          <w:bCs/>
          <w:color w:val="auto"/>
          <w:sz w:val="44"/>
          <w:highlight w:val="none"/>
        </w:rPr>
      </w:pPr>
    </w:p>
    <w:p w14:paraId="3DBE34DD">
      <w:pPr>
        <w:rPr>
          <w:rFonts w:ascii="宋体" w:hAnsi="宋体" w:cs="宋体"/>
          <w:b/>
          <w:bCs/>
          <w:color w:val="auto"/>
          <w:sz w:val="44"/>
          <w:highlight w:val="none"/>
        </w:rPr>
      </w:pPr>
    </w:p>
    <w:p w14:paraId="2B955CA9">
      <w:pPr>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询比文件</w:t>
      </w:r>
    </w:p>
    <w:p w14:paraId="561B6DA5">
      <w:pPr>
        <w:rPr>
          <w:rFonts w:ascii="宋体" w:hAnsi="宋体" w:cs="宋体"/>
          <w:b/>
          <w:bCs/>
          <w:color w:val="auto"/>
          <w:sz w:val="44"/>
          <w:highlight w:val="none"/>
        </w:rPr>
      </w:pPr>
    </w:p>
    <w:p w14:paraId="2E835DFF">
      <w:pPr>
        <w:rPr>
          <w:rFonts w:ascii="宋体" w:hAnsi="宋体" w:cs="宋体"/>
          <w:b/>
          <w:bCs/>
          <w:color w:val="auto"/>
          <w:sz w:val="44"/>
          <w:highlight w:val="none"/>
        </w:rPr>
      </w:pPr>
    </w:p>
    <w:p w14:paraId="45817E1A">
      <w:pPr>
        <w:rPr>
          <w:rFonts w:ascii="宋体" w:hAnsi="宋体" w:cs="宋体"/>
          <w:b/>
          <w:bCs/>
          <w:color w:val="auto"/>
          <w:sz w:val="44"/>
          <w:highlight w:val="none"/>
        </w:rPr>
      </w:pPr>
    </w:p>
    <w:p w14:paraId="72BF7433">
      <w:pPr>
        <w:rPr>
          <w:rFonts w:ascii="宋体" w:hAnsi="宋体" w:cs="宋体"/>
          <w:b/>
          <w:bCs/>
          <w:color w:val="auto"/>
          <w:sz w:val="44"/>
          <w:highlight w:val="none"/>
        </w:rPr>
      </w:pPr>
    </w:p>
    <w:p w14:paraId="40E65A9E">
      <w:pPr>
        <w:rPr>
          <w:rFonts w:ascii="宋体" w:hAnsi="宋体" w:cs="宋体"/>
          <w:b/>
          <w:bCs/>
          <w:color w:val="auto"/>
          <w:sz w:val="44"/>
          <w:highlight w:val="none"/>
        </w:rPr>
      </w:pPr>
    </w:p>
    <w:p w14:paraId="43B3A004">
      <w:pPr>
        <w:rPr>
          <w:rFonts w:ascii="宋体" w:hAnsi="宋体" w:cs="宋体"/>
          <w:b/>
          <w:bCs/>
          <w:color w:val="auto"/>
          <w:sz w:val="44"/>
          <w:highlight w:val="none"/>
        </w:rPr>
      </w:pPr>
    </w:p>
    <w:p w14:paraId="2F01A5C6">
      <w:pPr>
        <w:rPr>
          <w:rFonts w:ascii="宋体" w:hAnsi="宋体" w:cs="宋体"/>
          <w:b/>
          <w:bCs/>
          <w:color w:val="auto"/>
          <w:sz w:val="44"/>
          <w:highlight w:val="none"/>
        </w:rPr>
      </w:pPr>
    </w:p>
    <w:p w14:paraId="353D9EF3">
      <w:pPr>
        <w:rPr>
          <w:rFonts w:ascii="宋体" w:hAnsi="宋体" w:cs="宋体"/>
          <w:b/>
          <w:bCs/>
          <w:color w:val="auto"/>
          <w:sz w:val="44"/>
          <w:highlight w:val="none"/>
        </w:rPr>
      </w:pPr>
    </w:p>
    <w:p w14:paraId="36E6B20C">
      <w:pPr>
        <w:rPr>
          <w:rFonts w:ascii="宋体" w:hAnsi="宋体" w:cs="宋体"/>
          <w:b/>
          <w:bCs/>
          <w:color w:val="auto"/>
          <w:sz w:val="44"/>
          <w:highlight w:val="none"/>
        </w:rPr>
      </w:pPr>
    </w:p>
    <w:p w14:paraId="21AE278C">
      <w:pPr>
        <w:jc w:val="center"/>
        <w:rPr>
          <w:rFonts w:ascii="宋体" w:hAnsi="宋体" w:cs="宋体"/>
          <w:b/>
          <w:bCs/>
          <w:color w:val="auto"/>
          <w:sz w:val="32"/>
          <w:szCs w:val="32"/>
          <w:highlight w:val="none"/>
        </w:rPr>
      </w:pPr>
      <w:r>
        <w:rPr>
          <w:rFonts w:hint="eastAsia" w:ascii="宋体" w:hAnsi="宋体" w:cs="宋体"/>
          <w:b/>
          <w:bCs/>
          <w:color w:val="auto"/>
          <w:sz w:val="32"/>
          <w:highlight w:val="none"/>
        </w:rPr>
        <w:t>询比单位：广州市荔湾区建设工程项目代建中心</w:t>
      </w:r>
    </w:p>
    <w:p w14:paraId="5AD2B043">
      <w:pPr>
        <w:jc w:val="center"/>
        <w:rPr>
          <w:rFonts w:ascii="宋体" w:hAnsi="宋体" w:cs="宋体"/>
          <w:b/>
          <w:bCs/>
          <w:color w:val="auto"/>
          <w:sz w:val="32"/>
          <w:highlight w:val="none"/>
        </w:rPr>
      </w:pPr>
      <w:r>
        <w:rPr>
          <w:rFonts w:hint="eastAsia" w:ascii="宋体" w:hAnsi="宋体" w:cs="宋体"/>
          <w:b/>
          <w:bCs/>
          <w:color w:val="auto"/>
          <w:sz w:val="32"/>
          <w:highlight w:val="none"/>
        </w:rPr>
        <w:t>询比代理单位：广东广招招标采购有限公司</w:t>
      </w:r>
    </w:p>
    <w:p w14:paraId="78EFAE72">
      <w:pPr>
        <w:jc w:val="center"/>
        <w:rPr>
          <w:rFonts w:ascii="宋体" w:hAnsi="宋体" w:cs="宋体"/>
          <w:b/>
          <w:bCs/>
          <w:color w:val="auto"/>
          <w:sz w:val="44"/>
          <w:highlight w:val="none"/>
        </w:rPr>
      </w:pPr>
      <w:r>
        <w:rPr>
          <w:rFonts w:hint="eastAsia" w:ascii="宋体" w:hAnsi="宋体" w:cs="宋体"/>
          <w:b/>
          <w:color w:val="auto"/>
          <w:sz w:val="32"/>
          <w:szCs w:val="32"/>
          <w:highlight w:val="none"/>
        </w:rPr>
        <w:t>二〇二五年</w:t>
      </w: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月</w:t>
      </w:r>
    </w:p>
    <w:p w14:paraId="2C1B25B4">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14:paraId="6D4FA69C">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14:paraId="75CAB7EA">
      <w:pPr>
        <w:spacing w:line="360" w:lineRule="auto"/>
        <w:ind w:firstLine="643" w:firstLineChars="200"/>
        <w:jc w:val="center"/>
        <w:textAlignment w:val="top"/>
        <w:rPr>
          <w:rFonts w:ascii="宋体" w:hAnsi="宋体" w:cs="宋体"/>
          <w:b/>
          <w:bCs/>
          <w:color w:val="auto"/>
          <w:sz w:val="32"/>
          <w:szCs w:val="32"/>
          <w:highlight w:val="none"/>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1" w:footer="992" w:gutter="0"/>
          <w:pgNumType w:start="1"/>
          <w:cols w:space="720" w:num="1"/>
          <w:titlePg/>
          <w:docGrid w:type="lines" w:linePitch="317" w:charSpace="0"/>
        </w:sectPr>
      </w:pPr>
    </w:p>
    <w:p w14:paraId="484FA69D">
      <w:pPr>
        <w:pStyle w:val="31"/>
        <w:jc w:val="center"/>
        <w:rPr>
          <w:color w:val="auto"/>
          <w:sz w:val="32"/>
          <w:szCs w:val="32"/>
          <w:highlight w:val="none"/>
          <w:lang w:val="zh-CN"/>
        </w:rPr>
      </w:pPr>
      <w:bookmarkStart w:id="0" w:name="_Toc14379"/>
      <w:bookmarkStart w:id="1" w:name="_Toc27607"/>
      <w:r>
        <w:rPr>
          <w:color w:val="auto"/>
          <w:sz w:val="32"/>
          <w:szCs w:val="32"/>
          <w:highlight w:val="none"/>
          <w:lang w:val="zh-CN"/>
        </w:rPr>
        <w:t>目</w:t>
      </w:r>
      <w:r>
        <w:rPr>
          <w:rFonts w:hint="eastAsia"/>
          <w:color w:val="auto"/>
          <w:sz w:val="32"/>
          <w:szCs w:val="32"/>
          <w:highlight w:val="none"/>
        </w:rPr>
        <w:t xml:space="preserve">    </w:t>
      </w:r>
      <w:r>
        <w:rPr>
          <w:color w:val="auto"/>
          <w:sz w:val="32"/>
          <w:szCs w:val="32"/>
          <w:highlight w:val="none"/>
          <w:lang w:val="zh-CN"/>
        </w:rPr>
        <w:t>录</w:t>
      </w:r>
      <w:bookmarkEnd w:id="0"/>
      <w:bookmarkEnd w:id="1"/>
    </w:p>
    <w:p w14:paraId="07A51141">
      <w:pPr>
        <w:pStyle w:val="14"/>
        <w:tabs>
          <w:tab w:val="right" w:leader="dot" w:pos="9638"/>
        </w:tabs>
        <w:spacing w:line="360" w:lineRule="auto"/>
        <w:rPr>
          <w:rFonts w:ascii="宋体" w:hAnsi="宋体" w:cs="宋体"/>
          <w:b/>
          <w:color w:val="auto"/>
          <w:sz w:val="24"/>
          <w:szCs w:val="24"/>
          <w:highlight w:val="none"/>
        </w:rPr>
      </w:pPr>
    </w:p>
    <w:p w14:paraId="241D8738">
      <w:pPr>
        <w:pStyle w:val="14"/>
        <w:tabs>
          <w:tab w:val="right" w:leader="dot" w:pos="9638"/>
        </w:tabs>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TOC \o "1-3" \h \z \u </w:instrText>
      </w:r>
      <w:r>
        <w:rPr>
          <w:rFonts w:hint="eastAsia" w:ascii="宋体" w:hAnsi="宋体" w:cs="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"_Toc29207" </w:instrText>
      </w:r>
      <w:r>
        <w:rPr>
          <w:color w:val="auto"/>
          <w:highlight w:val="none"/>
        </w:rPr>
        <w:fldChar w:fldCharType="separate"/>
      </w:r>
      <w:r>
        <w:rPr>
          <w:rFonts w:hint="eastAsia" w:ascii="宋体" w:hAnsi="宋体" w:cs="宋体"/>
          <w:b/>
          <w:color w:val="auto"/>
          <w:sz w:val="24"/>
          <w:szCs w:val="24"/>
          <w:highlight w:val="none"/>
          <w:shd w:val="clear" w:color="auto" w:fill="FFFFFF"/>
        </w:rPr>
        <w:t>第一章  询比公告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_Toc29207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34D7747D">
      <w:pPr>
        <w:pStyle w:val="14"/>
        <w:tabs>
          <w:tab w:val="right" w:leader="dot" w:pos="9638"/>
        </w:tabs>
        <w:spacing w:line="360" w:lineRule="auto"/>
        <w:rPr>
          <w:rFonts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"_Toc30057" </w:instrText>
      </w:r>
      <w:r>
        <w:rPr>
          <w:color w:val="auto"/>
          <w:highlight w:val="none"/>
        </w:rPr>
        <w:fldChar w:fldCharType="separate"/>
      </w:r>
      <w:r>
        <w:rPr>
          <w:rFonts w:hint="eastAsia" w:ascii="宋体" w:hAnsi="宋体" w:cs="宋体"/>
          <w:b/>
          <w:color w:val="auto"/>
          <w:sz w:val="24"/>
          <w:szCs w:val="24"/>
          <w:highlight w:val="none"/>
          <w:shd w:val="clear" w:color="auto" w:fill="FFFFFF"/>
        </w:rPr>
        <w:t>第二章  评审办法</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_Toc30057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5</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13FA8DFE">
      <w:pPr>
        <w:pStyle w:val="14"/>
        <w:tabs>
          <w:tab w:val="right" w:leader="dot" w:pos="9638"/>
        </w:tabs>
        <w:spacing w:line="360" w:lineRule="auto"/>
        <w:rPr>
          <w:rFonts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"_Toc4264" </w:instrText>
      </w:r>
      <w:r>
        <w:rPr>
          <w:color w:val="auto"/>
          <w:highlight w:val="none"/>
        </w:rPr>
        <w:fldChar w:fldCharType="separate"/>
      </w:r>
      <w:r>
        <w:rPr>
          <w:rFonts w:hint="eastAsia" w:ascii="宋体" w:hAnsi="宋体" w:cs="宋体"/>
          <w:b/>
          <w:color w:val="auto"/>
          <w:sz w:val="24"/>
          <w:szCs w:val="24"/>
          <w:highlight w:val="none"/>
          <w:shd w:val="clear" w:color="auto" w:fill="FFFFFF"/>
        </w:rPr>
        <w:t>第三章  报价文件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_Toc4264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6</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2FE75899">
      <w:pPr>
        <w:pStyle w:val="14"/>
        <w:tabs>
          <w:tab w:val="right" w:leader="dot" w:pos="9638"/>
        </w:tabs>
        <w:spacing w:line="360" w:lineRule="auto"/>
        <w:rPr>
          <w:rFonts w:ascii="宋体" w:hAnsi="宋体" w:cs="宋体"/>
          <w:b/>
          <w:color w:val="auto"/>
          <w:sz w:val="24"/>
          <w:szCs w:val="24"/>
          <w:highlight w:val="none"/>
        </w:rPr>
      </w:pPr>
      <w:r>
        <w:rPr>
          <w:color w:val="auto"/>
          <w:highlight w:val="none"/>
        </w:rPr>
        <w:fldChar w:fldCharType="begin"/>
      </w:r>
      <w:r>
        <w:rPr>
          <w:color w:val="auto"/>
          <w:highlight w:val="none"/>
        </w:rPr>
        <w:instrText xml:space="preserve"> HYPERLINK \l "_Toc26104" </w:instrText>
      </w:r>
      <w:r>
        <w:rPr>
          <w:color w:val="auto"/>
          <w:highlight w:val="none"/>
        </w:rPr>
        <w:fldChar w:fldCharType="separate"/>
      </w:r>
      <w:r>
        <w:rPr>
          <w:rFonts w:hint="eastAsia" w:ascii="宋体" w:hAnsi="宋体" w:cs="宋体"/>
          <w:b/>
          <w:color w:val="auto"/>
          <w:sz w:val="24"/>
          <w:szCs w:val="24"/>
          <w:highlight w:val="none"/>
          <w:shd w:val="clear" w:color="auto" w:fill="FFFFFF"/>
        </w:rPr>
        <w:t>第四章  合同</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_Toc26104 \h </w:instrText>
      </w:r>
      <w:r>
        <w:rPr>
          <w:rFonts w:hint="eastAsia" w:ascii="宋体" w:hAnsi="宋体" w:cs="宋体"/>
          <w:b/>
          <w:color w:val="auto"/>
          <w:sz w:val="24"/>
          <w:szCs w:val="24"/>
          <w:highlight w:val="none"/>
        </w:rPr>
        <w:fldChar w:fldCharType="separate"/>
      </w:r>
      <w:r>
        <w:rPr>
          <w:rFonts w:ascii="宋体" w:hAnsi="宋体" w:cs="宋体"/>
          <w:b/>
          <w:color w:val="auto"/>
          <w:sz w:val="24"/>
          <w:szCs w:val="24"/>
          <w:highlight w:val="none"/>
        </w:rPr>
        <w:t>19</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2C178610">
      <w:pPr>
        <w:spacing w:line="360" w:lineRule="auto"/>
        <w:rPr>
          <w:b/>
          <w:bCs/>
          <w:color w:val="auto"/>
          <w:highlight w:val="none"/>
        </w:rPr>
      </w:pPr>
      <w:r>
        <w:rPr>
          <w:rFonts w:hint="eastAsia" w:ascii="宋体" w:hAnsi="宋体" w:cs="宋体"/>
          <w:b/>
          <w:color w:val="auto"/>
          <w:sz w:val="24"/>
          <w:szCs w:val="24"/>
          <w:highlight w:val="none"/>
        </w:rPr>
        <w:fldChar w:fldCharType="end"/>
      </w:r>
    </w:p>
    <w:p w14:paraId="4E669CD4">
      <w:pPr>
        <w:spacing w:before="158" w:beforeLines="50" w:after="158" w:afterLines="50" w:line="360" w:lineRule="auto"/>
        <w:jc w:val="center"/>
        <w:textAlignment w:val="top"/>
        <w:outlineLvl w:val="0"/>
        <w:rPr>
          <w:rFonts w:ascii="宋体" w:hAnsi="宋体" w:cs="宋体"/>
          <w:b/>
          <w:bCs/>
          <w:color w:val="auto"/>
          <w:sz w:val="28"/>
          <w:szCs w:val="28"/>
          <w:highlight w:val="none"/>
          <w:shd w:val="clear" w:color="auto" w:fill="FFFFFF"/>
        </w:rPr>
      </w:pPr>
      <w:r>
        <w:rPr>
          <w:rFonts w:ascii="宋体" w:hAnsi="宋体" w:cs="宋体"/>
          <w:b/>
          <w:bCs/>
          <w:color w:val="auto"/>
          <w:sz w:val="28"/>
          <w:szCs w:val="28"/>
          <w:highlight w:val="none"/>
          <w:shd w:val="clear" w:color="auto" w:fill="FFFFFF"/>
        </w:rPr>
        <w:br w:type="page"/>
      </w:r>
      <w:bookmarkStart w:id="2" w:name="_Toc29207"/>
      <w:r>
        <w:rPr>
          <w:rFonts w:hint="eastAsia" w:ascii="宋体" w:hAnsi="宋体" w:cs="宋体"/>
          <w:b/>
          <w:bCs/>
          <w:color w:val="auto"/>
          <w:sz w:val="28"/>
          <w:szCs w:val="28"/>
          <w:highlight w:val="none"/>
          <w:shd w:val="clear" w:color="auto" w:fill="FFFFFF"/>
        </w:rPr>
        <w:t>第一章  询比公告</w:t>
      </w:r>
      <w:bookmarkEnd w:id="2"/>
    </w:p>
    <w:p w14:paraId="3028A005">
      <w:pPr>
        <w:spacing w:line="360" w:lineRule="auto"/>
        <w:ind w:firstLine="480" w:firstLineChars="200"/>
        <w:jc w:val="left"/>
        <w:rPr>
          <w:rFonts w:ascii="宋体" w:hAnsi="宋体" w:cs="宋体"/>
          <w:color w:val="auto"/>
          <w:sz w:val="24"/>
          <w:szCs w:val="24"/>
          <w:highlight w:val="none"/>
          <w:shd w:val="clear" w:color="auto" w:fill="FFFFFF"/>
        </w:rPr>
      </w:pPr>
    </w:p>
    <w:p w14:paraId="560EF0F6">
      <w:pPr>
        <w:spacing w:line="360" w:lineRule="auto"/>
        <w:ind w:firstLine="480" w:firstLineChars="200"/>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为更好地择优选取</w:t>
      </w:r>
      <w:r>
        <w:rPr>
          <w:rFonts w:hint="eastAsia" w:ascii="宋体" w:hAnsi="宋体" w:cs="宋体"/>
          <w:color w:val="auto"/>
          <w:sz w:val="24"/>
          <w:szCs w:val="24"/>
          <w:highlight w:val="none"/>
          <w:u w:val="single"/>
          <w:shd w:val="clear" w:color="auto" w:fill="FFFFFF"/>
        </w:rPr>
        <w:t>广州市美华中学改扩建工程招标代理服务</w:t>
      </w:r>
      <w:r>
        <w:rPr>
          <w:rFonts w:hint="eastAsia" w:ascii="宋体" w:hAnsi="宋体" w:cs="宋体"/>
          <w:color w:val="auto"/>
          <w:sz w:val="24"/>
          <w:szCs w:val="24"/>
          <w:highlight w:val="none"/>
          <w:shd w:val="clear" w:color="auto" w:fill="FFFFFF"/>
        </w:rPr>
        <w:t>的服务单位，现广州市荔湾区建设工程项目代建中心进行公开询比，在参与报价并符合要求的企业内选取一家承办单位，</w:t>
      </w:r>
      <w:bookmarkStart w:id="3" w:name="EBf5670e6d291445918fbaeeb8f3e1df8e"/>
      <w:r>
        <w:rPr>
          <w:rFonts w:hint="eastAsia" w:ascii="宋体" w:hAnsi="宋体" w:cs="宋体"/>
          <w:color w:val="auto"/>
          <w:sz w:val="24"/>
          <w:szCs w:val="24"/>
          <w:highlight w:val="none"/>
          <w:shd w:val="clear" w:color="auto" w:fill="FFFFFF"/>
        </w:rPr>
        <w:t>欢迎符合资格条件的意向人报名参加。</w:t>
      </w:r>
      <w:bookmarkEnd w:id="3"/>
    </w:p>
    <w:p w14:paraId="5805039F">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一、项目概况</w:t>
      </w:r>
    </w:p>
    <w:p w14:paraId="0D61AE3C">
      <w:pPr>
        <w:spacing w:line="360" w:lineRule="auto"/>
        <w:ind w:firstLine="480" w:firstLineChars="200"/>
        <w:jc w:val="left"/>
        <w:textAlignment w:val="top"/>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1.询比单位：广州市荔湾区建设工程项目代建中心。</w:t>
      </w:r>
    </w:p>
    <w:p w14:paraId="27A15108">
      <w:pPr>
        <w:spacing w:line="360" w:lineRule="auto"/>
        <w:ind w:firstLine="480" w:firstLineChars="200"/>
        <w:jc w:val="left"/>
        <w:textAlignment w:val="top"/>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项目概况：本项目位于广东省广州市荔湾区西村街道西增路33号，东临西增路，西临美华后街，南靠彭城东路。建设内容包括一是新建一栋地下1层，地上13层的宿舍楼，占地面积350平方米，总建筑面积4700平方米;二是新建架空运动场(含报告厅)，建筑面积9000平方米;三是对美华后街5号和6号楼进行改造为宿舍楼;四是对智华楼、仁华楼、建华楼及校门进行改造;以及对校园内其他配套场所、设施进行改造工程。</w:t>
      </w:r>
    </w:p>
    <w:p w14:paraId="7199D16D">
      <w:pPr>
        <w:spacing w:line="360" w:lineRule="auto"/>
        <w:ind w:firstLine="480" w:firstLineChars="200"/>
        <w:jc w:val="left"/>
        <w:textAlignment w:val="top"/>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3.总投资：估算总投资19998.44万元，其中建安工程费15244.56万元，工程建设其他费用3801.57万元。</w:t>
      </w:r>
    </w:p>
    <w:p w14:paraId="558E7456">
      <w:pPr>
        <w:spacing w:line="360" w:lineRule="auto"/>
        <w:ind w:firstLine="480" w:firstLineChars="200"/>
        <w:jc w:val="left"/>
        <w:textAlignment w:val="top"/>
        <w:rPr>
          <w:rFonts w:ascii="宋体" w:hAnsi="宋体" w:cs="宋体"/>
          <w:color w:val="auto"/>
          <w:kern w:val="0"/>
          <w:sz w:val="24"/>
          <w:highlight w:val="none"/>
        </w:rPr>
      </w:pPr>
      <w:r>
        <w:rPr>
          <w:rFonts w:hint="eastAsia" w:ascii="宋体" w:hAnsi="宋体" w:cs="宋体"/>
          <w:color w:val="auto"/>
          <w:sz w:val="24"/>
          <w:szCs w:val="24"/>
          <w:highlight w:val="none"/>
          <w:shd w:val="clear" w:color="auto" w:fill="FFFFFF"/>
        </w:rPr>
        <w:t>4.建设地点：</w:t>
      </w:r>
      <w:r>
        <w:rPr>
          <w:rFonts w:hint="eastAsia" w:ascii="宋体" w:hAnsi="宋体" w:cs="宋体"/>
          <w:color w:val="auto"/>
          <w:sz w:val="24"/>
          <w:szCs w:val="24"/>
          <w:highlight w:val="none"/>
        </w:rPr>
        <w:t>广州市</w:t>
      </w:r>
      <w:r>
        <w:rPr>
          <w:rFonts w:hint="eastAsia" w:ascii="宋体" w:hAnsi="宋体" w:cs="宋体"/>
          <w:color w:val="auto"/>
          <w:sz w:val="24"/>
          <w:highlight w:val="none"/>
        </w:rPr>
        <w:t>荔湾区</w:t>
      </w:r>
      <w:r>
        <w:rPr>
          <w:rFonts w:hint="eastAsia" w:ascii="宋体" w:hAnsi="宋体" w:cs="宋体"/>
          <w:color w:val="auto"/>
          <w:kern w:val="0"/>
          <w:sz w:val="24"/>
          <w:highlight w:val="none"/>
        </w:rPr>
        <w:t>。</w:t>
      </w:r>
    </w:p>
    <w:p w14:paraId="17D7C7FB">
      <w:pPr>
        <w:spacing w:line="360" w:lineRule="auto"/>
        <w:ind w:firstLine="480" w:firstLineChars="200"/>
        <w:jc w:val="left"/>
        <w:textAlignment w:val="top"/>
        <w:rPr>
          <w:rFonts w:ascii="宋体" w:hAnsi="宋体" w:cs="宋体"/>
          <w:color w:val="auto"/>
          <w:sz w:val="24"/>
          <w:highlight w:val="none"/>
        </w:rPr>
      </w:pPr>
      <w:r>
        <w:rPr>
          <w:rFonts w:hint="eastAsia" w:ascii="宋体" w:hAnsi="宋体" w:cs="宋体"/>
          <w:color w:val="auto"/>
          <w:sz w:val="24"/>
          <w:szCs w:val="24"/>
          <w:highlight w:val="none"/>
          <w:shd w:val="clear" w:color="auto" w:fill="FFFFFF"/>
        </w:rPr>
        <w:t>5.资金来源：财政资金。</w:t>
      </w:r>
    </w:p>
    <w:p w14:paraId="35564113">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shd w:val="clear" w:color="auto" w:fill="FFFFFF"/>
        </w:rPr>
        <w:t>二、</w:t>
      </w:r>
      <w:r>
        <w:rPr>
          <w:rFonts w:hint="eastAsia" w:ascii="宋体" w:hAnsi="宋体" w:cs="宋体"/>
          <w:b/>
          <w:bCs/>
          <w:color w:val="auto"/>
          <w:sz w:val="24"/>
          <w:szCs w:val="24"/>
          <w:highlight w:val="none"/>
        </w:rPr>
        <w:t>服务内容及服务期限</w:t>
      </w:r>
    </w:p>
    <w:p w14:paraId="5DA312C2">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服务内容：依法组织本项目全过程的招标代理服务的招标工作，包括但不限于依法向招标监管部门办理招标申请、招标全过程备案手续；依法编制招标工作方案、招标公告、招标文件（含资格审查文件）；依法发布招标公告、完成招标文件修改及澄清、组织踏勘现场，依法组织接受报名及接收申请资料，依法组织资格审查、编写资格预审（或后审）报告；组织招标文件（含技术资料、图纸、控制价、工程量清单、答疑文件等）的发放、组织答疑会及整理答疑纪要文件；依法组织抽取专家评委和开标、评标工作；依法发布评标公示、中标公告，办理、发放中标通知书，协助招标人签订服务合同，编制、整理招标全过程资料，装订成册移交招标单位归档等招标相关系列工作</w:t>
      </w:r>
      <w:r>
        <w:rPr>
          <w:rFonts w:hint="eastAsia" w:ascii="宋体" w:hAnsi="宋体" w:cs="宋体"/>
          <w:color w:val="auto"/>
          <w:kern w:val="0"/>
          <w:sz w:val="24"/>
          <w:szCs w:val="24"/>
          <w:highlight w:val="none"/>
        </w:rPr>
        <w:t>。</w:t>
      </w:r>
    </w:p>
    <w:p w14:paraId="551E4D1C">
      <w:pPr>
        <w:widowControl/>
        <w:adjustRightInd w:val="0"/>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2.服务期限：自本合同签订之日起至招标代理服务完成为止。</w:t>
      </w:r>
    </w:p>
    <w:p w14:paraId="226582E0">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具体工作内容及要求以合同相关约定为准。</w:t>
      </w:r>
    </w:p>
    <w:p w14:paraId="4C048D25">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三、报价人资格要求</w:t>
      </w:r>
    </w:p>
    <w:p w14:paraId="7292C82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1.报价人具有独立法人资格，持有有效的市场监督（工商行政）管理部门核发的企业法人营业执照或各级登记管理机关颁发的事业单位法人证书，按国家法律经营。</w:t>
      </w:r>
    </w:p>
    <w:p w14:paraId="6A34E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szCs w:val="24"/>
          <w:highlight w:val="none"/>
        </w:rPr>
        <w:t>报价人及其法定代表人（或单位负责人）、拟派项目团队成员（含项目负责人及其他专业技术人员）</w:t>
      </w:r>
      <w:r>
        <w:rPr>
          <w:rFonts w:hint="eastAsia" w:ascii="宋体" w:hAnsi="宋体" w:cs="宋体"/>
          <w:color w:val="auto"/>
          <w:sz w:val="24"/>
          <w:szCs w:val="24"/>
          <w:highlight w:val="none"/>
        </w:rPr>
        <w:t>未被列入“信用广州”网站（https://credit.gz.gov.cn）“严重失信主体名单”和“行业领域重点关注名单”（报价人须提供“信用广州”&lt;https://credit.gz.gov.cn〉的查询结果截图）。注：如相关人员查询到同姓名他人有记录的，需另行提供本人在“信用广州”下载的完整版“广州市个人公共信用信息报告”作为证明材料。</w:t>
      </w:r>
    </w:p>
    <w:p w14:paraId="587D3BE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3.本项目不接受联合体报价。</w:t>
      </w:r>
    </w:p>
    <w:p w14:paraId="3E6E5F02">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四、报价要求</w:t>
      </w:r>
    </w:p>
    <w:p w14:paraId="2EADA30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1.最高报价限价：人民币</w:t>
      </w:r>
      <w:r>
        <w:rPr>
          <w:rFonts w:ascii="宋体" w:hAnsi="宋体" w:cs="宋体"/>
          <w:color w:val="auto"/>
          <w:sz w:val="24"/>
          <w:szCs w:val="24"/>
          <w:highlight w:val="none"/>
          <w:u w:val="single"/>
        </w:rPr>
        <w:t>407</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734</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元（大写：肆拾万零柒仟柒佰叁拾肆元）。</w:t>
      </w:r>
    </w:p>
    <w:p w14:paraId="71714A4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2.报价要求：报价总金额是固定价且是唯一的，未超过本项目最高报价限价，有效报价下浮率为</w:t>
      </w:r>
      <w:r>
        <w:rPr>
          <w:rFonts w:hint="eastAsia" w:ascii="宋体" w:hAnsi="宋体" w:cs="宋体"/>
          <w:b/>
          <w:bCs/>
          <w:color w:val="auto"/>
          <w:sz w:val="24"/>
          <w:szCs w:val="24"/>
          <w:highlight w:val="none"/>
        </w:rPr>
        <w:t>0%-20%</w:t>
      </w:r>
      <w:r>
        <w:rPr>
          <w:rFonts w:hint="eastAsia" w:ascii="宋体" w:hAnsi="宋体" w:cs="宋体"/>
          <w:color w:val="auto"/>
          <w:sz w:val="24"/>
          <w:szCs w:val="24"/>
          <w:highlight w:val="none"/>
        </w:rPr>
        <w:t>。报价人根据《招标代理服务收费管理暂行办法》（计价〔2002〕1980号）、《国家发展改革委关于降低部分建设项目收费标准规范收费行为等有关问题的通知》（发改价格〔2011〕534号），结合企业自身及项目情况自行报价。</w:t>
      </w:r>
    </w:p>
    <w:p w14:paraId="294E448D">
      <w:pPr>
        <w:pStyle w:val="26"/>
        <w:spacing w:line="360" w:lineRule="auto"/>
        <w:ind w:firstLine="480" w:firstLineChars="200"/>
        <w:rPr>
          <w:rFonts w:ascii="宋体" w:hAnsi="宋体" w:cs="宋体"/>
          <w:b/>
          <w:bCs/>
          <w:color w:val="auto"/>
          <w:sz w:val="24"/>
          <w:szCs w:val="24"/>
          <w:highlight w:val="none"/>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eastAsia="zh-CN"/>
        </w:rPr>
        <w:t>结算方式：</w:t>
      </w:r>
      <w:r>
        <w:rPr>
          <w:rFonts w:hint="eastAsia" w:ascii="宋体" w:hAnsi="宋体" w:cs="宋体"/>
          <w:bCs/>
          <w:color w:val="auto"/>
          <w:sz w:val="24"/>
          <w:szCs w:val="24"/>
          <w:highlight w:val="none"/>
        </w:rPr>
        <w:t>招标代理服务费参照《招标代理服务收费管理暂行办法》（计价〔2002〕1980号）、《国家发展改革委关于降低部分建设项目收费标准规范收费行为等有关问题的通知》（发改价格〔2011〕534号）的规定，代理费按照不同服务类型（分为货物招标、服务招标、工程招标）的累计中标金额为基数，分别计算招标代理费用，下浮率以中选价为准，如果采用勘察设计施工总承包（EPC）招标方式，该招标代理费以中标价总额（勘察、设计、施工）为基数，按工程标费率计算。招标代理费用包括招标代理费、公告费、专家评标劳务费、交通费、餐费及与招投标相关工作等各项工作的全部费用，最终招标代理服务费按照上述约定计费基数计算方式和下浮率进行结算，若结算价超过签约合同价，则按照签约合同价包干。</w:t>
      </w:r>
    </w:p>
    <w:p w14:paraId="78CEE651">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五、中选委托书的领取及询比代理服务费支付</w:t>
      </w:r>
    </w:p>
    <w:p w14:paraId="7F2E3D32">
      <w:pPr>
        <w:spacing w:line="360" w:lineRule="auto"/>
        <w:ind w:firstLine="480" w:firstLineChars="200"/>
        <w:textAlignment w:val="top"/>
        <w:rPr>
          <w:rFonts w:ascii="宋体" w:hAnsi="宋体" w:cs="宋体"/>
          <w:bCs/>
          <w:color w:val="auto"/>
          <w:sz w:val="24"/>
          <w:szCs w:val="20"/>
          <w:highlight w:val="none"/>
        </w:rPr>
      </w:pPr>
      <w:r>
        <w:rPr>
          <w:rFonts w:hint="eastAsia" w:ascii="宋体" w:hAnsi="宋体" w:cs="宋体"/>
          <w:color w:val="auto"/>
          <w:sz w:val="24"/>
          <w:highlight w:val="none"/>
        </w:rPr>
        <w:t>本次的询比项目的中选委托书由询比代理服务机构通知中选单位领取。</w:t>
      </w:r>
      <w:r>
        <w:rPr>
          <w:rFonts w:hint="eastAsia" w:ascii="宋体" w:hAnsi="宋体" w:cs="宋体"/>
          <w:color w:val="auto"/>
          <w:sz w:val="24"/>
          <w:szCs w:val="24"/>
          <w:highlight w:val="none"/>
        </w:rPr>
        <w:t>本次的询比代理服务费人民币1700.00元（大写：壹仟柒佰元整）由中选单位在收取中选委托书时一次性支付给询比代理服务机构</w:t>
      </w:r>
      <w:r>
        <w:rPr>
          <w:rFonts w:hint="eastAsia" w:ascii="宋体" w:hAnsi="宋体" w:cs="宋体"/>
          <w:color w:val="auto"/>
          <w:sz w:val="24"/>
          <w:highlight w:val="none"/>
        </w:rPr>
        <w:t>。</w:t>
      </w:r>
    </w:p>
    <w:p w14:paraId="78B63BB8">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六、询比文件的获取和公告时间</w:t>
      </w:r>
    </w:p>
    <w:p w14:paraId="22F43AFD">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1.凡有意参加报价者，请于2025年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日至2025年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日，登录广州市荔湾区人民政府网站下载询比文件。</w:t>
      </w:r>
    </w:p>
    <w:p w14:paraId="71DA0C26">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2.询比公告发布时间：</w:t>
      </w:r>
    </w:p>
    <w:p w14:paraId="3D5AFB57">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发布询比公告开始日期（含本日）为：2025年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p>
    <w:p w14:paraId="6C6774A6">
      <w:pPr>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发布询比公告截止日期（含本日）为：2025年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w:t>
      </w:r>
    </w:p>
    <w:p w14:paraId="150221D7">
      <w:pPr>
        <w:spacing w:line="360" w:lineRule="auto"/>
        <w:jc w:val="left"/>
        <w:textAlignment w:val="top"/>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七、报价文件的递交时间和递交地点：</w:t>
      </w:r>
    </w:p>
    <w:p w14:paraId="40AFCC5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由报价意向人的法定代表人或授权代表</w:t>
      </w:r>
      <w:r>
        <w:rPr>
          <w:rFonts w:hint="eastAsia" w:ascii="宋体" w:hAnsi="宋体" w:cs="宋体"/>
          <w:b/>
          <w:bCs/>
          <w:color w:val="auto"/>
          <w:sz w:val="24"/>
          <w:szCs w:val="24"/>
          <w:highlight w:val="none"/>
        </w:rPr>
        <w:t>手持法定代表人证明书、授权委托书（如有）及身份证原件</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rPr>
        <w:t>日</w:t>
      </w:r>
      <w:r>
        <w:rPr>
          <w:rFonts w:hint="eastAsia" w:ascii="宋体" w:hAnsi="宋体" w:cs="宋体"/>
          <w:color w:val="auto"/>
          <w:kern w:val="0"/>
          <w:sz w:val="24"/>
          <w:highlight w:val="none"/>
        </w:rPr>
        <w:t>上午</w:t>
      </w:r>
      <w:r>
        <w:rPr>
          <w:rFonts w:hint="eastAsia" w:ascii="宋体" w:hAnsi="宋体" w:cs="宋体"/>
          <w:color w:val="auto"/>
          <w:kern w:val="0"/>
          <w:sz w:val="24"/>
          <w:highlight w:val="none"/>
          <w:u w:val="single"/>
        </w:rPr>
        <w:t xml:space="preserve"> 9:30—11:30 </w:t>
      </w:r>
      <w:r>
        <w:rPr>
          <w:rFonts w:hint="eastAsia" w:ascii="宋体" w:hAnsi="宋体" w:cs="宋体"/>
          <w:color w:val="auto"/>
          <w:sz w:val="24"/>
          <w:szCs w:val="24"/>
          <w:highlight w:val="none"/>
        </w:rPr>
        <w:t>递交至</w:t>
      </w:r>
      <w:r>
        <w:rPr>
          <w:rFonts w:hint="eastAsia" w:ascii="宋体" w:hAnsi="宋体" w:cs="宋体"/>
          <w:color w:val="auto"/>
          <w:sz w:val="24"/>
          <w:szCs w:val="24"/>
          <w:highlight w:val="none"/>
          <w:u w:val="single"/>
        </w:rPr>
        <w:t>广州市越秀区东风东路745号紫园商务大厦2003室</w:t>
      </w:r>
      <w:r>
        <w:rPr>
          <w:rFonts w:hint="eastAsia" w:ascii="宋体" w:hAnsi="宋体" w:cs="宋体"/>
          <w:color w:val="auto"/>
          <w:sz w:val="24"/>
          <w:szCs w:val="24"/>
          <w:highlight w:val="none"/>
        </w:rPr>
        <w:t>，逾期恕不受理。</w:t>
      </w:r>
    </w:p>
    <w:p w14:paraId="774D6E70">
      <w:pPr>
        <w:spacing w:line="360" w:lineRule="auto"/>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14:paraId="16618D83">
      <w:pPr>
        <w:spacing w:line="360" w:lineRule="auto"/>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九、询比人将在广州市荔湾区人民政府网上发布中选结果，中选公示期为1天。</w:t>
      </w:r>
    </w:p>
    <w:p w14:paraId="2699F253">
      <w:pPr>
        <w:spacing w:line="360" w:lineRule="auto"/>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十、广州市荔湾区建设工程项目代建中心对公告及询比文件有最终解释权。</w:t>
      </w:r>
    </w:p>
    <w:p w14:paraId="3784F0F1">
      <w:pPr>
        <w:spacing w:line="360" w:lineRule="auto"/>
        <w:textAlignment w:val="top"/>
        <w:rPr>
          <w:rFonts w:ascii="宋体" w:hAnsi="宋体" w:cs="宋体"/>
          <w:b/>
          <w:color w:val="auto"/>
          <w:sz w:val="24"/>
          <w:szCs w:val="24"/>
          <w:highlight w:val="none"/>
        </w:rPr>
      </w:pPr>
      <w:r>
        <w:rPr>
          <w:rFonts w:hint="eastAsia" w:ascii="宋体" w:hAnsi="宋体" w:cs="宋体"/>
          <w:b/>
          <w:color w:val="auto"/>
          <w:sz w:val="24"/>
          <w:szCs w:val="24"/>
          <w:highlight w:val="none"/>
        </w:rPr>
        <w:t>十一、联系方式：</w:t>
      </w:r>
    </w:p>
    <w:p w14:paraId="6DE9ED81">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询比单位：</w:t>
      </w:r>
      <w:r>
        <w:rPr>
          <w:rFonts w:hint="eastAsia" w:ascii="宋体" w:hAnsi="宋体" w:cs="宋体"/>
          <w:color w:val="auto"/>
          <w:sz w:val="24"/>
          <w:szCs w:val="24"/>
          <w:highlight w:val="none"/>
          <w:u w:val="single"/>
        </w:rPr>
        <w:t>广州市荔湾区建设工程项目代建中心</w:t>
      </w:r>
    </w:p>
    <w:p w14:paraId="01B2D141">
      <w:pPr>
        <w:spacing w:line="360" w:lineRule="auto"/>
        <w:jc w:val="left"/>
        <w:textAlignment w:val="top"/>
        <w:rPr>
          <w:rFonts w:hint="eastAsia" w:ascii="宋体" w:hAnsi="宋体" w:cs="宋体"/>
          <w:color w:val="auto"/>
          <w:sz w:val="24"/>
          <w:highlight w:val="none"/>
          <w:u w:val="single"/>
          <w:lang w:eastAsia="zh-CN"/>
        </w:rPr>
      </w:pPr>
      <w:r>
        <w:rPr>
          <w:rFonts w:hint="eastAsia" w:ascii="宋体" w:hAnsi="宋体" w:cs="宋体"/>
          <w:color w:val="auto"/>
          <w:sz w:val="24"/>
          <w:szCs w:val="24"/>
          <w:highlight w:val="none"/>
        </w:rPr>
        <w:t>联系人：</w:t>
      </w:r>
      <w:r>
        <w:rPr>
          <w:rFonts w:hint="eastAsia" w:ascii="宋体" w:hAnsi="宋体" w:cs="宋体"/>
          <w:color w:val="auto"/>
          <w:sz w:val="24"/>
          <w:highlight w:val="none"/>
          <w:u w:val="single"/>
          <w:lang w:eastAsia="zh-CN"/>
        </w:rPr>
        <w:t>何先生</w:t>
      </w:r>
    </w:p>
    <w:p w14:paraId="4DBD20DB">
      <w:pPr>
        <w:spacing w:line="360" w:lineRule="auto"/>
        <w:jc w:val="left"/>
        <w:textAlignment w:val="top"/>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lang w:val="en-US" w:eastAsia="zh-CN"/>
        </w:rPr>
        <w:t>81546011</w:t>
      </w:r>
    </w:p>
    <w:p w14:paraId="5C3EA484">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询比代理单位：</w:t>
      </w:r>
      <w:r>
        <w:rPr>
          <w:rFonts w:hint="eastAsia" w:ascii="宋体" w:hAnsi="宋体" w:cs="宋体"/>
          <w:color w:val="auto"/>
          <w:sz w:val="24"/>
          <w:szCs w:val="24"/>
          <w:highlight w:val="none"/>
          <w:u w:val="single"/>
        </w:rPr>
        <w:t>广东广招招标采购有限公司</w:t>
      </w:r>
    </w:p>
    <w:p w14:paraId="24A2D6A0">
      <w:pPr>
        <w:spacing w:line="360" w:lineRule="auto"/>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周工</w:t>
      </w:r>
    </w:p>
    <w:p w14:paraId="06A94E50">
      <w:pPr>
        <w:spacing w:line="360" w:lineRule="auto"/>
        <w:jc w:val="left"/>
        <w:textAlignment w:val="top"/>
        <w:rPr>
          <w:rFonts w:ascii="宋体" w:hAnsi="宋体" w:cs="宋体"/>
          <w:color w:val="auto"/>
          <w:sz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020-38931902-860</w:t>
      </w:r>
    </w:p>
    <w:p w14:paraId="5B8F7CCF">
      <w:pPr>
        <w:pStyle w:val="26"/>
        <w:spacing w:line="360" w:lineRule="auto"/>
        <w:rPr>
          <w:rFonts w:ascii="宋体" w:hAnsi="宋体" w:cs="宋体"/>
          <w:color w:val="auto"/>
          <w:sz w:val="24"/>
          <w:highlight w:val="none"/>
          <w:u w:val="single"/>
        </w:rPr>
      </w:pPr>
    </w:p>
    <w:p w14:paraId="51BB98A1">
      <w:pPr>
        <w:pStyle w:val="26"/>
        <w:spacing w:line="360" w:lineRule="auto"/>
        <w:rPr>
          <w:rFonts w:ascii="宋体" w:hAnsi="宋体" w:cs="宋体"/>
          <w:color w:val="auto"/>
          <w:sz w:val="24"/>
          <w:highlight w:val="none"/>
          <w:u w:val="single"/>
        </w:rPr>
      </w:pPr>
    </w:p>
    <w:p w14:paraId="1D3889FF">
      <w:pPr>
        <w:spacing w:line="360" w:lineRule="auto"/>
        <w:jc w:val="right"/>
        <w:textAlignment w:val="top"/>
        <w:rPr>
          <w:rFonts w:ascii="宋体" w:hAnsi="宋体" w:cs="宋体"/>
          <w:color w:val="auto"/>
          <w:sz w:val="24"/>
          <w:szCs w:val="24"/>
          <w:highlight w:val="none"/>
        </w:rPr>
      </w:pPr>
      <w:r>
        <w:rPr>
          <w:rFonts w:hint="eastAsia" w:ascii="宋体" w:hAnsi="宋体" w:cs="宋体"/>
          <w:color w:val="auto"/>
          <w:sz w:val="24"/>
          <w:szCs w:val="24"/>
          <w:highlight w:val="none"/>
        </w:rPr>
        <w:t>广州市荔湾区建设工程项目代建中心</w:t>
      </w:r>
    </w:p>
    <w:p w14:paraId="2915B4BC">
      <w:pPr>
        <w:pStyle w:val="29"/>
        <w:spacing w:line="360" w:lineRule="auto"/>
        <w:jc w:val="right"/>
        <w:rPr>
          <w:rFonts w:hAnsi="宋体" w:eastAsia="宋体" w:cs="宋体"/>
          <w:color w:val="auto"/>
          <w:sz w:val="24"/>
          <w:szCs w:val="24"/>
          <w:highlight w:val="none"/>
        </w:rPr>
      </w:pPr>
      <w:r>
        <w:rPr>
          <w:rFonts w:hint="eastAsia" w:hAnsi="宋体" w:eastAsia="宋体" w:cs="宋体"/>
          <w:color w:val="auto"/>
          <w:sz w:val="24"/>
          <w:szCs w:val="24"/>
          <w:highlight w:val="none"/>
        </w:rPr>
        <w:t>2025年</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21</w:t>
      </w:r>
      <w:r>
        <w:rPr>
          <w:rFonts w:hint="eastAsia" w:hAnsi="宋体" w:eastAsia="宋体" w:cs="宋体"/>
          <w:color w:val="auto"/>
          <w:sz w:val="24"/>
          <w:szCs w:val="24"/>
          <w:highlight w:val="none"/>
        </w:rPr>
        <w:t>日</w:t>
      </w:r>
    </w:p>
    <w:p w14:paraId="1CBA8CE1">
      <w:pPr>
        <w:pStyle w:val="29"/>
        <w:spacing w:before="158" w:beforeLines="50" w:after="158" w:afterLines="50" w:line="360" w:lineRule="auto"/>
        <w:jc w:val="center"/>
        <w:outlineLvl w:val="0"/>
        <w:rPr>
          <w:rFonts w:hAnsi="宋体" w:eastAsia="宋体" w:cs="宋体"/>
          <w:b/>
          <w:bCs/>
          <w:color w:val="auto"/>
          <w:sz w:val="28"/>
          <w:szCs w:val="28"/>
          <w:highlight w:val="none"/>
          <w:shd w:val="clear" w:color="auto" w:fill="FFFFFF"/>
        </w:rPr>
      </w:pPr>
      <w:bookmarkStart w:id="4" w:name="_Toc30057"/>
      <w:r>
        <w:rPr>
          <w:rFonts w:hint="eastAsia" w:hAnsi="宋体" w:eastAsia="宋体" w:cs="宋体"/>
          <w:b/>
          <w:bCs/>
          <w:color w:val="auto"/>
          <w:sz w:val="28"/>
          <w:szCs w:val="28"/>
          <w:highlight w:val="none"/>
          <w:shd w:val="clear" w:color="auto" w:fill="FFFFFF"/>
        </w:rPr>
        <w:br w:type="page"/>
      </w:r>
      <w:r>
        <w:rPr>
          <w:rFonts w:hint="eastAsia" w:hAnsi="宋体" w:eastAsia="宋体" w:cs="宋体"/>
          <w:b/>
          <w:bCs/>
          <w:color w:val="auto"/>
          <w:sz w:val="28"/>
          <w:szCs w:val="28"/>
          <w:highlight w:val="none"/>
          <w:shd w:val="clear" w:color="auto" w:fill="FFFFFF"/>
        </w:rPr>
        <w:t>第二章  评审办法</w:t>
      </w:r>
      <w:bookmarkEnd w:id="4"/>
    </w:p>
    <w:p w14:paraId="7D0840C0">
      <w:pPr>
        <w:pStyle w:val="29"/>
        <w:spacing w:line="360" w:lineRule="auto"/>
        <w:jc w:val="left"/>
        <w:rPr>
          <w:rFonts w:hAnsi="宋体" w:eastAsia="宋体" w:cs="宋体"/>
          <w:color w:val="auto"/>
          <w:sz w:val="24"/>
          <w:szCs w:val="24"/>
          <w:highlight w:val="none"/>
        </w:rPr>
      </w:pPr>
    </w:p>
    <w:p w14:paraId="019D1830">
      <w:pPr>
        <w:pStyle w:val="29"/>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14:paraId="60751DB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color w:val="auto"/>
          <w:kern w:val="0"/>
          <w:sz w:val="24"/>
          <w:szCs w:val="24"/>
          <w:highlight w:val="none"/>
        </w:rPr>
        <w:t>（详见附件一：</w:t>
      </w:r>
      <w:r>
        <w:rPr>
          <w:rFonts w:hint="eastAsia" w:ascii="宋体" w:hAnsi="宋体" w:cs="宋体"/>
          <w:color w:val="auto"/>
          <w:sz w:val="24"/>
          <w:szCs w:val="24"/>
          <w:highlight w:val="none"/>
        </w:rPr>
        <w:t>资格性和符合性审查表</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p>
    <w:p w14:paraId="01E82FBC">
      <w:pPr>
        <w:pStyle w:val="29"/>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14:paraId="248CBF14">
      <w:pPr>
        <w:pStyle w:val="29"/>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14:paraId="00713E39">
      <w:pPr>
        <w:tabs>
          <w:tab w:val="left" w:pos="522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4.若本项目满足资格性和符合性审查合格条件的报价人不足3家或经评审有效的报价人不足2家，则本次询比失败，询比人将视情况重新组织询比。</w:t>
      </w:r>
    </w:p>
    <w:p w14:paraId="0948F5F1">
      <w:pPr>
        <w:rPr>
          <w:rFonts w:ascii="宋体" w:hAnsi="宋体" w:cs="宋体"/>
          <w:color w:val="auto"/>
          <w:sz w:val="24"/>
          <w:szCs w:val="24"/>
          <w:highlight w:val="none"/>
        </w:rPr>
      </w:pPr>
    </w:p>
    <w:p w14:paraId="55FE338B">
      <w:pPr>
        <w:widowControl/>
        <w:jc w:val="left"/>
        <w:rPr>
          <w:rFonts w:hAnsi="宋体" w:cs="宋体"/>
          <w:b/>
          <w:bCs/>
          <w:color w:val="auto"/>
          <w:sz w:val="24"/>
          <w:szCs w:val="24"/>
          <w:highlight w:val="none"/>
        </w:rPr>
      </w:pPr>
      <w:bookmarkStart w:id="5" w:name="_Toc4264"/>
      <w:bookmarkStart w:id="6" w:name="_Toc100247444"/>
      <w:bookmarkStart w:id="7" w:name="_Toc26104"/>
      <w:r>
        <w:rPr>
          <w:rFonts w:hAnsi="宋体" w:cs="宋体"/>
          <w:b/>
          <w:bCs/>
          <w:color w:val="auto"/>
          <w:sz w:val="24"/>
          <w:szCs w:val="24"/>
          <w:highlight w:val="none"/>
        </w:rPr>
        <w:br w:type="page"/>
      </w:r>
    </w:p>
    <w:p w14:paraId="5A42B7E2">
      <w:pPr>
        <w:spacing w:before="158" w:beforeLines="50" w:after="158" w:afterLines="50" w:line="360" w:lineRule="auto"/>
        <w:ind w:firstLine="562" w:firstLineChars="200"/>
        <w:jc w:val="center"/>
        <w:textAlignment w:val="top"/>
        <w:outlineLvl w:val="0"/>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第三章  报价文件</w:t>
      </w:r>
      <w:bookmarkEnd w:id="5"/>
    </w:p>
    <w:p w14:paraId="0021FFE0">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一、报价文件编制要求</w:t>
      </w:r>
    </w:p>
    <w:p w14:paraId="177DD1E6">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1.报价文件编制规范、签署合格、报价唯一固定、报价无重大漏项及重大不合理。</w:t>
      </w:r>
    </w:p>
    <w:p w14:paraId="50B97B70">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2.报价文件份数为</w:t>
      </w:r>
      <w:r>
        <w:rPr>
          <w:rFonts w:hint="eastAsia" w:ascii="宋体" w:hAnsi="宋体" w:cs="宋体"/>
          <w:b/>
          <w:bCs/>
          <w:color w:val="auto"/>
          <w:sz w:val="24"/>
          <w:szCs w:val="24"/>
          <w:highlight w:val="none"/>
        </w:rPr>
        <w:t>一式三份原件（正本）</w:t>
      </w:r>
      <w:r>
        <w:rPr>
          <w:rFonts w:hint="eastAsia" w:ascii="宋体" w:hAnsi="宋体" w:cs="宋体"/>
          <w:color w:val="auto"/>
          <w:sz w:val="24"/>
          <w:szCs w:val="24"/>
          <w:highlight w:val="none"/>
        </w:rPr>
        <w:t>。报价文件须用不褪色的黑色墨水书写或打印，（</w:t>
      </w:r>
      <w:r>
        <w:rPr>
          <w:rFonts w:hint="eastAsia" w:ascii="宋体" w:hAnsi="宋体" w:cs="宋体"/>
          <w:b/>
          <w:bCs/>
          <w:color w:val="auto"/>
          <w:sz w:val="24"/>
          <w:szCs w:val="24"/>
          <w:highlight w:val="none"/>
        </w:rPr>
        <w:t>建议文件版面为双面），</w:t>
      </w:r>
      <w:r>
        <w:rPr>
          <w:rFonts w:hint="eastAsia" w:ascii="宋体" w:hAnsi="宋体" w:cs="宋体"/>
          <w:color w:val="auto"/>
          <w:sz w:val="24"/>
          <w:szCs w:val="24"/>
          <w:highlight w:val="none"/>
        </w:rPr>
        <w:t>报价文件（纸质版）须加盖单位公章后扫描电子版拷贝u盘，纸质版的报价文件应与u盘内的文件内容一致，并装订成册与u盘装入同一个密封袋。</w:t>
      </w:r>
      <w:r>
        <w:rPr>
          <w:rFonts w:hint="eastAsia" w:ascii="宋体" w:hAnsi="宋体" w:cs="宋体"/>
          <w:b/>
          <w:bCs/>
          <w:color w:val="auto"/>
          <w:kern w:val="0"/>
          <w:sz w:val="24"/>
          <w:szCs w:val="24"/>
          <w:highlight w:val="none"/>
        </w:rPr>
        <w:t>封口须以封条并加盖公章密封，否则报价文件当无效处理。</w:t>
      </w:r>
    </w:p>
    <w:p w14:paraId="7991FD6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3.报价文件密封在一个包封内，外包装材料不应留有可在包封后添加或抽取报价文件的空隙。</w:t>
      </w:r>
      <w:r>
        <w:rPr>
          <w:rFonts w:hint="eastAsia" w:ascii="宋体" w:hAnsi="宋体" w:cs="宋体"/>
          <w:b/>
          <w:bCs/>
          <w:color w:val="auto"/>
          <w:sz w:val="24"/>
          <w:szCs w:val="24"/>
          <w:highlight w:val="none"/>
        </w:rPr>
        <w:t>外包封及报价文件封面</w:t>
      </w:r>
      <w:r>
        <w:rPr>
          <w:rFonts w:hint="eastAsia" w:ascii="宋体" w:hAnsi="宋体" w:cs="宋体"/>
          <w:color w:val="auto"/>
          <w:sz w:val="24"/>
          <w:szCs w:val="24"/>
          <w:highlight w:val="none"/>
        </w:rPr>
        <w:t>应标注“项目名称”、“报价文件”、“报价人”、“联系人”和“联系电话”等字样。</w:t>
      </w:r>
    </w:p>
    <w:p w14:paraId="0331D98E">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4.报价文件中的所有材料内容（复印件、截图证明等）须清晰可见，</w:t>
      </w:r>
      <w:r>
        <w:rPr>
          <w:rFonts w:hint="eastAsia" w:ascii="宋体" w:hAnsi="宋体" w:cs="宋体"/>
          <w:b/>
          <w:bCs/>
          <w:color w:val="auto"/>
          <w:sz w:val="24"/>
          <w:szCs w:val="24"/>
          <w:highlight w:val="none"/>
        </w:rPr>
        <w:t>模糊不清晰的则当无效材料处理。</w:t>
      </w:r>
      <w:r>
        <w:rPr>
          <w:rFonts w:hint="eastAsia" w:ascii="宋体" w:hAnsi="宋体" w:cs="宋体"/>
          <w:color w:val="auto"/>
          <w:sz w:val="24"/>
          <w:szCs w:val="24"/>
          <w:highlight w:val="none"/>
        </w:rPr>
        <w:t>报价文件须附上材料目录（附页码）。</w:t>
      </w:r>
    </w:p>
    <w:p w14:paraId="19DE63D2">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14:paraId="590D9DDB">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1.报价文件封面（原件，格式详见附件三）</w:t>
      </w:r>
    </w:p>
    <w:p w14:paraId="0D5C2DB9">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2.报价表（原件，格式详见附件四）；</w:t>
      </w:r>
    </w:p>
    <w:p w14:paraId="767DD7FF">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3.企业营业执照或事业单位法人证书（复印件）、资质证书及报价人资格要求需要提供的其他文件（复印件，如有）；</w:t>
      </w:r>
    </w:p>
    <w:p w14:paraId="74FBB86E">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4.法定代表人身份证明书（原件，详见附件五-5.1）法人授权委托书（原件，详见附件五-5.2，仅限于非法定代表人参加询比活动时提供）；</w:t>
      </w:r>
    </w:p>
    <w:p w14:paraId="2ADF99BC">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5.业绩情况汇总表（原件，格式详见附件六），须附业绩证明材料（合同复印件）；</w:t>
      </w:r>
    </w:p>
    <w:p w14:paraId="0AE913EB">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6.项目负责人简历表（原件，格式详见附件七），须附项目负责人相关证书及社保证明等文件（复印件）；</w:t>
      </w:r>
    </w:p>
    <w:p w14:paraId="20308C7D">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7.专业人员配备情况表（原件，格式详见附件八），须附专业技术服务人员相关证书及社保证明等文件（复印件）；</w:t>
      </w:r>
    </w:p>
    <w:p w14:paraId="355397EF">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8.报价人声明（原件，格式详见附件九）；</w:t>
      </w:r>
    </w:p>
    <w:p w14:paraId="04D83BE6">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9.综合评分表上要求提供的其他材料（复印件）；</w:t>
      </w:r>
    </w:p>
    <w:p w14:paraId="759AD3CC">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10.报价文件电子版（附u盘，</w:t>
      </w:r>
      <w:r>
        <w:rPr>
          <w:rFonts w:hint="eastAsia" w:ascii="宋体" w:hAnsi="宋体" w:cs="宋体"/>
          <w:b/>
          <w:color w:val="auto"/>
          <w:sz w:val="24"/>
          <w:szCs w:val="24"/>
          <w:highlight w:val="none"/>
        </w:rPr>
        <w:t>报价文件电子版命名格式为“报价人单位名称+项目名称+报价文件</w:t>
      </w:r>
      <w:r>
        <w:rPr>
          <w:rFonts w:hint="eastAsia" w:ascii="宋体" w:hAnsi="宋体" w:cs="宋体"/>
          <w:color w:val="auto"/>
          <w:sz w:val="24"/>
          <w:szCs w:val="24"/>
          <w:highlight w:val="none"/>
        </w:rPr>
        <w:t>”）；</w:t>
      </w:r>
    </w:p>
    <w:p w14:paraId="72076DDB">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11.报价人认为需要提供的其他资料。</w:t>
      </w:r>
    </w:p>
    <w:p w14:paraId="5805773F">
      <w:pPr>
        <w:spacing w:line="360" w:lineRule="auto"/>
        <w:ind w:firstLine="480" w:firstLineChars="200"/>
        <w:textAlignment w:val="top"/>
        <w:rPr>
          <w:rFonts w:ascii="宋体" w:hAnsi="宋体" w:cs="宋体"/>
          <w:color w:val="auto"/>
          <w:sz w:val="24"/>
          <w:szCs w:val="24"/>
          <w:highlight w:val="none"/>
        </w:rPr>
      </w:pPr>
      <w:r>
        <w:rPr>
          <w:rFonts w:hint="eastAsia" w:ascii="宋体" w:hAnsi="宋体" w:cs="宋体"/>
          <w:color w:val="auto"/>
          <w:sz w:val="24"/>
          <w:szCs w:val="24"/>
          <w:highlight w:val="none"/>
        </w:rPr>
        <w:t>以上复印件材料均需盖上单位公章。</w:t>
      </w:r>
    </w:p>
    <w:p w14:paraId="10579F3D">
      <w:pPr>
        <w:pStyle w:val="29"/>
        <w:adjustRightInd w:val="0"/>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附件：</w:t>
      </w:r>
    </w:p>
    <w:p w14:paraId="300C5975">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14:paraId="7F97B1F6">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2.综合评分表</w:t>
      </w:r>
    </w:p>
    <w:p w14:paraId="17E7B117">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3.报价文件封面</w:t>
      </w:r>
    </w:p>
    <w:p w14:paraId="026295D4">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4.报价表</w:t>
      </w:r>
    </w:p>
    <w:p w14:paraId="24E77192">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5.法定代表人证明书、法人授权委托书</w:t>
      </w:r>
    </w:p>
    <w:p w14:paraId="24F8C74E">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6.业绩情况汇总表</w:t>
      </w:r>
    </w:p>
    <w:p w14:paraId="39F0B3FD">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7.项目负责人简历表</w:t>
      </w:r>
    </w:p>
    <w:p w14:paraId="51C2F548">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8.专业人员配备情况表</w:t>
      </w:r>
    </w:p>
    <w:p w14:paraId="7283592B">
      <w:pPr>
        <w:pStyle w:val="29"/>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9.报价人声明</w:t>
      </w:r>
    </w:p>
    <w:p w14:paraId="7FA28FEB">
      <w:pPr>
        <w:spacing w:line="360" w:lineRule="auto"/>
        <w:rPr>
          <w:rFonts w:ascii="宋体" w:hAnsi="宋体" w:cs="宋体"/>
          <w:color w:val="auto"/>
          <w:sz w:val="24"/>
          <w:szCs w:val="24"/>
          <w:highlight w:val="none"/>
        </w:rPr>
      </w:pPr>
      <w:r>
        <w:rPr>
          <w:rFonts w:ascii="宋体" w:hAnsi="宋体" w:cs="宋体"/>
          <w:color w:val="auto"/>
          <w:sz w:val="24"/>
          <w:szCs w:val="24"/>
          <w:highlight w:val="none"/>
        </w:rPr>
        <w:br w:type="page"/>
      </w:r>
      <w:r>
        <w:rPr>
          <w:rFonts w:hint="eastAsia" w:ascii="宋体" w:hAnsi="宋体" w:cs="宋体"/>
          <w:color w:val="auto"/>
          <w:sz w:val="24"/>
          <w:szCs w:val="24"/>
          <w:highlight w:val="none"/>
        </w:rPr>
        <w:t>附件一</w:t>
      </w:r>
    </w:p>
    <w:p w14:paraId="52DA8574">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资格性和符合性审查表</w:t>
      </w:r>
    </w:p>
    <w:p w14:paraId="75D80C66">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广州市美华中学改扩建工程招标代理服务</w:t>
      </w:r>
    </w:p>
    <w:tbl>
      <w:tblPr>
        <w:tblStyle w:val="20"/>
        <w:tblW w:w="965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67"/>
        <w:gridCol w:w="1117"/>
        <w:gridCol w:w="1139"/>
        <w:gridCol w:w="677"/>
      </w:tblGrid>
      <w:tr w14:paraId="74A1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57" w:type="dxa"/>
            <w:vAlign w:val="center"/>
          </w:tcPr>
          <w:p w14:paraId="1640C39B">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序号</w:t>
            </w:r>
          </w:p>
        </w:tc>
        <w:tc>
          <w:tcPr>
            <w:tcW w:w="5967" w:type="dxa"/>
            <w:vAlign w:val="center"/>
          </w:tcPr>
          <w:p w14:paraId="74B9BCAC">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审查内容</w:t>
            </w:r>
          </w:p>
        </w:tc>
        <w:tc>
          <w:tcPr>
            <w:tcW w:w="1117" w:type="dxa"/>
            <w:vAlign w:val="center"/>
          </w:tcPr>
          <w:p w14:paraId="4D6A1DDC">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报价人1</w:t>
            </w:r>
          </w:p>
        </w:tc>
        <w:tc>
          <w:tcPr>
            <w:tcW w:w="1139" w:type="dxa"/>
            <w:vAlign w:val="center"/>
          </w:tcPr>
          <w:p w14:paraId="46C06F37">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报价人2</w:t>
            </w:r>
          </w:p>
        </w:tc>
        <w:tc>
          <w:tcPr>
            <w:tcW w:w="677" w:type="dxa"/>
            <w:vAlign w:val="center"/>
          </w:tcPr>
          <w:p w14:paraId="1A0BCC50">
            <w:pPr>
              <w:pStyle w:val="29"/>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w:t>
            </w:r>
          </w:p>
        </w:tc>
      </w:tr>
      <w:tr w14:paraId="4E06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57" w:type="dxa"/>
            <w:vAlign w:val="center"/>
          </w:tcPr>
          <w:p w14:paraId="7B461511">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967" w:type="dxa"/>
            <w:vAlign w:val="center"/>
          </w:tcPr>
          <w:p w14:paraId="5314D00F">
            <w:pPr>
              <w:jc w:val="left"/>
              <w:rPr>
                <w:rFonts w:ascii="宋体" w:hAnsi="宋体" w:cs="宋体"/>
                <w:color w:val="auto"/>
                <w:sz w:val="24"/>
                <w:szCs w:val="24"/>
                <w:highlight w:val="none"/>
              </w:rPr>
            </w:pPr>
            <w:r>
              <w:rPr>
                <w:rFonts w:hint="eastAsia" w:ascii="宋体" w:hAnsi="宋体" w:cs="宋体"/>
                <w:color w:val="auto"/>
                <w:sz w:val="24"/>
                <w:szCs w:val="24"/>
                <w:highlight w:val="none"/>
              </w:rPr>
              <w:t>报价人具有独立法人资格，持有有效的市场监督（工商行政）管理部门核发的企业法人营业执照或各级登记管理机关颁发的事业单位法人证书，按国家法律经营。</w:t>
            </w:r>
          </w:p>
        </w:tc>
        <w:tc>
          <w:tcPr>
            <w:tcW w:w="1117" w:type="dxa"/>
            <w:vAlign w:val="center"/>
          </w:tcPr>
          <w:p w14:paraId="617F69FF">
            <w:pPr>
              <w:pStyle w:val="29"/>
              <w:jc w:val="center"/>
              <w:rPr>
                <w:rFonts w:hAnsi="宋体" w:eastAsia="宋体" w:cs="宋体"/>
                <w:color w:val="auto"/>
                <w:sz w:val="24"/>
                <w:szCs w:val="24"/>
                <w:highlight w:val="none"/>
              </w:rPr>
            </w:pPr>
          </w:p>
        </w:tc>
        <w:tc>
          <w:tcPr>
            <w:tcW w:w="1139" w:type="dxa"/>
            <w:vAlign w:val="center"/>
          </w:tcPr>
          <w:p w14:paraId="0A1D0F81">
            <w:pPr>
              <w:pStyle w:val="29"/>
              <w:jc w:val="center"/>
              <w:rPr>
                <w:rFonts w:hAnsi="宋体" w:eastAsia="宋体" w:cs="宋体"/>
                <w:color w:val="auto"/>
                <w:sz w:val="24"/>
                <w:szCs w:val="24"/>
                <w:highlight w:val="none"/>
              </w:rPr>
            </w:pPr>
          </w:p>
        </w:tc>
        <w:tc>
          <w:tcPr>
            <w:tcW w:w="677" w:type="dxa"/>
            <w:vAlign w:val="center"/>
          </w:tcPr>
          <w:p w14:paraId="4F8FA901">
            <w:pPr>
              <w:pStyle w:val="29"/>
              <w:jc w:val="center"/>
              <w:rPr>
                <w:rFonts w:hAnsi="宋体" w:eastAsia="宋体" w:cs="宋体"/>
                <w:color w:val="auto"/>
                <w:sz w:val="24"/>
                <w:szCs w:val="24"/>
                <w:highlight w:val="none"/>
              </w:rPr>
            </w:pPr>
          </w:p>
        </w:tc>
      </w:tr>
      <w:tr w14:paraId="6176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3DDDD557">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5967" w:type="dxa"/>
            <w:vAlign w:val="center"/>
          </w:tcPr>
          <w:p w14:paraId="36A91623">
            <w:pPr>
              <w:jc w:val="left"/>
              <w:rPr>
                <w:rFonts w:ascii="宋体" w:hAnsi="宋体" w:cs="宋体"/>
                <w:color w:val="auto"/>
                <w:sz w:val="24"/>
                <w:highlight w:val="none"/>
              </w:rPr>
            </w:pPr>
            <w:r>
              <w:rPr>
                <w:rFonts w:hint="eastAsia" w:ascii="宋体" w:hAnsi="宋体" w:cs="宋体"/>
                <w:b/>
                <w:bCs/>
                <w:color w:val="auto"/>
                <w:sz w:val="24"/>
                <w:szCs w:val="24"/>
                <w:highlight w:val="none"/>
              </w:rPr>
              <w:t>报价人及其法定代表人（或单位负责人）、拟派项目团队成员（含项目负责人及其他专业技术人员）</w:t>
            </w:r>
            <w:r>
              <w:rPr>
                <w:rFonts w:hint="eastAsia" w:ascii="宋体" w:hAnsi="宋体" w:cs="宋体"/>
                <w:color w:val="auto"/>
                <w:sz w:val="24"/>
                <w:szCs w:val="24"/>
                <w:highlight w:val="none"/>
              </w:rPr>
              <w:t>未被列入“信用广州”网站（https://credit.gz.gov.cn）“严重失信主体名单”和“行业领域重点关注名单”（报价人须提供“信用广州”&lt;https://credit.gz.gov.cn〉的查询结果截图）。注：如相关人员查询到同姓名他人有记录的，需另行提供本人在“信用广州”下载的完整版“广州市个人公共信用信息报告”作为证明材料。</w:t>
            </w:r>
          </w:p>
        </w:tc>
        <w:tc>
          <w:tcPr>
            <w:tcW w:w="1117" w:type="dxa"/>
            <w:vAlign w:val="center"/>
          </w:tcPr>
          <w:p w14:paraId="55D76F0A">
            <w:pPr>
              <w:pStyle w:val="29"/>
              <w:jc w:val="center"/>
              <w:rPr>
                <w:rFonts w:hAnsi="宋体" w:eastAsia="宋体" w:cs="宋体"/>
                <w:color w:val="auto"/>
                <w:sz w:val="24"/>
                <w:szCs w:val="24"/>
                <w:highlight w:val="none"/>
              </w:rPr>
            </w:pPr>
          </w:p>
        </w:tc>
        <w:tc>
          <w:tcPr>
            <w:tcW w:w="1139" w:type="dxa"/>
            <w:vAlign w:val="center"/>
          </w:tcPr>
          <w:p w14:paraId="13D92AB2">
            <w:pPr>
              <w:pStyle w:val="29"/>
              <w:jc w:val="center"/>
              <w:rPr>
                <w:rFonts w:hAnsi="宋体" w:eastAsia="宋体" w:cs="宋体"/>
                <w:color w:val="auto"/>
                <w:sz w:val="24"/>
                <w:szCs w:val="24"/>
                <w:highlight w:val="none"/>
              </w:rPr>
            </w:pPr>
          </w:p>
        </w:tc>
        <w:tc>
          <w:tcPr>
            <w:tcW w:w="677" w:type="dxa"/>
            <w:vAlign w:val="center"/>
          </w:tcPr>
          <w:p w14:paraId="2DE660F6">
            <w:pPr>
              <w:pStyle w:val="29"/>
              <w:jc w:val="center"/>
              <w:rPr>
                <w:rFonts w:hAnsi="宋体" w:eastAsia="宋体" w:cs="宋体"/>
                <w:color w:val="auto"/>
                <w:sz w:val="24"/>
                <w:szCs w:val="24"/>
                <w:highlight w:val="none"/>
              </w:rPr>
            </w:pPr>
          </w:p>
        </w:tc>
      </w:tr>
      <w:tr w14:paraId="2240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0D35AD69">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5967" w:type="dxa"/>
            <w:vAlign w:val="center"/>
          </w:tcPr>
          <w:p w14:paraId="3156A91D">
            <w:pPr>
              <w:jc w:val="left"/>
              <w:rPr>
                <w:rFonts w:ascii="宋体" w:hAnsi="宋体" w:cs="宋体"/>
                <w:color w:val="auto"/>
                <w:sz w:val="24"/>
                <w:szCs w:val="24"/>
                <w:highlight w:val="none"/>
              </w:rPr>
            </w:pPr>
            <w:r>
              <w:rPr>
                <w:rFonts w:hint="eastAsia" w:ascii="宋体" w:hAnsi="宋体" w:cs="宋体"/>
                <w:color w:val="auto"/>
                <w:sz w:val="24"/>
                <w:highlight w:val="none"/>
              </w:rPr>
              <w:t>本项目不接受联合体报价。</w:t>
            </w:r>
          </w:p>
        </w:tc>
        <w:tc>
          <w:tcPr>
            <w:tcW w:w="1117" w:type="dxa"/>
            <w:vAlign w:val="center"/>
          </w:tcPr>
          <w:p w14:paraId="42D2E7CA">
            <w:pPr>
              <w:pStyle w:val="29"/>
              <w:jc w:val="center"/>
              <w:rPr>
                <w:rFonts w:hAnsi="宋体" w:eastAsia="宋体" w:cs="宋体"/>
                <w:color w:val="auto"/>
                <w:sz w:val="24"/>
                <w:szCs w:val="24"/>
                <w:highlight w:val="none"/>
              </w:rPr>
            </w:pPr>
          </w:p>
        </w:tc>
        <w:tc>
          <w:tcPr>
            <w:tcW w:w="1139" w:type="dxa"/>
            <w:vAlign w:val="center"/>
          </w:tcPr>
          <w:p w14:paraId="5D241B54">
            <w:pPr>
              <w:pStyle w:val="29"/>
              <w:jc w:val="center"/>
              <w:rPr>
                <w:rFonts w:hAnsi="宋体" w:eastAsia="宋体" w:cs="宋体"/>
                <w:color w:val="auto"/>
                <w:sz w:val="24"/>
                <w:szCs w:val="24"/>
                <w:highlight w:val="none"/>
              </w:rPr>
            </w:pPr>
          </w:p>
        </w:tc>
        <w:tc>
          <w:tcPr>
            <w:tcW w:w="677" w:type="dxa"/>
            <w:vAlign w:val="center"/>
          </w:tcPr>
          <w:p w14:paraId="5026B991">
            <w:pPr>
              <w:pStyle w:val="29"/>
              <w:jc w:val="center"/>
              <w:rPr>
                <w:rFonts w:hAnsi="宋体" w:eastAsia="宋体" w:cs="宋体"/>
                <w:color w:val="auto"/>
                <w:sz w:val="24"/>
                <w:szCs w:val="24"/>
                <w:highlight w:val="none"/>
              </w:rPr>
            </w:pPr>
          </w:p>
        </w:tc>
      </w:tr>
      <w:tr w14:paraId="271D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58DBD3F4">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5967" w:type="dxa"/>
            <w:vAlign w:val="center"/>
          </w:tcPr>
          <w:p w14:paraId="35803C36">
            <w:pPr>
              <w:jc w:val="left"/>
              <w:rPr>
                <w:rFonts w:ascii="宋体" w:hAnsi="宋体" w:cs="宋体"/>
                <w:color w:val="auto"/>
                <w:sz w:val="24"/>
                <w:highlight w:val="none"/>
              </w:rPr>
            </w:pPr>
            <w:r>
              <w:rPr>
                <w:rFonts w:hint="eastAsia" w:ascii="宋体" w:hAnsi="宋体" w:cs="宋体"/>
                <w:color w:val="auto"/>
                <w:sz w:val="24"/>
                <w:szCs w:val="24"/>
                <w:highlight w:val="none"/>
              </w:rPr>
              <w:t>报价总金额是固定价且是唯一的，未超过本项目最高报价限价，有效报价下浮率为</w:t>
            </w:r>
            <w:r>
              <w:rPr>
                <w:rFonts w:hint="eastAsia" w:ascii="宋体" w:hAnsi="宋体" w:cs="宋体"/>
                <w:b/>
                <w:bCs/>
                <w:color w:val="auto"/>
                <w:sz w:val="24"/>
                <w:szCs w:val="24"/>
                <w:highlight w:val="none"/>
              </w:rPr>
              <w:t>0%-20%</w:t>
            </w:r>
            <w:r>
              <w:rPr>
                <w:rFonts w:hint="eastAsia" w:ascii="宋体" w:hAnsi="宋体" w:cs="宋体"/>
                <w:color w:val="auto"/>
                <w:sz w:val="24"/>
                <w:szCs w:val="24"/>
                <w:highlight w:val="none"/>
              </w:rPr>
              <w:t>。</w:t>
            </w:r>
          </w:p>
        </w:tc>
        <w:tc>
          <w:tcPr>
            <w:tcW w:w="1117" w:type="dxa"/>
            <w:vAlign w:val="center"/>
          </w:tcPr>
          <w:p w14:paraId="02FDE29F">
            <w:pPr>
              <w:pStyle w:val="29"/>
              <w:jc w:val="center"/>
              <w:rPr>
                <w:rFonts w:hAnsi="宋体" w:eastAsia="宋体" w:cs="宋体"/>
                <w:color w:val="auto"/>
                <w:sz w:val="24"/>
                <w:szCs w:val="24"/>
                <w:highlight w:val="none"/>
              </w:rPr>
            </w:pPr>
          </w:p>
        </w:tc>
        <w:tc>
          <w:tcPr>
            <w:tcW w:w="1139" w:type="dxa"/>
            <w:vAlign w:val="center"/>
          </w:tcPr>
          <w:p w14:paraId="533A2292">
            <w:pPr>
              <w:pStyle w:val="29"/>
              <w:jc w:val="center"/>
              <w:rPr>
                <w:rFonts w:hAnsi="宋体" w:eastAsia="宋体" w:cs="宋体"/>
                <w:color w:val="auto"/>
                <w:sz w:val="24"/>
                <w:szCs w:val="24"/>
                <w:highlight w:val="none"/>
              </w:rPr>
            </w:pPr>
          </w:p>
        </w:tc>
        <w:tc>
          <w:tcPr>
            <w:tcW w:w="677" w:type="dxa"/>
            <w:vAlign w:val="center"/>
          </w:tcPr>
          <w:p w14:paraId="07DDCC05">
            <w:pPr>
              <w:pStyle w:val="29"/>
              <w:jc w:val="center"/>
              <w:rPr>
                <w:rFonts w:hAnsi="宋体" w:eastAsia="宋体" w:cs="宋体"/>
                <w:color w:val="auto"/>
                <w:sz w:val="24"/>
                <w:szCs w:val="24"/>
                <w:highlight w:val="none"/>
              </w:rPr>
            </w:pPr>
          </w:p>
        </w:tc>
      </w:tr>
      <w:tr w14:paraId="433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14:paraId="420364AF">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5967" w:type="dxa"/>
            <w:vAlign w:val="center"/>
          </w:tcPr>
          <w:p w14:paraId="6A4976BA">
            <w:pPr>
              <w:jc w:val="left"/>
              <w:rPr>
                <w:rFonts w:ascii="宋体" w:hAnsi="宋体" w:cs="宋体"/>
                <w:color w:val="auto"/>
                <w:sz w:val="24"/>
                <w:highlight w:val="none"/>
              </w:rPr>
            </w:pPr>
            <w:r>
              <w:rPr>
                <w:rFonts w:hint="eastAsia" w:ascii="宋体" w:hAnsi="宋体" w:cs="宋体"/>
                <w:color w:val="auto"/>
                <w:sz w:val="24"/>
                <w:highlight w:val="none"/>
              </w:rPr>
              <w:t>报价文件内容完整，无重大错漏，并已按询比文件要求签署及盖章。</w:t>
            </w:r>
          </w:p>
        </w:tc>
        <w:tc>
          <w:tcPr>
            <w:tcW w:w="1117" w:type="dxa"/>
            <w:vAlign w:val="center"/>
          </w:tcPr>
          <w:p w14:paraId="69A12BB2">
            <w:pPr>
              <w:pStyle w:val="29"/>
              <w:jc w:val="center"/>
              <w:rPr>
                <w:rFonts w:hAnsi="宋体" w:eastAsia="宋体" w:cs="宋体"/>
                <w:color w:val="auto"/>
                <w:sz w:val="24"/>
                <w:szCs w:val="24"/>
                <w:highlight w:val="none"/>
              </w:rPr>
            </w:pPr>
          </w:p>
        </w:tc>
        <w:tc>
          <w:tcPr>
            <w:tcW w:w="1139" w:type="dxa"/>
            <w:vAlign w:val="center"/>
          </w:tcPr>
          <w:p w14:paraId="57943DDF">
            <w:pPr>
              <w:pStyle w:val="29"/>
              <w:jc w:val="center"/>
              <w:rPr>
                <w:rFonts w:hAnsi="宋体" w:eastAsia="宋体" w:cs="宋体"/>
                <w:color w:val="auto"/>
                <w:sz w:val="24"/>
                <w:szCs w:val="24"/>
                <w:highlight w:val="none"/>
              </w:rPr>
            </w:pPr>
          </w:p>
        </w:tc>
        <w:tc>
          <w:tcPr>
            <w:tcW w:w="677" w:type="dxa"/>
            <w:vAlign w:val="center"/>
          </w:tcPr>
          <w:p w14:paraId="61EB63FC">
            <w:pPr>
              <w:pStyle w:val="29"/>
              <w:jc w:val="center"/>
              <w:rPr>
                <w:rFonts w:hAnsi="宋体" w:eastAsia="宋体" w:cs="宋体"/>
                <w:color w:val="auto"/>
                <w:sz w:val="24"/>
                <w:szCs w:val="24"/>
                <w:highlight w:val="none"/>
              </w:rPr>
            </w:pPr>
          </w:p>
        </w:tc>
      </w:tr>
      <w:tr w14:paraId="391A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24" w:type="dxa"/>
            <w:gridSpan w:val="2"/>
            <w:vAlign w:val="center"/>
          </w:tcPr>
          <w:p w14:paraId="2FA7575C">
            <w:pPr>
              <w:pStyle w:val="29"/>
              <w:jc w:val="center"/>
              <w:rPr>
                <w:rFonts w:hAnsi="宋体" w:eastAsia="宋体" w:cs="宋体"/>
                <w:color w:val="auto"/>
                <w:sz w:val="24"/>
                <w:szCs w:val="24"/>
                <w:highlight w:val="none"/>
              </w:rPr>
            </w:pPr>
            <w:r>
              <w:rPr>
                <w:rFonts w:hint="eastAsia" w:hAnsi="宋体" w:eastAsia="宋体" w:cs="宋体"/>
                <w:color w:val="auto"/>
                <w:sz w:val="24"/>
                <w:szCs w:val="24"/>
                <w:highlight w:val="none"/>
              </w:rPr>
              <w:t>结论</w:t>
            </w:r>
          </w:p>
        </w:tc>
        <w:tc>
          <w:tcPr>
            <w:tcW w:w="1117" w:type="dxa"/>
            <w:vAlign w:val="center"/>
          </w:tcPr>
          <w:p w14:paraId="36231F70">
            <w:pPr>
              <w:pStyle w:val="29"/>
              <w:jc w:val="center"/>
              <w:rPr>
                <w:rFonts w:hAnsi="宋体" w:eastAsia="宋体" w:cs="宋体"/>
                <w:color w:val="auto"/>
                <w:sz w:val="24"/>
                <w:szCs w:val="24"/>
                <w:highlight w:val="none"/>
              </w:rPr>
            </w:pPr>
          </w:p>
        </w:tc>
        <w:tc>
          <w:tcPr>
            <w:tcW w:w="1139" w:type="dxa"/>
            <w:vAlign w:val="center"/>
          </w:tcPr>
          <w:p w14:paraId="211C1CC7">
            <w:pPr>
              <w:pStyle w:val="29"/>
              <w:jc w:val="center"/>
              <w:rPr>
                <w:rFonts w:hAnsi="宋体" w:eastAsia="宋体" w:cs="宋体"/>
                <w:color w:val="auto"/>
                <w:sz w:val="24"/>
                <w:szCs w:val="24"/>
                <w:highlight w:val="none"/>
              </w:rPr>
            </w:pPr>
          </w:p>
        </w:tc>
        <w:tc>
          <w:tcPr>
            <w:tcW w:w="677" w:type="dxa"/>
            <w:vAlign w:val="center"/>
          </w:tcPr>
          <w:p w14:paraId="0B15439B">
            <w:pPr>
              <w:pStyle w:val="29"/>
              <w:jc w:val="center"/>
              <w:rPr>
                <w:rFonts w:hAnsi="宋体" w:eastAsia="宋体" w:cs="宋体"/>
                <w:color w:val="auto"/>
                <w:sz w:val="24"/>
                <w:szCs w:val="24"/>
                <w:highlight w:val="none"/>
              </w:rPr>
            </w:pPr>
          </w:p>
        </w:tc>
      </w:tr>
    </w:tbl>
    <w:p w14:paraId="60E1E29C">
      <w:pPr>
        <w:pStyle w:val="29"/>
        <w:jc w:val="left"/>
        <w:rPr>
          <w:rFonts w:hAnsi="宋体" w:eastAsia="宋体" w:cs="宋体"/>
          <w:color w:val="auto"/>
          <w:szCs w:val="21"/>
          <w:highlight w:val="none"/>
        </w:rPr>
      </w:pPr>
      <w:r>
        <w:rPr>
          <w:rFonts w:hint="eastAsia" w:hAnsi="宋体" w:eastAsia="宋体" w:cs="宋体"/>
          <w:color w:val="auto"/>
          <w:szCs w:val="21"/>
          <w:highlight w:val="none"/>
        </w:rPr>
        <w:t>注：1.每一项符合的打“√”，不符合的打“×”。</w:t>
      </w:r>
    </w:p>
    <w:p w14:paraId="3593313A">
      <w:pPr>
        <w:pStyle w:val="29"/>
        <w:spacing w:line="360" w:lineRule="auto"/>
        <w:ind w:firstLine="420" w:firstLineChars="200"/>
        <w:jc w:val="left"/>
        <w:rPr>
          <w:rFonts w:hAnsi="宋体" w:eastAsia="宋体" w:cs="宋体"/>
          <w:color w:val="auto"/>
          <w:sz w:val="24"/>
          <w:szCs w:val="24"/>
          <w:highlight w:val="none"/>
        </w:rPr>
      </w:pPr>
      <w:r>
        <w:rPr>
          <w:rFonts w:hint="eastAsia" w:hAnsi="宋体" w:eastAsia="宋体" w:cs="宋体"/>
          <w:color w:val="auto"/>
          <w:szCs w:val="21"/>
          <w:highlight w:val="none"/>
        </w:rPr>
        <w:t>2.“结论”一栏填写“通过”或“不通过”；任何一项出现“×”的，结论为不通过；不通过的为无效报价。</w:t>
      </w:r>
      <w:r>
        <w:rPr>
          <w:rFonts w:hint="eastAsia" w:hAnsi="宋体" w:eastAsia="宋体" w:cs="宋体"/>
          <w:color w:val="auto"/>
          <w:szCs w:val="21"/>
          <w:highlight w:val="none"/>
        </w:rPr>
        <w:br w:type="page"/>
      </w:r>
      <w:r>
        <w:rPr>
          <w:rFonts w:hint="eastAsia" w:hAnsi="宋体" w:eastAsia="宋体" w:cs="宋体"/>
          <w:color w:val="auto"/>
          <w:sz w:val="24"/>
          <w:szCs w:val="24"/>
          <w:highlight w:val="none"/>
        </w:rPr>
        <w:t>附件二</w:t>
      </w:r>
    </w:p>
    <w:p w14:paraId="21FF3A71">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综合评分表</w:t>
      </w:r>
    </w:p>
    <w:p w14:paraId="497C4627">
      <w:pPr>
        <w:spacing w:line="360" w:lineRule="auto"/>
        <w:rPr>
          <w:rFonts w:ascii="宋体" w:hAnsi="宋体" w:cs="宋体"/>
          <w:color w:val="auto"/>
          <w:szCs w:val="21"/>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广州市美华中学改扩建工程招标代理服务</w:t>
      </w:r>
    </w:p>
    <w:tbl>
      <w:tblPr>
        <w:tblStyle w:val="20"/>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840"/>
        <w:gridCol w:w="7005"/>
      </w:tblGrid>
      <w:tr w14:paraId="1D7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vAlign w:val="center"/>
          </w:tcPr>
          <w:p w14:paraId="6D155A24">
            <w:pPr>
              <w:autoSpaceDE w:val="0"/>
              <w:autoSpaceDN w:val="0"/>
              <w:adjustRightIn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30" w:type="dxa"/>
            <w:vAlign w:val="center"/>
          </w:tcPr>
          <w:p w14:paraId="5321FC8E">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评审内容</w:t>
            </w:r>
          </w:p>
        </w:tc>
        <w:tc>
          <w:tcPr>
            <w:tcW w:w="840" w:type="dxa"/>
            <w:vAlign w:val="center"/>
          </w:tcPr>
          <w:p w14:paraId="5C0FAE7D">
            <w:pPr>
              <w:autoSpaceDE w:val="0"/>
              <w:autoSpaceDN w:val="0"/>
              <w:adjustRightIn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分值</w:t>
            </w:r>
          </w:p>
        </w:tc>
        <w:tc>
          <w:tcPr>
            <w:tcW w:w="7005" w:type="dxa"/>
            <w:vAlign w:val="center"/>
          </w:tcPr>
          <w:p w14:paraId="0F7273AC">
            <w:pPr>
              <w:autoSpaceDE w:val="0"/>
              <w:autoSpaceDN w:val="0"/>
              <w:adjustRightInd w:val="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评分标准</w:t>
            </w:r>
          </w:p>
        </w:tc>
      </w:tr>
      <w:tr w14:paraId="7EF6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14:paraId="6268D7F8">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1230" w:type="dxa"/>
            <w:vAlign w:val="center"/>
          </w:tcPr>
          <w:p w14:paraId="0F159398">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招标代理业绩</w:t>
            </w:r>
          </w:p>
        </w:tc>
        <w:tc>
          <w:tcPr>
            <w:tcW w:w="840" w:type="dxa"/>
            <w:vAlign w:val="center"/>
          </w:tcPr>
          <w:p w14:paraId="689049BF">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7005" w:type="dxa"/>
            <w:vAlign w:val="center"/>
          </w:tcPr>
          <w:p w14:paraId="67B5C3B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2020年1月1日至今，报价人在各地有形建筑市场（包括公共资源交易中心或公共资源交易中心各分部）平台独立完成的工程招标采购代理项目：</w:t>
            </w:r>
          </w:p>
          <w:p w14:paraId="2A279EE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单个标段（标包）中标金额≥10000万元，每个得5分，最高得20分；其余情况不得分。</w:t>
            </w:r>
          </w:p>
        </w:tc>
      </w:tr>
      <w:tr w14:paraId="2332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750" w:type="dxa"/>
            <w:vMerge w:val="restart"/>
            <w:vAlign w:val="center"/>
          </w:tcPr>
          <w:p w14:paraId="0D0D5CB6">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1230" w:type="dxa"/>
            <w:vMerge w:val="restart"/>
            <w:vAlign w:val="center"/>
          </w:tcPr>
          <w:p w14:paraId="24ACB560">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招标代理人员架构</w:t>
            </w:r>
          </w:p>
        </w:tc>
        <w:tc>
          <w:tcPr>
            <w:tcW w:w="840" w:type="dxa"/>
            <w:vMerge w:val="restart"/>
            <w:vAlign w:val="center"/>
          </w:tcPr>
          <w:p w14:paraId="051BE6EC">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7005" w:type="dxa"/>
            <w:vAlign w:val="center"/>
          </w:tcPr>
          <w:p w14:paraId="020E4D3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项目负责人：</w:t>
            </w:r>
          </w:p>
          <w:p w14:paraId="69776409">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1.具有高级或以上工程师职称的得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分；具有中级工程师职称的得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分，本小项最多得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p w14:paraId="5745F7E2">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2.具有中级（或以上）招采人员专业技术能力评价证书（提供民政管理部门登记备案的市级或以上协会颁发的证书）或招标师资格证书的得2分。</w:t>
            </w:r>
          </w:p>
          <w:p w14:paraId="68EB1697">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3.2020年1月1日至今，曾担任过招标代理项目负责人的，每个招标代理业绩得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分，本小项最多得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p w14:paraId="5B06EDCC">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本项累计最高得</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分。</w:t>
            </w:r>
          </w:p>
        </w:tc>
      </w:tr>
      <w:tr w14:paraId="016B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0" w:type="dxa"/>
            <w:vMerge w:val="continue"/>
            <w:vAlign w:val="center"/>
          </w:tcPr>
          <w:p w14:paraId="362859F6">
            <w:pPr>
              <w:rPr>
                <w:rFonts w:ascii="宋体" w:hAnsi="宋体" w:cs="宋体"/>
                <w:color w:val="auto"/>
                <w:sz w:val="24"/>
                <w:szCs w:val="24"/>
                <w:highlight w:val="none"/>
              </w:rPr>
            </w:pPr>
          </w:p>
        </w:tc>
        <w:tc>
          <w:tcPr>
            <w:tcW w:w="1230" w:type="dxa"/>
            <w:vMerge w:val="continue"/>
            <w:vAlign w:val="center"/>
          </w:tcPr>
          <w:p w14:paraId="58D0D034">
            <w:pPr>
              <w:rPr>
                <w:rFonts w:ascii="宋体" w:hAnsi="宋体" w:cs="宋体"/>
                <w:color w:val="auto"/>
                <w:sz w:val="24"/>
                <w:szCs w:val="24"/>
                <w:highlight w:val="none"/>
              </w:rPr>
            </w:pPr>
          </w:p>
        </w:tc>
        <w:tc>
          <w:tcPr>
            <w:tcW w:w="840" w:type="dxa"/>
            <w:vMerge w:val="continue"/>
            <w:vAlign w:val="center"/>
          </w:tcPr>
          <w:p w14:paraId="3E550074">
            <w:pPr>
              <w:rPr>
                <w:rFonts w:ascii="宋体" w:hAnsi="宋体" w:cs="宋体"/>
                <w:color w:val="auto"/>
                <w:sz w:val="24"/>
                <w:szCs w:val="24"/>
                <w:highlight w:val="none"/>
              </w:rPr>
            </w:pPr>
          </w:p>
        </w:tc>
        <w:tc>
          <w:tcPr>
            <w:tcW w:w="7005" w:type="dxa"/>
            <w:vAlign w:val="center"/>
          </w:tcPr>
          <w:p w14:paraId="0C03F165">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配备人员（项目负责人除外）：</w:t>
            </w:r>
          </w:p>
          <w:p w14:paraId="2B98EC0C">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1.拟投入的人员中配备中级（或以上）招采人员专业技术能力评价证书（提供民政管理部门登记备案的市级或以上协会颁发的证书）或招标师资格证书，每提供1名得2分，本小项最多得4分。</w:t>
            </w:r>
          </w:p>
          <w:p w14:paraId="7EE10409">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2.拟投入的人员中配备一级注册造价工程师（需同时提供造价工程师资格证书及在报价人本单位注册的注册证书）每配备1名得1.5分，本小项最多得3分。</w:t>
            </w:r>
          </w:p>
          <w:p w14:paraId="286C3C0E">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3.拟投入的人员中配备工程类专业中级或以上职称的人员，每配备1名得1.5分，本小项最多得3分。</w:t>
            </w:r>
          </w:p>
          <w:p w14:paraId="5C18CE03">
            <w:pPr>
              <w:numPr>
                <w:ilvl w:val="0"/>
                <w:numId w:val="0"/>
              </w:numPr>
              <w:adjustRightInd w:val="0"/>
              <w:snapToGrid w:val="0"/>
              <w:rPr>
                <w:rFonts w:hint="default" w:ascii="宋体" w:hAnsi="宋体" w:cs="宋体" w:eastAsiaTheme="minorEastAsia"/>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4.</w:t>
            </w:r>
            <w:r>
              <w:rPr>
                <w:rFonts w:hint="eastAsia" w:ascii="宋体" w:hAnsi="宋体" w:cs="宋体"/>
                <w:color w:val="auto"/>
                <w:sz w:val="24"/>
                <w:szCs w:val="24"/>
                <w:highlight w:val="none"/>
              </w:rPr>
              <w:t>拟投入的人员</w:t>
            </w:r>
            <w:r>
              <w:rPr>
                <w:rFonts w:hint="eastAsia" w:ascii="宋体" w:hAnsi="宋体" w:eastAsia="宋体" w:cs="宋体"/>
                <w:color w:val="auto"/>
                <w:sz w:val="24"/>
                <w:szCs w:val="24"/>
                <w:highlight w:val="none"/>
              </w:rPr>
              <w:t>获得过省级或以上人民政府(或行政部门或建筑学会或协会）颁发的工程类科学技术奖项每人得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获得过</w:t>
            </w:r>
            <w:r>
              <w:rPr>
                <w:rFonts w:hint="eastAsia" w:ascii="宋体" w:hAnsi="宋体" w:eastAsia="宋体" w:cs="宋体"/>
                <w:color w:val="auto"/>
                <w:sz w:val="24"/>
                <w:szCs w:val="24"/>
                <w:highlight w:val="none"/>
                <w:lang w:val="en-US" w:eastAsia="zh-CN"/>
              </w:rPr>
              <w:t>市</w:t>
            </w:r>
            <w:r>
              <w:rPr>
                <w:rFonts w:hint="eastAsia" w:ascii="宋体" w:hAnsi="宋体" w:eastAsia="宋体" w:cs="宋体"/>
                <w:color w:val="auto"/>
                <w:sz w:val="24"/>
                <w:szCs w:val="24"/>
                <w:highlight w:val="none"/>
              </w:rPr>
              <w:t>级或以上人民政府(或行政部门或建筑学会或协会）颁发的工程类科学技术奖项每人得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kern w:val="0"/>
                <w:sz w:val="24"/>
                <w:szCs w:val="24"/>
                <w:highlight w:val="none"/>
              </w:rPr>
              <w:t>。本小项最多得</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分。</w:t>
            </w:r>
          </w:p>
          <w:p w14:paraId="5F529777">
            <w:pPr>
              <w:autoSpaceDE w:val="0"/>
              <w:autoSpaceDN w:val="0"/>
              <w:adjustRightInd w:val="0"/>
              <w:rPr>
                <w:rFonts w:ascii="宋体" w:hAnsi="宋体" w:cs="宋体"/>
                <w:color w:val="auto"/>
                <w:sz w:val="24"/>
                <w:szCs w:val="24"/>
                <w:highlight w:val="none"/>
              </w:rPr>
            </w:pPr>
            <w:r>
              <w:rPr>
                <w:rFonts w:hint="eastAsia" w:ascii="宋体" w:hAnsi="宋体" w:cs="宋体"/>
                <w:bCs/>
                <w:color w:val="auto"/>
                <w:kern w:val="0"/>
                <w:sz w:val="24"/>
                <w:szCs w:val="24"/>
                <w:highlight w:val="none"/>
              </w:rPr>
              <w:t>以上1/2/3类拟投入的人员有多个证书的，只计单独计分一次，不得重复计分。</w:t>
            </w:r>
            <w:r>
              <w:rPr>
                <w:rFonts w:hint="eastAsia" w:ascii="宋体" w:hAnsi="宋体" w:cs="宋体"/>
                <w:color w:val="auto"/>
                <w:sz w:val="24"/>
                <w:szCs w:val="24"/>
                <w:highlight w:val="none"/>
              </w:rPr>
              <w:t>本项累计最高得1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r>
      <w:tr w14:paraId="775E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0" w:type="dxa"/>
            <w:vAlign w:val="center"/>
          </w:tcPr>
          <w:p w14:paraId="68B3738E">
            <w:pPr>
              <w:jc w:val="center"/>
              <w:rPr>
                <w:rFonts w:ascii="宋体" w:hAnsi="宋体" w:cs="宋体"/>
                <w:color w:val="auto"/>
                <w:sz w:val="24"/>
                <w:szCs w:val="24"/>
                <w:highlight w:val="none"/>
              </w:rPr>
            </w:pPr>
            <w:r>
              <w:rPr>
                <w:rFonts w:hint="eastAsia" w:ascii="宋体" w:hAnsi="宋体" w:cs="宋体"/>
                <w:color w:val="auto"/>
                <w:sz w:val="24"/>
                <w:szCs w:val="24"/>
                <w:highlight w:val="none"/>
              </w:rPr>
              <w:t>三</w:t>
            </w:r>
          </w:p>
        </w:tc>
        <w:tc>
          <w:tcPr>
            <w:tcW w:w="1230" w:type="dxa"/>
            <w:vAlign w:val="center"/>
          </w:tcPr>
          <w:p w14:paraId="457E7FEB">
            <w:pPr>
              <w:rPr>
                <w:rFonts w:ascii="宋体" w:hAnsi="宋体" w:cs="宋体"/>
                <w:color w:val="auto"/>
                <w:sz w:val="24"/>
                <w:szCs w:val="24"/>
                <w:highlight w:val="none"/>
              </w:rPr>
            </w:pPr>
            <w:r>
              <w:rPr>
                <w:rFonts w:hint="eastAsia" w:ascii="宋体" w:hAnsi="宋体" w:cs="宋体"/>
                <w:color w:val="auto"/>
                <w:sz w:val="24"/>
                <w:szCs w:val="24"/>
                <w:highlight w:val="none"/>
              </w:rPr>
              <w:t>信用评价</w:t>
            </w:r>
          </w:p>
        </w:tc>
        <w:tc>
          <w:tcPr>
            <w:tcW w:w="840" w:type="dxa"/>
            <w:vAlign w:val="center"/>
          </w:tcPr>
          <w:p w14:paraId="225FA4D0">
            <w:pPr>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7005" w:type="dxa"/>
            <w:vAlign w:val="center"/>
          </w:tcPr>
          <w:p w14:paraId="01BBC5CD">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1.至最新可查年份，报价人曾获得公共资源交易行业信用评价证书14项(含）或以上的，得10分；获得8-13项（含）的，得5分；获得1-7项（含）的，得3分。没有的不得分，本小项最多得10分。</w:t>
            </w:r>
          </w:p>
          <w:p w14:paraId="24A93687">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2.至最新可查年份，企业获得过企业诚信兴商（或诚信示范企业）证书，连续10年（不含）或以上的得10分，连续6-10年（含）的得5分，连续1-5年（含）或以下的得1分，没有的不得分。本小项最多得10分。</w:t>
            </w:r>
            <w:r>
              <w:rPr>
                <w:rFonts w:hint="eastAsia" w:ascii="宋体" w:hAnsi="宋体" w:cs="宋体"/>
                <w:color w:val="auto"/>
                <w:sz w:val="24"/>
                <w:szCs w:val="24"/>
                <w:highlight w:val="none"/>
              </w:rPr>
              <w:cr/>
            </w:r>
            <w:r>
              <w:rPr>
                <w:rFonts w:hint="eastAsia" w:ascii="宋体" w:hAnsi="宋体" w:cs="宋体"/>
                <w:color w:val="auto"/>
                <w:sz w:val="24"/>
                <w:szCs w:val="24"/>
                <w:highlight w:val="none"/>
              </w:rPr>
              <w:t>本项累计最高得20分。</w:t>
            </w:r>
          </w:p>
        </w:tc>
      </w:tr>
      <w:tr w14:paraId="792D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50" w:type="dxa"/>
            <w:vAlign w:val="center"/>
          </w:tcPr>
          <w:p w14:paraId="1D74F8CA">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四</w:t>
            </w:r>
          </w:p>
        </w:tc>
        <w:tc>
          <w:tcPr>
            <w:tcW w:w="1230" w:type="dxa"/>
            <w:vAlign w:val="center"/>
          </w:tcPr>
          <w:p w14:paraId="5094E6F9">
            <w:pPr>
              <w:autoSpaceDE w:val="0"/>
              <w:autoSpaceDN w:val="0"/>
              <w:adjustRightInd w:val="0"/>
              <w:rPr>
                <w:rFonts w:ascii="宋体" w:hAnsi="宋体" w:cs="宋体"/>
                <w:color w:val="auto"/>
                <w:sz w:val="24"/>
                <w:szCs w:val="24"/>
                <w:highlight w:val="none"/>
              </w:rPr>
            </w:pPr>
            <w:r>
              <w:rPr>
                <w:rFonts w:hint="eastAsia" w:ascii="宋体" w:hAnsi="宋体" w:cs="宋体"/>
                <w:color w:val="auto"/>
                <w:sz w:val="24"/>
                <w:szCs w:val="24"/>
                <w:highlight w:val="none"/>
              </w:rPr>
              <w:t>企业纳税</w:t>
            </w:r>
          </w:p>
        </w:tc>
        <w:tc>
          <w:tcPr>
            <w:tcW w:w="840" w:type="dxa"/>
            <w:vAlign w:val="center"/>
          </w:tcPr>
          <w:p w14:paraId="0E274A1C">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653DF89B">
            <w:pPr>
              <w:pStyle w:val="35"/>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2020年1月1日至今，报价人获得过国家税务机关“A级纳税人”信用评价，得10分；“B级纳税人”信用评价，得7分；“C级纳税人”信用评价，得3分；无或其他情况不得分。</w:t>
            </w:r>
          </w:p>
        </w:tc>
      </w:tr>
      <w:tr w14:paraId="01CD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50" w:type="dxa"/>
            <w:vAlign w:val="center"/>
          </w:tcPr>
          <w:p w14:paraId="544D4691">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五</w:t>
            </w:r>
          </w:p>
        </w:tc>
        <w:tc>
          <w:tcPr>
            <w:tcW w:w="1230" w:type="dxa"/>
            <w:vAlign w:val="center"/>
          </w:tcPr>
          <w:p w14:paraId="36D4D58D">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管理体系</w:t>
            </w:r>
          </w:p>
        </w:tc>
        <w:tc>
          <w:tcPr>
            <w:tcW w:w="840" w:type="dxa"/>
            <w:vAlign w:val="center"/>
          </w:tcPr>
          <w:p w14:paraId="3B2450DD">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19765FC0">
            <w:pPr>
              <w:pStyle w:val="35"/>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具备有效期内的质量管理体系认证、环境管理体系认证、职业健康安全管理体系认证、合规管理体系认证，每个证书得2.5分，最多得10分。</w:t>
            </w:r>
          </w:p>
        </w:tc>
      </w:tr>
      <w:tr w14:paraId="6F5F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dxa"/>
            <w:vAlign w:val="center"/>
          </w:tcPr>
          <w:p w14:paraId="40780ED9">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六</w:t>
            </w:r>
          </w:p>
        </w:tc>
        <w:tc>
          <w:tcPr>
            <w:tcW w:w="1230" w:type="dxa"/>
            <w:vAlign w:val="center"/>
          </w:tcPr>
          <w:p w14:paraId="0C5E305D">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w:t>
            </w:r>
          </w:p>
          <w:p w14:paraId="14FA411F">
            <w:pPr>
              <w:jc w:val="center"/>
              <w:rPr>
                <w:rFonts w:ascii="宋体" w:hAnsi="宋体" w:cs="宋体"/>
                <w:color w:val="auto"/>
                <w:sz w:val="24"/>
                <w:szCs w:val="24"/>
                <w:highlight w:val="none"/>
              </w:rPr>
            </w:pPr>
            <w:r>
              <w:rPr>
                <w:rFonts w:hint="eastAsia" w:ascii="宋体" w:hAnsi="宋体" w:cs="宋体"/>
                <w:color w:val="auto"/>
                <w:sz w:val="24"/>
                <w:szCs w:val="24"/>
                <w:highlight w:val="none"/>
              </w:rPr>
              <w:t>诚信分排行</w:t>
            </w:r>
          </w:p>
        </w:tc>
        <w:tc>
          <w:tcPr>
            <w:tcW w:w="840" w:type="dxa"/>
            <w:vAlign w:val="center"/>
          </w:tcPr>
          <w:p w14:paraId="68BF93BD">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3A6E6ED7">
            <w:pPr>
              <w:pStyle w:val="35"/>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的诚信综合评价排名以发布公告当天广州市工程招标代理行业协会网站（http://www.gzzbdl.com/）上公布的企业（企业类型：招标代理企业）当日诚信分排名为准。第1名至第10名得10分，第11名至第20名得5分，第21名至第30名得3分，第31名或以后得1分，无或其他情况不得分。</w:t>
            </w:r>
          </w:p>
        </w:tc>
      </w:tr>
      <w:tr w14:paraId="4F8F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dxa"/>
            <w:vAlign w:val="center"/>
          </w:tcPr>
          <w:p w14:paraId="58A88A5A">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rPr>
              <w:t>七</w:t>
            </w:r>
          </w:p>
        </w:tc>
        <w:tc>
          <w:tcPr>
            <w:tcW w:w="1230" w:type="dxa"/>
            <w:vAlign w:val="center"/>
          </w:tcPr>
          <w:p w14:paraId="592BB837">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报价</w:t>
            </w:r>
          </w:p>
        </w:tc>
        <w:tc>
          <w:tcPr>
            <w:tcW w:w="840" w:type="dxa"/>
            <w:vAlign w:val="center"/>
          </w:tcPr>
          <w:p w14:paraId="6AE2F54B">
            <w:pPr>
              <w:autoSpaceDE w:val="0"/>
              <w:autoSpaceDN w:val="0"/>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7005" w:type="dxa"/>
            <w:vAlign w:val="center"/>
          </w:tcPr>
          <w:p w14:paraId="1E985E6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当有效报价等于报价基准价时，报价得分为10分，报价每高于报价基准价1%的，扣0.5分，每低于1%的，扣0.3分，扣至0分为止，计算出报价得分，精确到小数点后两位。</w:t>
            </w:r>
          </w:p>
          <w:p w14:paraId="6188040D">
            <w:pPr>
              <w:autoSpaceDE w:val="0"/>
              <w:autoSpaceDN w:val="0"/>
              <w:adjustRightInd w:val="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1.当有效报价人大于或等于5家时，去掉一个最高价和一个最低价，取余下有效报价的算术平均值作为报价基准价。当有效报价人小于5家时，取所有入围有效报价的算术平均值作为报价基准价（保留小数点后两位，第三位小数四舍五入）</w:t>
            </w:r>
          </w:p>
          <w:p w14:paraId="53AB1B28">
            <w:pPr>
              <w:ind w:firstLine="720" w:firstLineChars="300"/>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2.偏差率=｜有效报价-报价基准价｜/报价基准价*100%（偏差率四舍五入保留2位小数，偏差率不足1%的，按直线内插法计算报价得分）。</w:t>
            </w:r>
          </w:p>
        </w:tc>
      </w:tr>
      <w:tr w14:paraId="53D4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80" w:type="dxa"/>
            <w:gridSpan w:val="2"/>
            <w:vAlign w:val="center"/>
          </w:tcPr>
          <w:p w14:paraId="3402FD1E">
            <w:pPr>
              <w:autoSpaceDE w:val="0"/>
              <w:autoSpaceDN w:val="0"/>
              <w:adjustRightInd w:val="0"/>
              <w:jc w:val="center"/>
              <w:rPr>
                <w:rFonts w:ascii="宋体" w:hAnsi="宋体" w:cs="宋体"/>
                <w:color w:val="auto"/>
                <w:sz w:val="24"/>
                <w:szCs w:val="24"/>
                <w:highlight w:val="none"/>
              </w:rPr>
            </w:pPr>
            <w:r>
              <w:rPr>
                <w:rFonts w:hint="eastAsia" w:ascii="宋体" w:hAnsi="宋体" w:cs="宋体"/>
                <w:b/>
                <w:bCs/>
                <w:color w:val="auto"/>
                <w:sz w:val="24"/>
                <w:szCs w:val="24"/>
                <w:highlight w:val="none"/>
                <w:lang w:val="zh-CN"/>
              </w:rPr>
              <w:t>总计</w:t>
            </w:r>
          </w:p>
        </w:tc>
        <w:tc>
          <w:tcPr>
            <w:tcW w:w="840" w:type="dxa"/>
            <w:vAlign w:val="center"/>
          </w:tcPr>
          <w:p w14:paraId="370EC833">
            <w:pPr>
              <w:autoSpaceDE w:val="0"/>
              <w:autoSpaceDN w:val="0"/>
              <w:adjustRightInd w:val="0"/>
              <w:jc w:val="center"/>
              <w:rPr>
                <w:rFonts w:ascii="宋体" w:hAnsi="宋体" w:cs="宋体"/>
                <w:color w:val="auto"/>
                <w:sz w:val="24"/>
                <w:szCs w:val="24"/>
                <w:highlight w:val="none"/>
              </w:rPr>
            </w:pPr>
            <w:r>
              <w:rPr>
                <w:rFonts w:hint="eastAsia" w:ascii="宋体" w:hAnsi="宋体" w:cs="宋体"/>
                <w:b/>
                <w:bCs/>
                <w:color w:val="auto"/>
                <w:sz w:val="24"/>
                <w:szCs w:val="24"/>
                <w:highlight w:val="none"/>
              </w:rPr>
              <w:t>100</w:t>
            </w:r>
          </w:p>
        </w:tc>
        <w:tc>
          <w:tcPr>
            <w:tcW w:w="7005" w:type="dxa"/>
            <w:vAlign w:val="center"/>
          </w:tcPr>
          <w:p w14:paraId="03C04127">
            <w:pPr>
              <w:autoSpaceDE w:val="0"/>
              <w:autoSpaceDN w:val="0"/>
              <w:adjustRightInd w:val="0"/>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w:t>
            </w:r>
          </w:p>
        </w:tc>
      </w:tr>
    </w:tbl>
    <w:p w14:paraId="5BE217CA">
      <w:pPr>
        <w:ind w:firstLine="420" w:firstLineChars="200"/>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b/>
          <w:color w:val="auto"/>
          <w:szCs w:val="21"/>
          <w:highlight w:val="none"/>
        </w:rPr>
        <w:t>：</w:t>
      </w:r>
    </w:p>
    <w:p w14:paraId="779370C0">
      <w:pPr>
        <w:ind w:firstLine="420" w:firstLineChars="200"/>
        <w:rPr>
          <w:rFonts w:ascii="宋体" w:hAnsi="宋体" w:cs="宋体"/>
          <w:color w:val="auto"/>
          <w:szCs w:val="21"/>
          <w:highlight w:val="none"/>
        </w:rPr>
      </w:pPr>
      <w:r>
        <w:rPr>
          <w:rFonts w:hint="eastAsia" w:ascii="宋体" w:hAnsi="宋体" w:cs="宋体"/>
          <w:color w:val="auto"/>
          <w:szCs w:val="21"/>
          <w:highlight w:val="none"/>
        </w:rPr>
        <w:t>1.①招标代理业绩证明需同时提供招标代理合同及公共资源交易中心发出的中标通知书复印件；②中标金额及时间以中标通知书显示的为准，中标通知书未显示中标金额的，需另行提供其他证明材料；③项目若未划分标段（标包）的，则视为1个标段（标包）；④同一业绩不得重复计算；未提供相关资料不得分。</w:t>
      </w:r>
    </w:p>
    <w:p w14:paraId="13E2E668">
      <w:pPr>
        <w:ind w:firstLine="420" w:firstLineChars="200"/>
        <w:rPr>
          <w:rFonts w:ascii="宋体" w:hAnsi="宋体" w:cs="宋体"/>
          <w:color w:val="auto"/>
          <w:szCs w:val="21"/>
          <w:highlight w:val="none"/>
        </w:rPr>
      </w:pPr>
      <w:r>
        <w:rPr>
          <w:rFonts w:hint="eastAsia" w:ascii="宋体" w:hAnsi="宋体" w:cs="宋体"/>
          <w:color w:val="auto"/>
          <w:szCs w:val="21"/>
          <w:highlight w:val="none"/>
        </w:rPr>
        <w:t>2.项目负责人及其他专业人员需按评分标准提供职称证书、资格证书、一级注册造价工程师注册证书（未实行分级的注册造价工程师自动划分为一级注册造价工程师）、项目负责人业绩证明（需体现项目负责人姓名）及本单位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bookmarkStart w:id="10" w:name="_GoBack"/>
      <w:bookmarkEnd w:id="10"/>
      <w:r>
        <w:rPr>
          <w:rFonts w:hint="eastAsia" w:ascii="宋体" w:hAnsi="宋体" w:cs="宋体"/>
          <w:color w:val="auto"/>
          <w:szCs w:val="21"/>
          <w:highlight w:val="none"/>
        </w:rPr>
        <w:t>月份至202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月份社保等证明材料，未提供的不得分。</w:t>
      </w:r>
    </w:p>
    <w:p w14:paraId="3D4C31E2">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住房城乡建设部、交通运输部、水利部、人力资源和社会保障部关于印发《造价工程师职业资格制度规定》《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p w14:paraId="2B92B105">
      <w:pPr>
        <w:ind w:firstLine="420" w:firstLineChars="200"/>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 w:val="21"/>
          <w:szCs w:val="21"/>
          <w:highlight w:val="none"/>
        </w:rPr>
        <w:t>工程类科学技术类奖项是指“科学技术进步奖”或“科技进步奖”或“科学技术奖”</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获奖时间以获奖证书颁发时间为准。发证机构须为</w:t>
      </w:r>
      <w:r>
        <w:rPr>
          <w:rFonts w:hint="eastAsia" w:ascii="宋体" w:hAnsi="宋体" w:eastAsia="宋体" w:cs="宋体"/>
          <w:color w:val="auto"/>
          <w:sz w:val="24"/>
          <w:szCs w:val="24"/>
          <w:highlight w:val="none"/>
        </w:rPr>
        <w:t>人民政府(或行政部门或建筑学会或协会）</w:t>
      </w:r>
      <w:r>
        <w:rPr>
          <w:rFonts w:hint="eastAsia" w:ascii="宋体" w:hAnsi="宋体" w:eastAsia="宋体" w:cs="宋体"/>
          <w:color w:val="auto"/>
          <w:sz w:val="21"/>
          <w:szCs w:val="21"/>
          <w:highlight w:val="none"/>
        </w:rPr>
        <w:t>，如发奖单位为社会组织颁发，则须提供该协会（学会）在“中国社会组织</w:t>
      </w:r>
      <w:r>
        <w:rPr>
          <w:rFonts w:hint="eastAsia" w:ascii="宋体" w:hAnsi="宋体" w:eastAsia="宋体" w:cs="宋体"/>
          <w:color w:val="auto"/>
          <w:sz w:val="21"/>
          <w:szCs w:val="21"/>
          <w:highlight w:val="none"/>
          <w:lang w:eastAsia="zh-CN"/>
        </w:rPr>
        <w:t>政务</w:t>
      </w:r>
      <w:r>
        <w:rPr>
          <w:rFonts w:hint="eastAsia" w:ascii="宋体" w:hAnsi="宋体" w:eastAsia="宋体" w:cs="宋体"/>
          <w:color w:val="auto"/>
          <w:sz w:val="21"/>
          <w:szCs w:val="21"/>
          <w:highlight w:val="none"/>
        </w:rPr>
        <w:t>服务平台”网站查询结果</w:t>
      </w:r>
      <w:r>
        <w:rPr>
          <w:rFonts w:hint="eastAsia" w:ascii="宋体" w:hAnsi="宋体" w:eastAsia="宋体" w:cs="宋体"/>
          <w:color w:val="auto"/>
          <w:sz w:val="21"/>
          <w:szCs w:val="21"/>
          <w:highlight w:val="none"/>
          <w:lang w:eastAsia="zh-CN"/>
        </w:rPr>
        <w:t>的网页</w:t>
      </w:r>
      <w:r>
        <w:rPr>
          <w:rFonts w:hint="eastAsia" w:ascii="宋体" w:hAnsi="宋体" w:eastAsia="宋体" w:cs="宋体"/>
          <w:color w:val="auto"/>
          <w:sz w:val="21"/>
          <w:szCs w:val="21"/>
          <w:highlight w:val="none"/>
        </w:rPr>
        <w:t>截图，不提供不得分；</w:t>
      </w:r>
    </w:p>
    <w:p w14:paraId="7D76E744">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.信用评价需提供信用评价证书复印件或颁发机构官网查询结果网页截图，否则不得分。</w:t>
      </w:r>
    </w:p>
    <w:p w14:paraId="5B20A25C">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.企业纳税需提供相关国家税务机关官网查询结果网页截图或主管税务机关出具的证明，否则不得分。</w:t>
      </w:r>
    </w:p>
    <w:p w14:paraId="56DEA52E">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.招标代理诚信分需提供询比公告发布当日广州市工程招标代理行业协会网站（http://www.gzzbdl.com/）公布招标代理企业房建诚信评价排名—当日诚信分排名查询截图，否则不得分。</w:t>
      </w:r>
    </w:p>
    <w:p w14:paraId="1F79D232">
      <w:pPr>
        <w:ind w:firstLine="420" w:firstLineChars="200"/>
        <w:rPr>
          <w:rFonts w:ascii="宋体" w:hAnsi="宋体" w:cs="宋体"/>
          <w:color w:val="auto"/>
          <w:szCs w:val="21"/>
          <w:highlight w:val="none"/>
        </w:rPr>
      </w:pPr>
      <w:r>
        <w:rPr>
          <w:rFonts w:hint="eastAsia" w:ascii="宋体" w:hAnsi="宋体" w:cs="宋体"/>
          <w:color w:val="auto"/>
          <w:szCs w:val="21"/>
          <w:highlight w:val="none"/>
        </w:rPr>
        <w:t>6.体系认证情况需提供体系证书复印件</w:t>
      </w:r>
      <w:r>
        <w:rPr>
          <w:rFonts w:hint="eastAsia" w:ascii="宋体" w:hAnsi="宋体" w:cs="宋体"/>
          <w:color w:val="auto"/>
          <w:szCs w:val="21"/>
          <w:highlight w:val="none"/>
          <w:lang w:val="en-US" w:eastAsia="zh-CN"/>
        </w:rPr>
        <w:t>和</w:t>
      </w:r>
      <w:r>
        <w:rPr>
          <w:rFonts w:hint="eastAsia" w:cs="宋体"/>
          <w:color w:val="auto"/>
          <w:kern w:val="0"/>
          <w:sz w:val="21"/>
          <w:szCs w:val="21"/>
          <w:highlight w:val="none"/>
        </w:rPr>
        <w:t>国家认证认可监督管理委员会（网址：</w:t>
      </w:r>
      <w:r>
        <w:rPr>
          <w:rFonts w:hint="eastAsia" w:ascii="宋体" w:hAnsi="宋体" w:eastAsia="宋体" w:cs="宋体"/>
          <w:color w:val="auto"/>
          <w:kern w:val="0"/>
          <w:sz w:val="21"/>
          <w:szCs w:val="21"/>
          <w:highlight w:val="none"/>
        </w:rPr>
        <w:t>http://cx.cnca.cn/CertECloud/result/skipResultList</w:t>
      </w:r>
      <w:r>
        <w:rPr>
          <w:rFonts w:hint="eastAsia" w:cs="宋体"/>
          <w:color w:val="auto"/>
          <w:kern w:val="0"/>
          <w:sz w:val="21"/>
          <w:szCs w:val="21"/>
          <w:highlight w:val="none"/>
        </w:rPr>
        <w:t>）网站查询结果截图</w:t>
      </w:r>
      <w:r>
        <w:rPr>
          <w:rFonts w:hint="eastAsia" w:ascii="宋体" w:hAnsi="宋体" w:cs="宋体"/>
          <w:color w:val="auto"/>
          <w:szCs w:val="21"/>
          <w:highlight w:val="none"/>
        </w:rPr>
        <w:t>，未提供不得分。</w:t>
      </w:r>
    </w:p>
    <w:p w14:paraId="7FE2E754">
      <w:pPr>
        <w:pStyle w:val="26"/>
        <w:ind w:firstLine="422" w:firstLineChars="200"/>
        <w:rPr>
          <w:rFonts w:ascii="宋体" w:hAnsi="宋体" w:cs="宋体"/>
          <w:color w:val="auto"/>
          <w:sz w:val="24"/>
          <w:szCs w:val="24"/>
          <w:highlight w:val="none"/>
        </w:rPr>
      </w:pPr>
      <w:r>
        <w:rPr>
          <w:rFonts w:hint="eastAsia" w:ascii="宋体" w:hAnsi="宋体" w:cs="宋体"/>
          <w:b/>
          <w:bCs/>
          <w:color w:val="auto"/>
          <w:szCs w:val="21"/>
          <w:highlight w:val="none"/>
        </w:rPr>
        <w:t>7.综合评审表中要求提供的证明文件如无特别说明，均需提供相关证明文件复印件并加盖报价人公章</w:t>
      </w:r>
      <w:r>
        <w:rPr>
          <w:rFonts w:hint="eastAsia" w:ascii="宋体" w:hAnsi="宋体" w:cs="宋体"/>
          <w:color w:val="auto"/>
          <w:szCs w:val="21"/>
          <w:highlight w:val="none"/>
        </w:rPr>
        <w:t>。</w:t>
      </w: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附件三</w:t>
      </w:r>
    </w:p>
    <w:p w14:paraId="36428FBE">
      <w:pPr>
        <w:spacing w:line="360" w:lineRule="auto"/>
        <w:ind w:right="844"/>
        <w:jc w:val="right"/>
        <w:rPr>
          <w:rFonts w:ascii="宋体" w:hAnsi="宋体" w:cs="Arial"/>
          <w:b/>
          <w:color w:val="auto"/>
          <w:spacing w:val="10"/>
          <w:sz w:val="40"/>
          <w:szCs w:val="36"/>
          <w:highlight w:val="none"/>
        </w:rPr>
      </w:pPr>
      <w:r>
        <w:rPr>
          <w:rFonts w:hint="eastAsia" w:ascii="宋体" w:hAnsi="宋体" w:cs="Arial"/>
          <w:b/>
          <w:color w:val="auto"/>
          <w:spacing w:val="10"/>
          <w:sz w:val="40"/>
          <w:szCs w:val="36"/>
          <w:highlight w:val="none"/>
        </w:rPr>
        <w:t>正本</w:t>
      </w:r>
    </w:p>
    <w:p w14:paraId="3847FEDC">
      <w:pPr>
        <w:pStyle w:val="26"/>
        <w:spacing w:line="360" w:lineRule="auto"/>
        <w:rPr>
          <w:color w:val="auto"/>
          <w:highlight w:val="none"/>
        </w:rPr>
      </w:pPr>
    </w:p>
    <w:p w14:paraId="3A64FF95">
      <w:pPr>
        <w:spacing w:line="360" w:lineRule="auto"/>
        <w:jc w:val="center"/>
        <w:rPr>
          <w:rFonts w:ascii="宋体" w:hAnsi="宋体" w:cs="宋体"/>
          <w:color w:val="auto"/>
          <w:sz w:val="32"/>
          <w:szCs w:val="32"/>
          <w:highlight w:val="none"/>
          <w:u w:val="single"/>
        </w:rPr>
      </w:pPr>
    </w:p>
    <w:p w14:paraId="2E604120">
      <w:pPr>
        <w:pStyle w:val="26"/>
        <w:spacing w:line="360" w:lineRule="auto"/>
        <w:rPr>
          <w:rFonts w:ascii="宋体" w:hAnsi="宋体" w:cs="宋体"/>
          <w:color w:val="auto"/>
          <w:sz w:val="32"/>
          <w:szCs w:val="32"/>
          <w:highlight w:val="none"/>
          <w:u w:val="single"/>
        </w:rPr>
      </w:pPr>
    </w:p>
    <w:p w14:paraId="18FD0D59">
      <w:pPr>
        <w:pStyle w:val="26"/>
        <w:spacing w:line="360" w:lineRule="auto"/>
        <w:rPr>
          <w:rFonts w:ascii="宋体" w:hAnsi="宋体" w:cs="宋体"/>
          <w:color w:val="auto"/>
          <w:sz w:val="32"/>
          <w:szCs w:val="32"/>
          <w:highlight w:val="none"/>
          <w:u w:val="single"/>
        </w:rPr>
      </w:pPr>
    </w:p>
    <w:p w14:paraId="4497C2DC">
      <w:pPr>
        <w:spacing w:line="360" w:lineRule="auto"/>
        <w:jc w:val="center"/>
        <w:rPr>
          <w:rFonts w:ascii="宋体" w:hAnsi="宋体" w:cs="宋体"/>
          <w:color w:val="auto"/>
          <w:sz w:val="44"/>
          <w:szCs w:val="24"/>
          <w:highlight w:val="none"/>
          <w:u w:val="single"/>
        </w:rPr>
      </w:pPr>
      <w:r>
        <w:rPr>
          <w:rFonts w:hint="eastAsia" w:ascii="宋体" w:hAnsi="宋体" w:cs="宋体"/>
          <w:b/>
          <w:bCs/>
          <w:color w:val="auto"/>
          <w:sz w:val="44"/>
          <w:szCs w:val="24"/>
          <w:highlight w:val="none"/>
          <w:u w:val="single"/>
        </w:rPr>
        <w:t>广州市美华中学改扩建工程招标代理服务</w:t>
      </w:r>
    </w:p>
    <w:p w14:paraId="368A87B9">
      <w:pPr>
        <w:spacing w:line="360" w:lineRule="auto"/>
        <w:jc w:val="center"/>
        <w:rPr>
          <w:rFonts w:ascii="宋体" w:hAnsi="宋体" w:cs="宋体"/>
          <w:b/>
          <w:bCs/>
          <w:color w:val="auto"/>
          <w:sz w:val="36"/>
          <w:szCs w:val="36"/>
          <w:highlight w:val="none"/>
          <w:u w:val="single"/>
        </w:rPr>
      </w:pPr>
    </w:p>
    <w:p w14:paraId="0CA1B91A">
      <w:pPr>
        <w:spacing w:line="360" w:lineRule="auto"/>
        <w:rPr>
          <w:rFonts w:ascii="宋体" w:hAnsi="宋体" w:cs="宋体"/>
          <w:b/>
          <w:bCs/>
          <w:color w:val="auto"/>
          <w:sz w:val="44"/>
          <w:highlight w:val="none"/>
        </w:rPr>
      </w:pPr>
    </w:p>
    <w:p w14:paraId="100304F1">
      <w:pPr>
        <w:spacing w:line="360" w:lineRule="auto"/>
        <w:rPr>
          <w:rFonts w:ascii="宋体" w:hAnsi="宋体" w:cs="宋体"/>
          <w:b/>
          <w:bCs/>
          <w:color w:val="auto"/>
          <w:sz w:val="44"/>
          <w:highlight w:val="none"/>
        </w:rPr>
      </w:pPr>
    </w:p>
    <w:p w14:paraId="24EF1978">
      <w:pPr>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报价文件</w:t>
      </w:r>
    </w:p>
    <w:p w14:paraId="4DE5BB66">
      <w:pPr>
        <w:spacing w:line="360" w:lineRule="auto"/>
        <w:rPr>
          <w:rFonts w:ascii="宋体" w:hAnsi="宋体" w:cs="宋体"/>
          <w:b/>
          <w:bCs/>
          <w:color w:val="auto"/>
          <w:sz w:val="44"/>
          <w:highlight w:val="none"/>
        </w:rPr>
      </w:pPr>
    </w:p>
    <w:p w14:paraId="111BC84D">
      <w:pPr>
        <w:spacing w:line="360" w:lineRule="auto"/>
        <w:rPr>
          <w:rFonts w:ascii="宋体" w:hAnsi="宋体" w:cs="宋体"/>
          <w:b/>
          <w:bCs/>
          <w:color w:val="auto"/>
          <w:sz w:val="44"/>
          <w:highlight w:val="none"/>
        </w:rPr>
      </w:pPr>
    </w:p>
    <w:p w14:paraId="491CD36F">
      <w:pPr>
        <w:spacing w:line="360" w:lineRule="auto"/>
        <w:rPr>
          <w:rFonts w:ascii="宋体" w:hAnsi="宋体" w:cs="宋体"/>
          <w:b/>
          <w:bCs/>
          <w:color w:val="auto"/>
          <w:sz w:val="44"/>
          <w:highlight w:val="none"/>
        </w:rPr>
      </w:pPr>
    </w:p>
    <w:p w14:paraId="30445642">
      <w:pPr>
        <w:spacing w:line="360" w:lineRule="auto"/>
        <w:rPr>
          <w:rFonts w:ascii="宋体" w:hAnsi="宋体" w:cs="宋体"/>
          <w:b/>
          <w:bCs/>
          <w:color w:val="auto"/>
          <w:sz w:val="44"/>
          <w:highlight w:val="none"/>
        </w:rPr>
      </w:pPr>
    </w:p>
    <w:p w14:paraId="35C18E36">
      <w:pPr>
        <w:spacing w:line="360" w:lineRule="auto"/>
        <w:ind w:left="840" w:firstLine="420"/>
        <w:rPr>
          <w:rFonts w:ascii="宋体" w:hAnsi="宋体" w:cs="宋体"/>
          <w:b/>
          <w:bCs/>
          <w:color w:val="auto"/>
          <w:sz w:val="32"/>
          <w:highlight w:val="none"/>
          <w:u w:val="single"/>
        </w:rPr>
      </w:pPr>
      <w:r>
        <w:rPr>
          <w:rFonts w:hint="eastAsia" w:ascii="宋体" w:hAnsi="宋体" w:cs="宋体"/>
          <w:b/>
          <w:bCs/>
          <w:color w:val="auto"/>
          <w:sz w:val="32"/>
          <w:highlight w:val="none"/>
        </w:rPr>
        <w:t>报价人：</w:t>
      </w:r>
      <w:r>
        <w:rPr>
          <w:rFonts w:hint="eastAsia" w:ascii="宋体" w:hAnsi="宋体" w:cs="宋体"/>
          <w:b/>
          <w:bCs/>
          <w:color w:val="auto"/>
          <w:sz w:val="32"/>
          <w:highlight w:val="none"/>
          <w:u w:val="single"/>
        </w:rPr>
        <w:t xml:space="preserve">                   </w:t>
      </w:r>
    </w:p>
    <w:p w14:paraId="70B15F13">
      <w:pPr>
        <w:spacing w:line="360" w:lineRule="auto"/>
        <w:ind w:left="840" w:firstLine="420"/>
        <w:rPr>
          <w:rFonts w:ascii="宋体" w:hAnsi="宋体" w:cs="宋体"/>
          <w:b/>
          <w:bCs/>
          <w:color w:val="auto"/>
          <w:sz w:val="32"/>
          <w:highlight w:val="none"/>
          <w:u w:val="single"/>
        </w:rPr>
      </w:pPr>
      <w:r>
        <w:rPr>
          <w:rFonts w:hint="eastAsia" w:ascii="宋体" w:hAnsi="宋体" w:cs="宋体"/>
          <w:b/>
          <w:bCs/>
          <w:color w:val="auto"/>
          <w:sz w:val="32"/>
          <w:highlight w:val="none"/>
        </w:rPr>
        <w:t>联系人：</w:t>
      </w:r>
      <w:r>
        <w:rPr>
          <w:rFonts w:hint="eastAsia" w:ascii="宋体" w:hAnsi="宋体" w:cs="宋体"/>
          <w:b/>
          <w:bCs/>
          <w:color w:val="auto"/>
          <w:sz w:val="32"/>
          <w:highlight w:val="none"/>
          <w:u w:val="single"/>
        </w:rPr>
        <w:t xml:space="preserve">                   </w:t>
      </w:r>
    </w:p>
    <w:p w14:paraId="5AA4406E">
      <w:pPr>
        <w:spacing w:line="360" w:lineRule="auto"/>
        <w:ind w:left="840" w:firstLine="420"/>
        <w:rPr>
          <w:rFonts w:ascii="宋体" w:hAnsi="宋体" w:cs="宋体"/>
          <w:b/>
          <w:bCs/>
          <w:color w:val="auto"/>
          <w:sz w:val="32"/>
          <w:highlight w:val="none"/>
        </w:rPr>
      </w:pPr>
      <w:r>
        <w:rPr>
          <w:rFonts w:hint="eastAsia" w:ascii="宋体" w:hAnsi="宋体" w:cs="宋体"/>
          <w:b/>
          <w:bCs/>
          <w:color w:val="auto"/>
          <w:sz w:val="32"/>
          <w:highlight w:val="none"/>
        </w:rPr>
        <w:t>联系电话（</w:t>
      </w:r>
      <w:r>
        <w:rPr>
          <w:rFonts w:ascii="宋体" w:hAnsi="宋体" w:cs="宋体"/>
          <w:b/>
          <w:bCs/>
          <w:color w:val="auto"/>
          <w:sz w:val="32"/>
          <w:highlight w:val="none"/>
        </w:rPr>
        <w:t>固定电话/手机号码</w:t>
      </w:r>
      <w:r>
        <w:rPr>
          <w:rFonts w:hint="eastAsia" w:ascii="宋体" w:hAnsi="宋体" w:cs="宋体"/>
          <w:b/>
          <w:bCs/>
          <w:color w:val="auto"/>
          <w:sz w:val="32"/>
          <w:highlight w:val="none"/>
        </w:rPr>
        <w:t>）：</w:t>
      </w:r>
      <w:r>
        <w:rPr>
          <w:rFonts w:hint="eastAsia" w:ascii="宋体" w:hAnsi="宋体" w:cs="宋体"/>
          <w:b/>
          <w:bCs/>
          <w:color w:val="auto"/>
          <w:sz w:val="32"/>
          <w:highlight w:val="none"/>
          <w:u w:val="single"/>
        </w:rPr>
        <w:t xml:space="preserve">                   </w:t>
      </w:r>
    </w:p>
    <w:p w14:paraId="7AB81A5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367E7CC9">
      <w:pPr>
        <w:spacing w:line="360" w:lineRule="auto"/>
        <w:jc w:val="center"/>
        <w:rPr>
          <w:rFonts w:ascii="宋体" w:hAnsi="宋体" w:cs="宋体"/>
          <w:b/>
          <w:bCs/>
          <w:color w:val="auto"/>
          <w:sz w:val="44"/>
          <w:highlight w:val="none"/>
        </w:rPr>
      </w:pPr>
      <w:r>
        <w:rPr>
          <w:rFonts w:hint="eastAsia" w:ascii="宋体" w:hAnsi="宋体" w:cs="宋体"/>
          <w:b/>
          <w:color w:val="auto"/>
          <w:sz w:val="32"/>
          <w:szCs w:val="32"/>
          <w:highlight w:val="none"/>
        </w:rPr>
        <w:t>年   月   日</w:t>
      </w:r>
    </w:p>
    <w:p w14:paraId="2DD6313B">
      <w:pPr>
        <w:spacing w:line="360" w:lineRule="auto"/>
        <w:rPr>
          <w:rFonts w:ascii="宋体" w:hAnsi="宋体" w:cs="宋体"/>
          <w:color w:val="auto"/>
          <w:sz w:val="24"/>
          <w:szCs w:val="24"/>
          <w:highlight w:val="none"/>
        </w:rPr>
        <w:sectPr>
          <w:headerReference r:id="rId10" w:type="first"/>
          <w:footerReference r:id="rId12" w:type="first"/>
          <w:headerReference r:id="rId9" w:type="default"/>
          <w:footerReference r:id="rId11" w:type="default"/>
          <w:pgSz w:w="11906" w:h="16838"/>
          <w:pgMar w:top="1417" w:right="1134" w:bottom="1134" w:left="1417" w:header="851" w:footer="992" w:gutter="0"/>
          <w:pgNumType w:start="1"/>
          <w:cols w:space="720" w:num="1"/>
          <w:titlePg/>
          <w:docGrid w:type="lines" w:linePitch="317" w:charSpace="0"/>
        </w:sectPr>
      </w:pPr>
    </w:p>
    <w:p w14:paraId="58D264C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附件四</w:t>
      </w:r>
    </w:p>
    <w:p w14:paraId="4B7545BD">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报价表</w:t>
      </w:r>
    </w:p>
    <w:p w14:paraId="65380D17">
      <w:pPr>
        <w:spacing w:line="360" w:lineRule="auto"/>
        <w:rPr>
          <w:rFonts w:hAnsi="宋体" w:cs="宋体"/>
          <w:color w:val="auto"/>
          <w:sz w:val="24"/>
          <w:szCs w:val="24"/>
          <w:highlight w:val="none"/>
          <w:u w:val="single"/>
        </w:rPr>
      </w:pPr>
      <w:r>
        <w:rPr>
          <w:rFonts w:hint="eastAsia" w:hAnsi="宋体" w:cs="宋体"/>
          <w:bCs/>
          <w:color w:val="auto"/>
          <w:sz w:val="24"/>
          <w:szCs w:val="24"/>
          <w:highlight w:val="none"/>
        </w:rPr>
        <w:t>项目名称：</w:t>
      </w:r>
      <w:r>
        <w:rPr>
          <w:rFonts w:hint="eastAsia" w:hAnsi="宋体" w:cs="宋体"/>
          <w:color w:val="auto"/>
          <w:sz w:val="24"/>
          <w:szCs w:val="24"/>
          <w:highlight w:val="none"/>
          <w:u w:val="single"/>
        </w:rPr>
        <w:t>广州市美华中学改扩建工程招标代理服务</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3241"/>
        <w:gridCol w:w="1721"/>
        <w:gridCol w:w="1736"/>
        <w:gridCol w:w="1604"/>
      </w:tblGrid>
      <w:tr w14:paraId="2D5D6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763" w:type="dxa"/>
            <w:vAlign w:val="center"/>
          </w:tcPr>
          <w:p w14:paraId="419AE381">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241" w:type="dxa"/>
            <w:vAlign w:val="center"/>
          </w:tcPr>
          <w:p w14:paraId="2EC64CA1">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内容名称</w:t>
            </w:r>
          </w:p>
        </w:tc>
        <w:tc>
          <w:tcPr>
            <w:tcW w:w="1721" w:type="dxa"/>
            <w:vAlign w:val="center"/>
          </w:tcPr>
          <w:p w14:paraId="3735B2F2">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最高报价限价（元）</w:t>
            </w:r>
          </w:p>
        </w:tc>
        <w:tc>
          <w:tcPr>
            <w:tcW w:w="1736" w:type="dxa"/>
            <w:vAlign w:val="center"/>
          </w:tcPr>
          <w:p w14:paraId="6EA21625">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报价（元）</w:t>
            </w:r>
          </w:p>
        </w:tc>
        <w:tc>
          <w:tcPr>
            <w:tcW w:w="1604" w:type="dxa"/>
            <w:tcBorders>
              <w:bottom w:val="single" w:color="auto" w:sz="4" w:space="0"/>
            </w:tcBorders>
            <w:vAlign w:val="center"/>
          </w:tcPr>
          <w:p w14:paraId="77F6747B">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28E3B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exact"/>
        </w:trPr>
        <w:tc>
          <w:tcPr>
            <w:tcW w:w="763" w:type="dxa"/>
            <w:vAlign w:val="center"/>
          </w:tcPr>
          <w:p w14:paraId="3ABF7B65">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3241" w:type="dxa"/>
            <w:vAlign w:val="center"/>
          </w:tcPr>
          <w:p w14:paraId="62A98E1B">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广州市美华中学改扩建工程招标代理服务</w:t>
            </w:r>
          </w:p>
        </w:tc>
        <w:tc>
          <w:tcPr>
            <w:tcW w:w="1721" w:type="dxa"/>
            <w:vAlign w:val="center"/>
          </w:tcPr>
          <w:p w14:paraId="60172BC9">
            <w:pPr>
              <w:adjustRightInd w:val="0"/>
              <w:snapToGrid w:val="0"/>
              <w:jc w:val="center"/>
              <w:rPr>
                <w:rFonts w:ascii="宋体" w:hAnsi="宋体" w:cs="宋体"/>
                <w:color w:val="auto"/>
                <w:sz w:val="24"/>
                <w:szCs w:val="24"/>
                <w:highlight w:val="none"/>
              </w:rPr>
            </w:pPr>
            <w:r>
              <w:rPr>
                <w:rFonts w:ascii="宋体" w:hAnsi="宋体" w:cs="宋体"/>
                <w:color w:val="auto"/>
                <w:sz w:val="24"/>
                <w:szCs w:val="24"/>
                <w:highlight w:val="none"/>
              </w:rPr>
              <w:t>407</w:t>
            </w:r>
            <w:r>
              <w:rPr>
                <w:rFonts w:hint="eastAsia" w:ascii="宋体" w:hAnsi="宋体" w:cs="宋体"/>
                <w:color w:val="auto"/>
                <w:sz w:val="24"/>
                <w:szCs w:val="24"/>
                <w:highlight w:val="none"/>
              </w:rPr>
              <w:t>,</w:t>
            </w:r>
            <w:r>
              <w:rPr>
                <w:rFonts w:ascii="宋体" w:hAnsi="宋体" w:cs="宋体"/>
                <w:color w:val="auto"/>
                <w:sz w:val="24"/>
                <w:szCs w:val="24"/>
                <w:highlight w:val="none"/>
              </w:rPr>
              <w:t>734.</w:t>
            </w:r>
            <w:r>
              <w:rPr>
                <w:rFonts w:hint="eastAsia" w:ascii="宋体" w:hAnsi="宋体" w:cs="宋体"/>
                <w:color w:val="auto"/>
                <w:sz w:val="24"/>
                <w:szCs w:val="24"/>
                <w:highlight w:val="none"/>
              </w:rPr>
              <w:t>00</w:t>
            </w:r>
          </w:p>
        </w:tc>
        <w:tc>
          <w:tcPr>
            <w:tcW w:w="1736" w:type="dxa"/>
            <w:tcBorders>
              <w:right w:val="single" w:color="auto" w:sz="4" w:space="0"/>
            </w:tcBorders>
            <w:vAlign w:val="center"/>
          </w:tcPr>
          <w:p w14:paraId="5C6581E7">
            <w:pPr>
              <w:keepNext/>
              <w:keepLines/>
              <w:jc w:val="center"/>
              <w:outlineLvl w:val="0"/>
              <w:rPr>
                <w:rFonts w:ascii="宋体" w:hAnsi="宋体" w:cs="宋体"/>
                <w:color w:val="auto"/>
                <w:sz w:val="24"/>
                <w:szCs w:val="24"/>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14:paraId="2F458EF6">
            <w:pPr>
              <w:adjustRightInd w:val="0"/>
              <w:snapToGrid w:val="0"/>
              <w:jc w:val="left"/>
              <w:rPr>
                <w:rFonts w:ascii="宋体" w:hAnsi="宋体" w:cs="宋体"/>
                <w:color w:val="auto"/>
                <w:sz w:val="24"/>
                <w:szCs w:val="24"/>
                <w:highlight w:val="none"/>
              </w:rPr>
            </w:pPr>
          </w:p>
        </w:tc>
      </w:tr>
      <w:tr w14:paraId="0556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1" w:hRule="exact"/>
        </w:trPr>
        <w:tc>
          <w:tcPr>
            <w:tcW w:w="5725" w:type="dxa"/>
            <w:gridSpan w:val="3"/>
            <w:vAlign w:val="center"/>
          </w:tcPr>
          <w:p w14:paraId="005C9986">
            <w:pPr>
              <w:adjustRightInd w:val="0"/>
              <w:snapToGrid w:val="0"/>
              <w:jc w:val="right"/>
              <w:rPr>
                <w:rFonts w:ascii="宋体" w:hAnsi="宋体" w:cs="宋体"/>
                <w:b/>
                <w:color w:val="auto"/>
                <w:sz w:val="24"/>
                <w:szCs w:val="24"/>
                <w:highlight w:val="none"/>
              </w:rPr>
            </w:pPr>
            <w:r>
              <w:rPr>
                <w:rFonts w:hint="eastAsia" w:ascii="宋体" w:hAnsi="宋体" w:cs="宋体"/>
                <w:b/>
                <w:color w:val="auto"/>
                <w:sz w:val="24"/>
                <w:szCs w:val="24"/>
                <w:highlight w:val="none"/>
              </w:rPr>
              <w:t>总报价（单位：人民币元）</w:t>
            </w:r>
          </w:p>
        </w:tc>
        <w:tc>
          <w:tcPr>
            <w:tcW w:w="3340" w:type="dxa"/>
            <w:gridSpan w:val="2"/>
            <w:vAlign w:val="center"/>
          </w:tcPr>
          <w:p w14:paraId="6A1D1454">
            <w:pPr>
              <w:pStyle w:val="26"/>
              <w:rPr>
                <w:rFonts w:ascii="宋体" w:hAnsi="宋体" w:cs="宋体"/>
                <w:b/>
                <w:color w:val="auto"/>
                <w:sz w:val="24"/>
                <w:szCs w:val="24"/>
                <w:highlight w:val="none"/>
                <w:u w:val="single"/>
              </w:rPr>
            </w:pPr>
            <w:r>
              <w:rPr>
                <w:rFonts w:hint="eastAsia" w:ascii="宋体" w:hAnsi="宋体" w:cs="宋体"/>
                <w:b/>
                <w:color w:val="auto"/>
                <w:sz w:val="24"/>
                <w:szCs w:val="24"/>
                <w:highlight w:val="none"/>
              </w:rPr>
              <w:t>小写：</w:t>
            </w:r>
            <w:r>
              <w:rPr>
                <w:rFonts w:hint="eastAsia" w:ascii="宋体" w:hAnsi="宋体" w:cs="宋体"/>
                <w:b/>
                <w:color w:val="auto"/>
                <w:sz w:val="24"/>
                <w:szCs w:val="24"/>
                <w:highlight w:val="none"/>
                <w:u w:val="single"/>
              </w:rPr>
              <w:t xml:space="preserve">                 </w:t>
            </w:r>
          </w:p>
          <w:p w14:paraId="2443BB91">
            <w:pPr>
              <w:pStyle w:val="26"/>
              <w:rPr>
                <w:rFonts w:ascii="宋体" w:hAnsi="宋体" w:cs="宋体"/>
                <w:b/>
                <w:color w:val="auto"/>
                <w:sz w:val="24"/>
                <w:szCs w:val="24"/>
                <w:highlight w:val="none"/>
              </w:rPr>
            </w:pPr>
          </w:p>
          <w:p w14:paraId="0F54264D">
            <w:pPr>
              <w:adjustRightInd w:val="0"/>
              <w:snapToGrid w:val="0"/>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rPr>
              <w:t>大写：</w:t>
            </w:r>
            <w:r>
              <w:rPr>
                <w:rFonts w:hint="eastAsia" w:ascii="宋体" w:hAnsi="宋体" w:cs="宋体"/>
                <w:b/>
                <w:color w:val="auto"/>
                <w:sz w:val="24"/>
                <w:szCs w:val="24"/>
                <w:highlight w:val="none"/>
                <w:u w:val="single"/>
              </w:rPr>
              <w:t xml:space="preserve">                 </w:t>
            </w:r>
          </w:p>
          <w:p w14:paraId="76C4A388">
            <w:pPr>
              <w:adjustRightInd w:val="0"/>
              <w:snapToGrid w:val="0"/>
              <w:jc w:val="left"/>
              <w:rPr>
                <w:rFonts w:ascii="宋体" w:hAnsi="宋体" w:cs="宋体"/>
                <w:b/>
                <w:color w:val="auto"/>
                <w:sz w:val="24"/>
                <w:szCs w:val="24"/>
                <w:highlight w:val="none"/>
              </w:rPr>
            </w:pPr>
          </w:p>
          <w:p w14:paraId="1EA94650">
            <w:pPr>
              <w:adjustRightInd w:val="0"/>
              <w:snapToGrid w:val="0"/>
              <w:jc w:val="left"/>
              <w:rPr>
                <w:rFonts w:ascii="宋体" w:hAnsi="宋体" w:cs="宋体"/>
                <w:color w:val="auto"/>
                <w:sz w:val="24"/>
                <w:szCs w:val="24"/>
                <w:highlight w:val="none"/>
              </w:rPr>
            </w:pPr>
            <w:r>
              <w:rPr>
                <w:rFonts w:hint="eastAsia" w:ascii="宋体" w:hAnsi="宋体" w:cs="宋体"/>
                <w:b/>
                <w:color w:val="auto"/>
                <w:sz w:val="24"/>
                <w:szCs w:val="24"/>
                <w:highlight w:val="none"/>
              </w:rPr>
              <w:t>报价下浮率：</w:t>
            </w:r>
            <w:r>
              <w:rPr>
                <w:rFonts w:hint="eastAsia" w:ascii="宋体" w:hAnsi="宋体" w:cs="宋体"/>
                <w:b/>
                <w:color w:val="auto"/>
                <w:sz w:val="24"/>
                <w:szCs w:val="24"/>
                <w:highlight w:val="none"/>
                <w:u w:val="single"/>
              </w:rPr>
              <w:t xml:space="preserve">         % </w:t>
            </w:r>
          </w:p>
        </w:tc>
      </w:tr>
    </w:tbl>
    <w:p w14:paraId="0C991795">
      <w:pPr>
        <w:pStyle w:val="26"/>
        <w:ind w:firstLine="420" w:firstLineChars="200"/>
        <w:rPr>
          <w:rFonts w:ascii="宋体" w:hAnsi="宋体" w:cs="宋体"/>
          <w:color w:val="auto"/>
          <w:szCs w:val="21"/>
          <w:highlight w:val="none"/>
        </w:rPr>
      </w:pPr>
      <w:r>
        <w:rPr>
          <w:rFonts w:hint="eastAsia" w:ascii="宋体" w:hAnsi="宋体" w:cs="宋体"/>
          <w:color w:val="auto"/>
          <w:szCs w:val="21"/>
          <w:highlight w:val="none"/>
        </w:rPr>
        <w:t>注：1.保留小数点后二位，第三位四舍五入。若报价金额与报价下浮率不一致时，以报价金额为准，并修正报价下浮率。若报价金额大写与小写不一致时，以大写为准。</w:t>
      </w:r>
    </w:p>
    <w:p w14:paraId="7742FB44">
      <w:pPr>
        <w:ind w:firstLine="840" w:firstLineChars="400"/>
        <w:rPr>
          <w:rFonts w:ascii="宋体" w:hAnsi="宋体" w:cs="宋体"/>
          <w:color w:val="auto"/>
          <w:szCs w:val="21"/>
          <w:highlight w:val="none"/>
        </w:rPr>
      </w:pPr>
      <w:r>
        <w:rPr>
          <w:rFonts w:hint="eastAsia" w:ascii="宋体" w:hAnsi="宋体" w:cs="宋体"/>
          <w:color w:val="auto"/>
          <w:szCs w:val="21"/>
          <w:highlight w:val="none"/>
        </w:rPr>
        <w:t>2.报价</w:t>
      </w:r>
      <w:r>
        <w:rPr>
          <w:rFonts w:ascii="宋体" w:hAnsi="宋体" w:cs="宋体"/>
          <w:color w:val="auto"/>
          <w:szCs w:val="21"/>
          <w:highlight w:val="none"/>
        </w:rPr>
        <w:t>下浮率=（1-报价/最高限价）*100%</w:t>
      </w:r>
      <w:r>
        <w:rPr>
          <w:rFonts w:hint="eastAsia" w:ascii="宋体" w:hAnsi="宋体" w:cs="宋体"/>
          <w:color w:val="auto"/>
          <w:szCs w:val="21"/>
          <w:highlight w:val="none"/>
        </w:rPr>
        <w:t>。</w:t>
      </w:r>
    </w:p>
    <w:p w14:paraId="1CDA7E6D">
      <w:pPr>
        <w:ind w:firstLine="840" w:firstLineChars="4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招标代理费用包括招标代理费、公告费、专家评标劳务费、交通费、餐费及与招投标相关工作等各项工作的全部费用。</w:t>
      </w:r>
    </w:p>
    <w:p w14:paraId="45A3167E">
      <w:pPr>
        <w:ind w:firstLine="840" w:firstLineChars="4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代理费按照不同服务类型（分为服务招标、工程招标）的累计中标金额为基数，分别计算招标代理</w:t>
      </w:r>
      <w:r>
        <w:rPr>
          <w:rFonts w:ascii="宋体" w:hAnsi="宋体" w:cs="宋体"/>
          <w:color w:val="auto"/>
          <w:szCs w:val="21"/>
          <w:highlight w:val="none"/>
          <w:lang w:val="zh-CN"/>
        </w:rPr>
        <w:t>费用</w:t>
      </w:r>
      <w:r>
        <w:rPr>
          <w:rFonts w:hint="eastAsia" w:ascii="宋体" w:hAnsi="宋体" w:cs="宋体"/>
          <w:color w:val="auto"/>
          <w:szCs w:val="21"/>
          <w:highlight w:val="none"/>
          <w:lang w:val="zh-CN"/>
        </w:rPr>
        <w:t>。</w:t>
      </w:r>
    </w:p>
    <w:p w14:paraId="1BA532E7">
      <w:pPr>
        <w:pStyle w:val="26"/>
        <w:ind w:firstLine="840" w:firstLineChars="400"/>
        <w:rPr>
          <w:rFonts w:ascii="宋体" w:hAnsi="宋体" w:cs="宋体"/>
          <w:color w:val="auto"/>
          <w:szCs w:val="21"/>
          <w:highlight w:val="none"/>
        </w:rPr>
      </w:pPr>
    </w:p>
    <w:p w14:paraId="303A1DB3">
      <w:pPr>
        <w:spacing w:line="360" w:lineRule="auto"/>
        <w:ind w:left="2940" w:firstLine="420"/>
        <w:rPr>
          <w:rFonts w:ascii="宋体" w:hAnsi="宋体" w:cs="宋体"/>
          <w:color w:val="auto"/>
          <w:sz w:val="24"/>
          <w:szCs w:val="24"/>
          <w:highlight w:val="none"/>
        </w:rPr>
      </w:pPr>
    </w:p>
    <w:p w14:paraId="5505C199">
      <w:pPr>
        <w:spacing w:line="360" w:lineRule="auto"/>
        <w:ind w:left="2940" w:firstLine="420"/>
        <w:rPr>
          <w:rFonts w:ascii="宋体" w:hAnsi="宋体" w:cs="宋体"/>
          <w:color w:val="auto"/>
          <w:sz w:val="24"/>
          <w:szCs w:val="24"/>
          <w:highlight w:val="none"/>
        </w:rPr>
      </w:pPr>
    </w:p>
    <w:p w14:paraId="6CF4C9C7">
      <w:pPr>
        <w:spacing w:line="360" w:lineRule="auto"/>
        <w:ind w:left="2940" w:firstLine="420"/>
        <w:rPr>
          <w:rFonts w:ascii="宋体" w:hAnsi="宋体" w:cs="宋体"/>
          <w:color w:val="auto"/>
          <w:sz w:val="24"/>
          <w:szCs w:val="24"/>
          <w:highlight w:val="none"/>
        </w:rPr>
      </w:pPr>
    </w:p>
    <w:p w14:paraId="1F2DC5D1">
      <w:pPr>
        <w:spacing w:line="360" w:lineRule="auto"/>
        <w:ind w:left="2940" w:firstLine="420"/>
        <w:rPr>
          <w:rFonts w:ascii="宋体" w:hAnsi="宋体" w:cs="宋体"/>
          <w:color w:val="auto"/>
          <w:sz w:val="24"/>
          <w:szCs w:val="24"/>
          <w:highlight w:val="none"/>
        </w:rPr>
      </w:pPr>
    </w:p>
    <w:p w14:paraId="27FDEAF6">
      <w:pPr>
        <w:spacing w:line="360" w:lineRule="auto"/>
        <w:ind w:left="2940" w:firstLine="42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14:paraId="6F6085FC">
      <w:pPr>
        <w:tabs>
          <w:tab w:val="left" w:pos="13320"/>
        </w:tabs>
        <w:snapToGrid w:val="0"/>
        <w:spacing w:line="360" w:lineRule="auto"/>
        <w:ind w:left="2940" w:firstLine="420"/>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p>
    <w:p w14:paraId="7050254B">
      <w:pPr>
        <w:tabs>
          <w:tab w:val="left" w:pos="13320"/>
        </w:tabs>
        <w:snapToGrid w:val="0"/>
        <w:spacing w:line="360" w:lineRule="auto"/>
        <w:ind w:left="2940"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w:t>
      </w:r>
    </w:p>
    <w:p w14:paraId="7EE39682">
      <w:pPr>
        <w:tabs>
          <w:tab w:val="left" w:pos="13320"/>
        </w:tabs>
        <w:snapToGrid w:val="0"/>
        <w:spacing w:line="360" w:lineRule="auto"/>
        <w:ind w:left="2940"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联系电话（固话）：</w:t>
      </w:r>
      <w:r>
        <w:rPr>
          <w:rFonts w:hint="eastAsia" w:ascii="宋体" w:hAnsi="宋体" w:cs="宋体"/>
          <w:color w:val="auto"/>
          <w:sz w:val="24"/>
          <w:szCs w:val="24"/>
          <w:highlight w:val="none"/>
          <w:u w:val="single"/>
        </w:rPr>
        <w:t xml:space="preserve">               </w:t>
      </w:r>
    </w:p>
    <w:p w14:paraId="52962358">
      <w:pPr>
        <w:pStyle w:val="32"/>
        <w:spacing w:line="360" w:lineRule="auto"/>
        <w:ind w:left="2940" w:firstLine="420"/>
        <w:rPr>
          <w:color w:val="auto"/>
          <w:highlight w:val="none"/>
        </w:rPr>
      </w:pPr>
      <w:r>
        <w:rPr>
          <w:rFonts w:hint="eastAsia" w:ascii="宋体" w:hAnsi="宋体" w:cs="宋体"/>
          <w:color w:val="auto"/>
          <w:sz w:val="24"/>
          <w:szCs w:val="24"/>
          <w:highlight w:val="none"/>
        </w:rPr>
        <w:t>联系电话（手机号码）：</w:t>
      </w:r>
      <w:r>
        <w:rPr>
          <w:rFonts w:hint="eastAsia" w:ascii="宋体" w:hAnsi="宋体" w:cs="宋体"/>
          <w:color w:val="auto"/>
          <w:sz w:val="24"/>
          <w:szCs w:val="24"/>
          <w:highlight w:val="none"/>
          <w:u w:val="single"/>
        </w:rPr>
        <w:t xml:space="preserve">               </w:t>
      </w:r>
    </w:p>
    <w:p w14:paraId="33D2FDD8">
      <w:pPr>
        <w:pStyle w:val="29"/>
        <w:adjustRightInd w:val="0"/>
        <w:snapToGrid w:val="0"/>
        <w:spacing w:line="360" w:lineRule="auto"/>
        <w:ind w:left="2940" w:firstLine="420"/>
        <w:rPr>
          <w:rFonts w:hAnsi="宋体" w:eastAsia="宋体" w:cs="宋体"/>
          <w:color w:val="auto"/>
          <w:sz w:val="24"/>
          <w:szCs w:val="24"/>
          <w:highlight w:val="none"/>
        </w:rPr>
      </w:pPr>
      <w:r>
        <w:rPr>
          <w:rFonts w:hint="eastAsia" w:hAnsi="宋体" w:eastAsia="宋体" w:cs="宋体"/>
          <w:color w:val="auto"/>
          <w:sz w:val="24"/>
          <w:szCs w:val="24"/>
          <w:highlight w:val="none"/>
        </w:rPr>
        <w:t>日期：</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w:t>
      </w:r>
    </w:p>
    <w:p w14:paraId="6C516F67">
      <w:pPr>
        <w:pStyle w:val="29"/>
        <w:adjustRightInd w:val="0"/>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br w:type="page"/>
      </w:r>
      <w:r>
        <w:rPr>
          <w:rFonts w:hint="eastAsia" w:hAnsi="宋体" w:eastAsia="宋体" w:cs="宋体"/>
          <w:color w:val="auto"/>
          <w:sz w:val="24"/>
          <w:szCs w:val="24"/>
          <w:highlight w:val="none"/>
        </w:rPr>
        <w:t>附件五</w:t>
      </w:r>
    </w:p>
    <w:p w14:paraId="4A17FF03">
      <w:pPr>
        <w:pStyle w:val="29"/>
        <w:spacing w:line="360" w:lineRule="auto"/>
        <w:jc w:val="center"/>
        <w:rPr>
          <w:rFonts w:hAnsi="宋体" w:eastAsia="宋体" w:cs="宋体"/>
          <w:b/>
          <w:bCs/>
          <w:color w:val="auto"/>
          <w:sz w:val="28"/>
          <w:szCs w:val="28"/>
          <w:highlight w:val="none"/>
        </w:rPr>
      </w:pPr>
      <w:bookmarkStart w:id="8" w:name="_Toc99380420"/>
      <w:r>
        <w:rPr>
          <w:rFonts w:hint="eastAsia" w:hAnsi="宋体" w:eastAsia="宋体" w:cs="宋体"/>
          <w:b/>
          <w:bCs/>
          <w:color w:val="auto"/>
          <w:sz w:val="28"/>
          <w:szCs w:val="28"/>
          <w:highlight w:val="none"/>
        </w:rPr>
        <w:t>5.1 法定代表人证明书</w:t>
      </w:r>
      <w:bookmarkEnd w:id="8"/>
    </w:p>
    <w:p w14:paraId="70FB5081">
      <w:pPr>
        <w:spacing w:line="360" w:lineRule="auto"/>
        <w:rPr>
          <w:rFonts w:ascii="宋体" w:hAnsi="宋体" w:cs="宋体"/>
          <w:b/>
          <w:color w:val="auto"/>
          <w:sz w:val="24"/>
          <w:szCs w:val="24"/>
          <w:highlight w:val="none"/>
        </w:rPr>
      </w:pPr>
    </w:p>
    <w:p w14:paraId="4825A46E">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 xml:space="preserve">                    </w:t>
      </w:r>
    </w:p>
    <w:p w14:paraId="612843D0">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789B388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2B22161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w:t>
      </w:r>
    </w:p>
    <w:p w14:paraId="7C7F3FAB">
      <w:pPr>
        <w:spacing w:line="360" w:lineRule="auto"/>
        <w:rPr>
          <w:rFonts w:ascii="宋体" w:hAnsi="宋体" w:cs="宋体"/>
          <w:color w:val="auto"/>
          <w:sz w:val="24"/>
          <w:szCs w:val="24"/>
          <w:highlight w:val="none"/>
        </w:rPr>
      </w:pPr>
    </w:p>
    <w:p w14:paraId="10FE907B">
      <w:pPr>
        <w:pStyle w:val="26"/>
        <w:spacing w:line="360" w:lineRule="auto"/>
        <w:rPr>
          <w:rFonts w:ascii="宋体" w:hAnsi="宋体" w:cs="宋体"/>
          <w:color w:val="auto"/>
          <w:sz w:val="24"/>
          <w:szCs w:val="24"/>
          <w:highlight w:val="none"/>
        </w:rPr>
      </w:pPr>
    </w:p>
    <w:p w14:paraId="1008889A">
      <w:pPr>
        <w:pStyle w:val="26"/>
        <w:spacing w:line="360" w:lineRule="auto"/>
        <w:rPr>
          <w:rFonts w:ascii="宋体" w:hAnsi="宋体" w:cs="宋体"/>
          <w:color w:val="auto"/>
          <w:sz w:val="24"/>
          <w:szCs w:val="24"/>
          <w:highlight w:val="none"/>
        </w:rPr>
      </w:pPr>
    </w:p>
    <w:p w14:paraId="1FBED1BF">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14:paraId="620EDD2F">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AFFCC65">
      <w:pPr>
        <w:spacing w:line="360" w:lineRule="auto"/>
        <w:rPr>
          <w:rFonts w:ascii="宋体" w:hAnsi="宋体" w:cs="宋体"/>
          <w:color w:val="auto"/>
          <w:sz w:val="24"/>
          <w:szCs w:val="24"/>
          <w:highlight w:val="none"/>
        </w:rPr>
      </w:pPr>
    </w:p>
    <w:p w14:paraId="77ACCCE3">
      <w:pPr>
        <w:snapToGrid w:val="0"/>
        <w:spacing w:line="360" w:lineRule="auto"/>
        <w:ind w:firstLine="576"/>
        <w:jc w:val="right"/>
        <w:rPr>
          <w:rFonts w:ascii="宋体" w:hAnsi="宋体" w:cs="宋体"/>
          <w:b/>
          <w:color w:val="auto"/>
          <w:sz w:val="24"/>
          <w:szCs w:val="24"/>
          <w:highlight w:val="none"/>
        </w:rPr>
      </w:pPr>
    </w:p>
    <w:p w14:paraId="2903C6D9">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附法定代表人身份证复印件：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14:paraId="0CE8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tcPr>
          <w:p w14:paraId="55FBCC22">
            <w:pPr>
              <w:spacing w:line="360" w:lineRule="auto"/>
              <w:rPr>
                <w:rFonts w:ascii="宋体" w:hAnsi="宋体" w:cs="宋体"/>
                <w:color w:val="auto"/>
                <w:sz w:val="24"/>
                <w:szCs w:val="24"/>
                <w:highlight w:val="none"/>
              </w:rPr>
            </w:pPr>
          </w:p>
        </w:tc>
        <w:tc>
          <w:tcPr>
            <w:tcW w:w="4341" w:type="dxa"/>
          </w:tcPr>
          <w:p w14:paraId="0FA452A0">
            <w:pPr>
              <w:spacing w:line="360" w:lineRule="auto"/>
              <w:rPr>
                <w:rFonts w:ascii="宋体" w:hAnsi="宋体" w:cs="宋体"/>
                <w:color w:val="auto"/>
                <w:sz w:val="24"/>
                <w:szCs w:val="24"/>
                <w:highlight w:val="none"/>
              </w:rPr>
            </w:pPr>
          </w:p>
        </w:tc>
      </w:tr>
    </w:tbl>
    <w:p w14:paraId="7697877F">
      <w:pPr>
        <w:spacing w:line="360" w:lineRule="auto"/>
        <w:jc w:val="center"/>
        <w:rPr>
          <w:rFonts w:ascii="宋体" w:hAnsi="宋体" w:cs="宋体"/>
          <w:b/>
          <w:bCs/>
          <w:color w:val="auto"/>
          <w:sz w:val="28"/>
          <w:szCs w:val="28"/>
          <w:highlight w:val="none"/>
        </w:rPr>
      </w:pPr>
      <w:r>
        <w:rPr>
          <w:rFonts w:hint="eastAsia" w:ascii="宋体" w:hAnsi="宋体" w:cs="宋体"/>
          <w:color w:val="auto"/>
          <w:sz w:val="24"/>
          <w:szCs w:val="24"/>
          <w:highlight w:val="none"/>
        </w:rPr>
        <w:br w:type="page"/>
      </w:r>
      <w:bookmarkStart w:id="9" w:name="_Toc99380421"/>
      <w:r>
        <w:rPr>
          <w:rFonts w:hint="eastAsia" w:ascii="宋体" w:hAnsi="宋体" w:cs="宋体"/>
          <w:b/>
          <w:bCs/>
          <w:color w:val="auto"/>
          <w:sz w:val="28"/>
          <w:szCs w:val="28"/>
          <w:highlight w:val="none"/>
        </w:rPr>
        <w:t>5.2 法人授权委托书</w:t>
      </w:r>
      <w:bookmarkEnd w:id="9"/>
    </w:p>
    <w:p w14:paraId="622A880E">
      <w:pPr>
        <w:topLinePunct/>
        <w:spacing w:line="360" w:lineRule="auto"/>
        <w:ind w:firstLine="480" w:firstLineChars="200"/>
        <w:rPr>
          <w:rFonts w:ascii="宋体" w:hAnsi="宋体" w:cs="宋体"/>
          <w:color w:val="auto"/>
          <w:sz w:val="24"/>
          <w:szCs w:val="24"/>
          <w:highlight w:val="none"/>
        </w:rPr>
      </w:pPr>
    </w:p>
    <w:p w14:paraId="1F1D9E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广州市美华中学改扩建工程招标代理服务</w:t>
      </w:r>
      <w:r>
        <w:rPr>
          <w:rFonts w:hint="eastAsia" w:ascii="宋体" w:hAnsi="宋体" w:cs="宋体"/>
          <w:color w:val="auto"/>
          <w:sz w:val="24"/>
          <w:szCs w:val="24"/>
          <w:highlight w:val="none"/>
        </w:rPr>
        <w:t>报价文件等有关事宜，其法律后果由我方承担。</w:t>
      </w:r>
    </w:p>
    <w:p w14:paraId="51F4F1B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A02A1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1CE89D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附：代理人身份证明</w:t>
      </w:r>
    </w:p>
    <w:p w14:paraId="7E325FE9">
      <w:pPr>
        <w:spacing w:line="360" w:lineRule="auto"/>
        <w:ind w:firstLine="3840" w:firstLineChars="1600"/>
        <w:rPr>
          <w:rFonts w:ascii="宋体" w:hAnsi="宋体" w:cs="宋体"/>
          <w:color w:val="auto"/>
          <w:sz w:val="24"/>
          <w:szCs w:val="24"/>
          <w:highlight w:val="none"/>
        </w:rPr>
      </w:pPr>
    </w:p>
    <w:p w14:paraId="58EA1FF3">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（法人公章）</w:t>
      </w:r>
    </w:p>
    <w:p w14:paraId="74F240D6">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4B8C4425">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（签字） </w:t>
      </w:r>
    </w:p>
    <w:p w14:paraId="449A25AA">
      <w:pPr>
        <w:spacing w:line="360" w:lineRule="auto"/>
        <w:ind w:left="3420" w:firstLine="42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2360A9E">
      <w:pPr>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5B6C200E">
      <w:pPr>
        <w:spacing w:after="158" w:afterLines="50" w:line="360" w:lineRule="auto"/>
        <w:rPr>
          <w:rFonts w:ascii="宋体" w:hAnsi="宋体" w:cs="宋体"/>
          <w:color w:val="auto"/>
          <w:sz w:val="24"/>
          <w:szCs w:val="24"/>
          <w:highlight w:val="none"/>
        </w:rPr>
      </w:pPr>
    </w:p>
    <w:p w14:paraId="67CA661D">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附委托代理人身份证复印件：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14:paraId="0123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tcPr>
          <w:p w14:paraId="6B5066A5">
            <w:pPr>
              <w:rPr>
                <w:rFonts w:ascii="宋体" w:hAnsi="宋体" w:cs="宋体"/>
                <w:color w:val="auto"/>
                <w:szCs w:val="21"/>
                <w:highlight w:val="none"/>
              </w:rPr>
            </w:pPr>
          </w:p>
        </w:tc>
        <w:tc>
          <w:tcPr>
            <w:tcW w:w="4349" w:type="dxa"/>
          </w:tcPr>
          <w:p w14:paraId="59DA8D2B">
            <w:pPr>
              <w:rPr>
                <w:rFonts w:ascii="宋体" w:hAnsi="宋体" w:cs="宋体"/>
                <w:color w:val="auto"/>
                <w:szCs w:val="21"/>
                <w:highlight w:val="none"/>
              </w:rPr>
            </w:pPr>
          </w:p>
        </w:tc>
      </w:tr>
    </w:tbl>
    <w:p w14:paraId="3941F6DA">
      <w:pPr>
        <w:rPr>
          <w:rFonts w:ascii="宋体" w:hAnsi="宋体" w:cs="宋体"/>
          <w:color w:val="auto"/>
          <w:szCs w:val="21"/>
          <w:highlight w:val="none"/>
        </w:rPr>
      </w:pPr>
    </w:p>
    <w:p w14:paraId="25F9FE45">
      <w:pPr>
        <w:widowControl/>
        <w:spacing w:line="360" w:lineRule="auto"/>
        <w:jc w:val="left"/>
        <w:rPr>
          <w:rFonts w:ascii="宋体" w:hAnsi="宋体" w:cs="宋体"/>
          <w:color w:val="auto"/>
          <w:szCs w:val="21"/>
          <w:highlight w:val="none"/>
        </w:rPr>
      </w:pPr>
    </w:p>
    <w:p w14:paraId="55EF30F1">
      <w:pPr>
        <w:widowControl/>
        <w:spacing w:line="360" w:lineRule="auto"/>
        <w:jc w:val="left"/>
        <w:rPr>
          <w:rFonts w:ascii="宋体" w:hAnsi="宋体" w:cs="宋体"/>
          <w:color w:val="auto"/>
          <w:szCs w:val="21"/>
          <w:highlight w:val="none"/>
        </w:rPr>
      </w:pPr>
    </w:p>
    <w:p w14:paraId="72D3464E">
      <w:pPr>
        <w:pStyle w:val="29"/>
        <w:adjustRightInd w:val="0"/>
        <w:snapToGrid w:val="0"/>
        <w:spacing w:line="360" w:lineRule="auto"/>
        <w:jc w:val="left"/>
        <w:rPr>
          <w:rFonts w:hAnsi="宋体" w:eastAsia="宋体" w:cs="宋体"/>
          <w:color w:val="auto"/>
          <w:sz w:val="24"/>
          <w:szCs w:val="24"/>
          <w:highlight w:val="none"/>
        </w:rPr>
      </w:pPr>
      <w:r>
        <w:rPr>
          <w:rFonts w:hAnsi="宋体" w:eastAsia="宋体" w:cs="宋体"/>
          <w:color w:val="auto"/>
          <w:sz w:val="24"/>
          <w:szCs w:val="24"/>
          <w:highlight w:val="none"/>
        </w:rPr>
        <w:br w:type="page"/>
      </w:r>
      <w:r>
        <w:rPr>
          <w:rFonts w:hint="eastAsia" w:hAnsi="宋体" w:eastAsia="宋体" w:cs="宋体"/>
          <w:color w:val="auto"/>
          <w:sz w:val="24"/>
          <w:szCs w:val="24"/>
          <w:highlight w:val="none"/>
        </w:rPr>
        <w:t>附件六</w:t>
      </w:r>
    </w:p>
    <w:p w14:paraId="542985BA">
      <w:pPr>
        <w:pStyle w:val="29"/>
        <w:adjustRightInd w:val="0"/>
        <w:snapToGrid w:val="0"/>
        <w:spacing w:line="360" w:lineRule="auto"/>
        <w:jc w:val="center"/>
        <w:rPr>
          <w:rFonts w:hAnsi="宋体" w:eastAsia="宋体" w:cs="宋体"/>
          <w:b/>
          <w:color w:val="auto"/>
          <w:sz w:val="28"/>
          <w:szCs w:val="28"/>
          <w:highlight w:val="none"/>
        </w:rPr>
      </w:pPr>
      <w:r>
        <w:rPr>
          <w:rFonts w:hint="eastAsia" w:hAnsi="宋体" w:eastAsia="宋体" w:cs="宋体"/>
          <w:b/>
          <w:bCs/>
          <w:color w:val="auto"/>
          <w:sz w:val="28"/>
          <w:szCs w:val="28"/>
          <w:highlight w:val="none"/>
        </w:rPr>
        <w:t>业绩</w:t>
      </w:r>
      <w:r>
        <w:rPr>
          <w:rFonts w:hint="eastAsia" w:hAnsi="宋体" w:eastAsia="宋体" w:cs="宋体"/>
          <w:b/>
          <w:color w:val="auto"/>
          <w:sz w:val="28"/>
          <w:szCs w:val="28"/>
          <w:highlight w:val="none"/>
        </w:rPr>
        <w:t>情况汇总表</w:t>
      </w:r>
    </w:p>
    <w:p w14:paraId="0CB28304">
      <w:pPr>
        <w:spacing w:line="360" w:lineRule="auto"/>
        <w:jc w:val="left"/>
        <w:rPr>
          <w:rFonts w:ascii="宋体" w:hAnsi="宋体" w:cs="宋体"/>
          <w:color w:val="auto"/>
          <w:sz w:val="24"/>
          <w:szCs w:val="24"/>
          <w:highlight w:val="none"/>
          <w:u w:val="single"/>
        </w:rPr>
      </w:pPr>
      <w:r>
        <w:rPr>
          <w:rFonts w:hint="eastAsia" w:hAnsi="宋体" w:cs="宋体"/>
          <w:bCs/>
          <w:color w:val="auto"/>
          <w:sz w:val="24"/>
          <w:szCs w:val="24"/>
          <w:highlight w:val="none"/>
        </w:rPr>
        <w:t>项目名称：</w:t>
      </w:r>
      <w:r>
        <w:rPr>
          <w:rFonts w:hint="eastAsia" w:hAnsi="宋体" w:cs="宋体"/>
          <w:color w:val="auto"/>
          <w:sz w:val="24"/>
          <w:szCs w:val="24"/>
          <w:highlight w:val="none"/>
          <w:u w:val="single"/>
        </w:rPr>
        <w:t>广州市美华中学改扩建工程招标代理服务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14:paraId="0BD5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0DD790BB">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918" w:type="dxa"/>
            <w:vAlign w:val="center"/>
          </w:tcPr>
          <w:p w14:paraId="0B80C893">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473" w:type="dxa"/>
            <w:vAlign w:val="center"/>
          </w:tcPr>
          <w:p w14:paraId="54C5D77F">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项目业主</w:t>
            </w:r>
          </w:p>
        </w:tc>
        <w:tc>
          <w:tcPr>
            <w:tcW w:w="1559" w:type="dxa"/>
            <w:vAlign w:val="center"/>
          </w:tcPr>
          <w:p w14:paraId="7ECE55A6">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合同价</w:t>
            </w:r>
          </w:p>
          <w:p w14:paraId="239A95EE">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（万元）</w:t>
            </w:r>
          </w:p>
        </w:tc>
        <w:tc>
          <w:tcPr>
            <w:tcW w:w="2268" w:type="dxa"/>
            <w:vAlign w:val="center"/>
          </w:tcPr>
          <w:p w14:paraId="7CA61DFC">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项目类型</w:t>
            </w:r>
          </w:p>
        </w:tc>
        <w:tc>
          <w:tcPr>
            <w:tcW w:w="1616" w:type="dxa"/>
            <w:vAlign w:val="center"/>
          </w:tcPr>
          <w:p w14:paraId="294A42A0">
            <w:pPr>
              <w:jc w:val="center"/>
              <w:rPr>
                <w:rFonts w:ascii="宋体" w:hAnsi="宋体" w:cs="宋体"/>
                <w:b/>
                <w:bCs/>
                <w:color w:val="auto"/>
                <w:sz w:val="24"/>
                <w:szCs w:val="24"/>
                <w:highlight w:val="none"/>
              </w:rPr>
            </w:pPr>
            <w:r>
              <w:rPr>
                <w:rFonts w:hint="eastAsia" w:ascii="宋体" w:hAnsi="宋体" w:cs="宋体"/>
                <w:b/>
                <w:color w:val="auto"/>
                <w:sz w:val="24"/>
                <w:szCs w:val="24"/>
                <w:highlight w:val="none"/>
              </w:rPr>
              <w:t>建设单位联系人及电话</w:t>
            </w:r>
          </w:p>
        </w:tc>
      </w:tr>
      <w:tr w14:paraId="5291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6B121D5C">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918" w:type="dxa"/>
            <w:vAlign w:val="center"/>
          </w:tcPr>
          <w:p w14:paraId="3D95950E">
            <w:pPr>
              <w:jc w:val="center"/>
              <w:rPr>
                <w:rFonts w:ascii="宋体" w:hAnsi="宋体" w:cs="宋体"/>
                <w:bCs/>
                <w:color w:val="auto"/>
                <w:sz w:val="24"/>
                <w:szCs w:val="24"/>
                <w:highlight w:val="none"/>
              </w:rPr>
            </w:pPr>
          </w:p>
        </w:tc>
        <w:tc>
          <w:tcPr>
            <w:tcW w:w="1473" w:type="dxa"/>
            <w:vAlign w:val="center"/>
          </w:tcPr>
          <w:p w14:paraId="46E53B91">
            <w:pPr>
              <w:jc w:val="center"/>
              <w:rPr>
                <w:rFonts w:ascii="宋体" w:hAnsi="宋体" w:cs="宋体"/>
                <w:bCs/>
                <w:color w:val="auto"/>
                <w:sz w:val="24"/>
                <w:szCs w:val="24"/>
                <w:highlight w:val="none"/>
              </w:rPr>
            </w:pPr>
          </w:p>
        </w:tc>
        <w:tc>
          <w:tcPr>
            <w:tcW w:w="1559" w:type="dxa"/>
            <w:vAlign w:val="center"/>
          </w:tcPr>
          <w:p w14:paraId="42D748E1">
            <w:pPr>
              <w:jc w:val="center"/>
              <w:rPr>
                <w:rFonts w:ascii="宋体" w:hAnsi="宋体" w:cs="宋体"/>
                <w:bCs/>
                <w:color w:val="auto"/>
                <w:sz w:val="24"/>
                <w:szCs w:val="24"/>
                <w:highlight w:val="none"/>
              </w:rPr>
            </w:pPr>
          </w:p>
        </w:tc>
        <w:tc>
          <w:tcPr>
            <w:tcW w:w="2268" w:type="dxa"/>
            <w:vAlign w:val="center"/>
          </w:tcPr>
          <w:p w14:paraId="40518D22">
            <w:pPr>
              <w:jc w:val="center"/>
              <w:rPr>
                <w:rFonts w:ascii="宋体" w:hAnsi="宋体" w:cs="宋体"/>
                <w:bCs/>
                <w:color w:val="auto"/>
                <w:sz w:val="24"/>
                <w:szCs w:val="24"/>
                <w:highlight w:val="none"/>
              </w:rPr>
            </w:pPr>
          </w:p>
        </w:tc>
        <w:tc>
          <w:tcPr>
            <w:tcW w:w="1616" w:type="dxa"/>
            <w:vAlign w:val="center"/>
          </w:tcPr>
          <w:p w14:paraId="4AD68604">
            <w:pPr>
              <w:jc w:val="center"/>
              <w:rPr>
                <w:rFonts w:ascii="宋体" w:hAnsi="宋体" w:cs="宋体"/>
                <w:bCs/>
                <w:color w:val="auto"/>
                <w:sz w:val="24"/>
                <w:szCs w:val="24"/>
                <w:highlight w:val="none"/>
              </w:rPr>
            </w:pPr>
          </w:p>
        </w:tc>
      </w:tr>
      <w:tr w14:paraId="7194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26B2FDFA">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918" w:type="dxa"/>
            <w:vAlign w:val="center"/>
          </w:tcPr>
          <w:p w14:paraId="239F747B">
            <w:pPr>
              <w:jc w:val="center"/>
              <w:rPr>
                <w:rFonts w:ascii="宋体" w:hAnsi="宋体" w:cs="宋体"/>
                <w:bCs/>
                <w:color w:val="auto"/>
                <w:sz w:val="24"/>
                <w:szCs w:val="24"/>
                <w:highlight w:val="none"/>
              </w:rPr>
            </w:pPr>
          </w:p>
        </w:tc>
        <w:tc>
          <w:tcPr>
            <w:tcW w:w="1473" w:type="dxa"/>
            <w:vAlign w:val="center"/>
          </w:tcPr>
          <w:p w14:paraId="234FBA2E">
            <w:pPr>
              <w:jc w:val="center"/>
              <w:rPr>
                <w:rFonts w:ascii="宋体" w:hAnsi="宋体" w:cs="宋体"/>
                <w:bCs/>
                <w:color w:val="auto"/>
                <w:sz w:val="24"/>
                <w:szCs w:val="24"/>
                <w:highlight w:val="none"/>
              </w:rPr>
            </w:pPr>
          </w:p>
        </w:tc>
        <w:tc>
          <w:tcPr>
            <w:tcW w:w="1559" w:type="dxa"/>
            <w:vAlign w:val="center"/>
          </w:tcPr>
          <w:p w14:paraId="51CD79EE">
            <w:pPr>
              <w:jc w:val="center"/>
              <w:rPr>
                <w:rFonts w:ascii="宋体" w:hAnsi="宋体" w:cs="宋体"/>
                <w:bCs/>
                <w:color w:val="auto"/>
                <w:sz w:val="24"/>
                <w:szCs w:val="24"/>
                <w:highlight w:val="none"/>
              </w:rPr>
            </w:pPr>
          </w:p>
        </w:tc>
        <w:tc>
          <w:tcPr>
            <w:tcW w:w="2268" w:type="dxa"/>
            <w:vAlign w:val="center"/>
          </w:tcPr>
          <w:p w14:paraId="2C105E2C">
            <w:pPr>
              <w:jc w:val="center"/>
              <w:rPr>
                <w:rFonts w:ascii="宋体" w:hAnsi="宋体" w:cs="宋体"/>
                <w:bCs/>
                <w:color w:val="auto"/>
                <w:sz w:val="24"/>
                <w:szCs w:val="24"/>
                <w:highlight w:val="none"/>
              </w:rPr>
            </w:pPr>
          </w:p>
        </w:tc>
        <w:tc>
          <w:tcPr>
            <w:tcW w:w="1616" w:type="dxa"/>
            <w:vAlign w:val="center"/>
          </w:tcPr>
          <w:p w14:paraId="0A189D63">
            <w:pPr>
              <w:jc w:val="center"/>
              <w:rPr>
                <w:rFonts w:ascii="宋体" w:hAnsi="宋体" w:cs="宋体"/>
                <w:bCs/>
                <w:color w:val="auto"/>
                <w:sz w:val="24"/>
                <w:szCs w:val="24"/>
                <w:highlight w:val="none"/>
              </w:rPr>
            </w:pPr>
          </w:p>
        </w:tc>
      </w:tr>
      <w:tr w14:paraId="2FD9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367C8496">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918" w:type="dxa"/>
            <w:vAlign w:val="center"/>
          </w:tcPr>
          <w:p w14:paraId="54F12C3F">
            <w:pPr>
              <w:jc w:val="center"/>
              <w:rPr>
                <w:rFonts w:ascii="宋体" w:hAnsi="宋体" w:cs="宋体"/>
                <w:bCs/>
                <w:color w:val="auto"/>
                <w:sz w:val="24"/>
                <w:szCs w:val="24"/>
                <w:highlight w:val="none"/>
              </w:rPr>
            </w:pPr>
          </w:p>
        </w:tc>
        <w:tc>
          <w:tcPr>
            <w:tcW w:w="1473" w:type="dxa"/>
            <w:vAlign w:val="center"/>
          </w:tcPr>
          <w:p w14:paraId="77825F7C">
            <w:pPr>
              <w:jc w:val="center"/>
              <w:rPr>
                <w:rFonts w:ascii="宋体" w:hAnsi="宋体" w:cs="宋体"/>
                <w:bCs/>
                <w:color w:val="auto"/>
                <w:sz w:val="24"/>
                <w:szCs w:val="24"/>
                <w:highlight w:val="none"/>
              </w:rPr>
            </w:pPr>
          </w:p>
        </w:tc>
        <w:tc>
          <w:tcPr>
            <w:tcW w:w="1559" w:type="dxa"/>
            <w:vAlign w:val="center"/>
          </w:tcPr>
          <w:p w14:paraId="698E4DDC">
            <w:pPr>
              <w:jc w:val="center"/>
              <w:rPr>
                <w:rFonts w:ascii="宋体" w:hAnsi="宋体" w:cs="宋体"/>
                <w:bCs/>
                <w:color w:val="auto"/>
                <w:sz w:val="24"/>
                <w:szCs w:val="24"/>
                <w:highlight w:val="none"/>
              </w:rPr>
            </w:pPr>
          </w:p>
        </w:tc>
        <w:tc>
          <w:tcPr>
            <w:tcW w:w="2268" w:type="dxa"/>
            <w:vAlign w:val="center"/>
          </w:tcPr>
          <w:p w14:paraId="770D7B51">
            <w:pPr>
              <w:jc w:val="center"/>
              <w:rPr>
                <w:rFonts w:ascii="宋体" w:hAnsi="宋体" w:cs="宋体"/>
                <w:bCs/>
                <w:color w:val="auto"/>
                <w:sz w:val="24"/>
                <w:szCs w:val="24"/>
                <w:highlight w:val="none"/>
              </w:rPr>
            </w:pPr>
          </w:p>
        </w:tc>
        <w:tc>
          <w:tcPr>
            <w:tcW w:w="1616" w:type="dxa"/>
            <w:vAlign w:val="center"/>
          </w:tcPr>
          <w:p w14:paraId="138431BD">
            <w:pPr>
              <w:jc w:val="center"/>
              <w:rPr>
                <w:rFonts w:ascii="宋体" w:hAnsi="宋体" w:cs="宋体"/>
                <w:bCs/>
                <w:color w:val="auto"/>
                <w:sz w:val="24"/>
                <w:szCs w:val="24"/>
                <w:highlight w:val="none"/>
              </w:rPr>
            </w:pPr>
          </w:p>
        </w:tc>
      </w:tr>
      <w:tr w14:paraId="76FF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14:paraId="23D0C79D">
            <w:pPr>
              <w:jc w:val="center"/>
              <w:rPr>
                <w:rFonts w:ascii="宋体" w:hAnsi="宋体" w:cs="宋体"/>
                <w:bCs/>
                <w:color w:val="auto"/>
                <w:sz w:val="24"/>
                <w:szCs w:val="24"/>
                <w:highlight w:val="none"/>
              </w:rPr>
            </w:pPr>
            <w:r>
              <w:rPr>
                <w:rFonts w:hint="eastAsia" w:ascii="宋体" w:hAnsi="宋体" w:cs="宋体"/>
                <w:bCs/>
                <w:color w:val="auto"/>
                <w:sz w:val="24"/>
                <w:szCs w:val="24"/>
                <w:highlight w:val="none"/>
              </w:rPr>
              <w:t>…</w:t>
            </w:r>
          </w:p>
        </w:tc>
        <w:tc>
          <w:tcPr>
            <w:tcW w:w="1918" w:type="dxa"/>
            <w:vAlign w:val="center"/>
          </w:tcPr>
          <w:p w14:paraId="29203388">
            <w:pPr>
              <w:jc w:val="center"/>
              <w:rPr>
                <w:rFonts w:ascii="宋体" w:hAnsi="宋体" w:cs="宋体"/>
                <w:bCs/>
                <w:color w:val="auto"/>
                <w:sz w:val="24"/>
                <w:szCs w:val="24"/>
                <w:highlight w:val="none"/>
              </w:rPr>
            </w:pPr>
          </w:p>
        </w:tc>
        <w:tc>
          <w:tcPr>
            <w:tcW w:w="1473" w:type="dxa"/>
            <w:vAlign w:val="center"/>
          </w:tcPr>
          <w:p w14:paraId="01B31825">
            <w:pPr>
              <w:jc w:val="center"/>
              <w:rPr>
                <w:rFonts w:ascii="宋体" w:hAnsi="宋体" w:cs="宋体"/>
                <w:bCs/>
                <w:color w:val="auto"/>
                <w:sz w:val="24"/>
                <w:szCs w:val="24"/>
                <w:highlight w:val="none"/>
              </w:rPr>
            </w:pPr>
          </w:p>
        </w:tc>
        <w:tc>
          <w:tcPr>
            <w:tcW w:w="1559" w:type="dxa"/>
            <w:vAlign w:val="center"/>
          </w:tcPr>
          <w:p w14:paraId="06BD4FC3">
            <w:pPr>
              <w:jc w:val="center"/>
              <w:rPr>
                <w:rFonts w:ascii="宋体" w:hAnsi="宋体" w:cs="宋体"/>
                <w:bCs/>
                <w:color w:val="auto"/>
                <w:sz w:val="24"/>
                <w:szCs w:val="24"/>
                <w:highlight w:val="none"/>
              </w:rPr>
            </w:pPr>
          </w:p>
        </w:tc>
        <w:tc>
          <w:tcPr>
            <w:tcW w:w="2268" w:type="dxa"/>
            <w:vAlign w:val="center"/>
          </w:tcPr>
          <w:p w14:paraId="01D93B0B">
            <w:pPr>
              <w:jc w:val="center"/>
              <w:rPr>
                <w:rFonts w:ascii="宋体" w:hAnsi="宋体" w:cs="宋体"/>
                <w:bCs/>
                <w:color w:val="auto"/>
                <w:sz w:val="24"/>
                <w:szCs w:val="24"/>
                <w:highlight w:val="none"/>
              </w:rPr>
            </w:pPr>
          </w:p>
        </w:tc>
        <w:tc>
          <w:tcPr>
            <w:tcW w:w="1616" w:type="dxa"/>
            <w:vAlign w:val="center"/>
          </w:tcPr>
          <w:p w14:paraId="2EA36047">
            <w:pPr>
              <w:jc w:val="center"/>
              <w:rPr>
                <w:rFonts w:ascii="宋体" w:hAnsi="宋体" w:cs="宋体"/>
                <w:bCs/>
                <w:color w:val="auto"/>
                <w:sz w:val="24"/>
                <w:szCs w:val="24"/>
                <w:highlight w:val="none"/>
              </w:rPr>
            </w:pPr>
          </w:p>
        </w:tc>
      </w:tr>
    </w:tbl>
    <w:p w14:paraId="1EB93C2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本表后应按综合评分表备注要求附相关证明文件复印件</w:t>
      </w:r>
      <w:r>
        <w:rPr>
          <w:rFonts w:hint="eastAsia" w:ascii="宋体" w:hAnsi="宋体" w:cs="宋体"/>
          <w:color w:val="auto"/>
          <w:szCs w:val="21"/>
          <w:highlight w:val="none"/>
          <w:lang w:val="zh-CN"/>
        </w:rPr>
        <w:t>。</w:t>
      </w:r>
    </w:p>
    <w:p w14:paraId="02B3808F">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07AC51C6">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10C62855">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14:paraId="7365D1E5">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14:paraId="40C9A067">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0B19F35C">
      <w:pPr>
        <w:widowControl/>
        <w:ind w:left="2100" w:firstLine="420"/>
        <w:jc w:val="left"/>
        <w:rPr>
          <w:rFonts w:ascii="宋体" w:hAnsi="宋体" w:cs="宋体"/>
          <w:color w:val="auto"/>
          <w:kern w:val="0"/>
          <w:szCs w:val="21"/>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D5BF737">
      <w:pPr>
        <w:rPr>
          <w:rFonts w:ascii="宋体" w:hAnsi="宋体" w:cs="宋体"/>
          <w:b/>
          <w:color w:val="auto"/>
          <w:sz w:val="28"/>
          <w:szCs w:val="28"/>
          <w:highlight w:val="none"/>
        </w:rPr>
      </w:pPr>
    </w:p>
    <w:p w14:paraId="1A1BB8CE">
      <w:pPr>
        <w:rPr>
          <w:rFonts w:ascii="宋体" w:hAnsi="宋体" w:cs="宋体"/>
          <w:b/>
          <w:color w:val="auto"/>
          <w:sz w:val="28"/>
          <w:szCs w:val="28"/>
          <w:highlight w:val="none"/>
        </w:rPr>
      </w:pPr>
    </w:p>
    <w:p w14:paraId="1F1DFDE4">
      <w:pPr>
        <w:rPr>
          <w:rFonts w:ascii="宋体" w:hAnsi="宋体" w:cs="宋体"/>
          <w:b/>
          <w:color w:val="auto"/>
          <w:sz w:val="28"/>
          <w:szCs w:val="28"/>
          <w:highlight w:val="none"/>
        </w:rPr>
      </w:pPr>
    </w:p>
    <w:p w14:paraId="6DA5AB5D">
      <w:pPr>
        <w:rPr>
          <w:rFonts w:ascii="宋体" w:hAnsi="宋体" w:cs="宋体"/>
          <w:b/>
          <w:color w:val="auto"/>
          <w:sz w:val="28"/>
          <w:szCs w:val="28"/>
          <w:highlight w:val="none"/>
        </w:rPr>
      </w:pPr>
    </w:p>
    <w:p w14:paraId="5C58A064">
      <w:pPr>
        <w:pStyle w:val="29"/>
        <w:adjustRightInd w:val="0"/>
        <w:snapToGrid w:val="0"/>
        <w:spacing w:line="360" w:lineRule="auto"/>
        <w:jc w:val="left"/>
        <w:rPr>
          <w:rFonts w:hAnsi="宋体" w:cs="宋体"/>
          <w:b/>
          <w:bCs/>
          <w:color w:val="auto"/>
          <w:sz w:val="24"/>
          <w:szCs w:val="24"/>
          <w:highlight w:val="none"/>
        </w:rPr>
      </w:pPr>
      <w:r>
        <w:rPr>
          <w:rFonts w:hint="eastAsia" w:hAnsi="宋体" w:cs="宋体"/>
          <w:color w:val="auto"/>
          <w:sz w:val="24"/>
          <w:szCs w:val="24"/>
          <w:highlight w:val="none"/>
        </w:rPr>
        <w:br w:type="page"/>
      </w:r>
      <w:r>
        <w:rPr>
          <w:rFonts w:hint="eastAsia" w:hAnsi="宋体" w:eastAsia="宋体" w:cs="宋体"/>
          <w:color w:val="auto"/>
          <w:sz w:val="24"/>
          <w:szCs w:val="24"/>
          <w:highlight w:val="none"/>
        </w:rPr>
        <w:t>附件七</w:t>
      </w:r>
    </w:p>
    <w:p w14:paraId="2BB3F5F4">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项目负责人简历表</w:t>
      </w:r>
    </w:p>
    <w:p w14:paraId="6E986F69">
      <w:pPr>
        <w:pStyle w:val="29"/>
        <w:adjustRightInd w:val="0"/>
        <w:snapToGrid w:val="0"/>
        <w:spacing w:line="360" w:lineRule="auto"/>
        <w:jc w:val="left"/>
        <w:rPr>
          <w:rFonts w:hAnsi="宋体" w:eastAsia="宋体" w:cs="宋体"/>
          <w:color w:val="auto"/>
          <w:sz w:val="24"/>
          <w:szCs w:val="24"/>
          <w:highlight w:val="none"/>
          <w:u w:val="single"/>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广州市美华中学改扩建工程招标代理服务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956"/>
      </w:tblGrid>
      <w:tr w14:paraId="73A6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vAlign w:val="center"/>
          </w:tcPr>
          <w:p w14:paraId="6D14C74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26" w:type="dxa"/>
            <w:vAlign w:val="center"/>
          </w:tcPr>
          <w:p w14:paraId="4EDA8ED7">
            <w:pPr>
              <w:adjustRightInd w:val="0"/>
              <w:snapToGrid w:val="0"/>
              <w:jc w:val="center"/>
              <w:rPr>
                <w:rFonts w:ascii="宋体" w:hAnsi="宋体" w:cs="宋体"/>
                <w:color w:val="auto"/>
                <w:sz w:val="24"/>
                <w:szCs w:val="24"/>
                <w:highlight w:val="none"/>
              </w:rPr>
            </w:pPr>
          </w:p>
        </w:tc>
        <w:tc>
          <w:tcPr>
            <w:tcW w:w="1686" w:type="dxa"/>
            <w:gridSpan w:val="2"/>
            <w:vAlign w:val="center"/>
          </w:tcPr>
          <w:p w14:paraId="4C35ABF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出生年月</w:t>
            </w:r>
          </w:p>
        </w:tc>
        <w:tc>
          <w:tcPr>
            <w:tcW w:w="1509" w:type="dxa"/>
            <w:gridSpan w:val="2"/>
            <w:vAlign w:val="center"/>
          </w:tcPr>
          <w:p w14:paraId="3893755B">
            <w:pPr>
              <w:adjustRightInd w:val="0"/>
              <w:snapToGrid w:val="0"/>
              <w:jc w:val="center"/>
              <w:rPr>
                <w:rFonts w:ascii="宋体" w:hAnsi="宋体" w:cs="宋体"/>
                <w:color w:val="auto"/>
                <w:sz w:val="24"/>
                <w:szCs w:val="24"/>
                <w:highlight w:val="none"/>
              </w:rPr>
            </w:pPr>
          </w:p>
        </w:tc>
        <w:tc>
          <w:tcPr>
            <w:tcW w:w="1257" w:type="dxa"/>
            <w:gridSpan w:val="2"/>
            <w:vAlign w:val="center"/>
          </w:tcPr>
          <w:p w14:paraId="46ABFB49">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956" w:type="dxa"/>
            <w:vAlign w:val="center"/>
          </w:tcPr>
          <w:p w14:paraId="5C786090">
            <w:pPr>
              <w:adjustRightInd w:val="0"/>
              <w:snapToGrid w:val="0"/>
              <w:jc w:val="center"/>
              <w:rPr>
                <w:rFonts w:ascii="宋体" w:hAnsi="宋体" w:cs="宋体"/>
                <w:color w:val="auto"/>
                <w:sz w:val="24"/>
                <w:szCs w:val="24"/>
                <w:highlight w:val="none"/>
              </w:rPr>
            </w:pPr>
          </w:p>
        </w:tc>
      </w:tr>
      <w:tr w14:paraId="66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vAlign w:val="center"/>
          </w:tcPr>
          <w:p w14:paraId="59E4C9F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毕业院校</w:t>
            </w:r>
          </w:p>
        </w:tc>
        <w:tc>
          <w:tcPr>
            <w:tcW w:w="1426" w:type="dxa"/>
            <w:vAlign w:val="center"/>
          </w:tcPr>
          <w:p w14:paraId="3CDE0DD5">
            <w:pPr>
              <w:adjustRightInd w:val="0"/>
              <w:snapToGrid w:val="0"/>
              <w:jc w:val="center"/>
              <w:rPr>
                <w:rFonts w:ascii="宋体" w:hAnsi="宋体" w:cs="宋体"/>
                <w:color w:val="auto"/>
                <w:sz w:val="24"/>
                <w:szCs w:val="24"/>
                <w:highlight w:val="none"/>
              </w:rPr>
            </w:pPr>
          </w:p>
        </w:tc>
        <w:tc>
          <w:tcPr>
            <w:tcW w:w="1686" w:type="dxa"/>
            <w:gridSpan w:val="2"/>
            <w:vAlign w:val="center"/>
          </w:tcPr>
          <w:p w14:paraId="4DE948D5">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毕业时间</w:t>
            </w:r>
          </w:p>
        </w:tc>
        <w:tc>
          <w:tcPr>
            <w:tcW w:w="1509" w:type="dxa"/>
            <w:gridSpan w:val="2"/>
            <w:vAlign w:val="center"/>
          </w:tcPr>
          <w:p w14:paraId="5BFB3D0C">
            <w:pPr>
              <w:adjustRightInd w:val="0"/>
              <w:snapToGrid w:val="0"/>
              <w:jc w:val="center"/>
              <w:rPr>
                <w:rFonts w:ascii="宋体" w:hAnsi="宋体" w:cs="宋体"/>
                <w:color w:val="auto"/>
                <w:sz w:val="24"/>
                <w:szCs w:val="24"/>
                <w:highlight w:val="none"/>
              </w:rPr>
            </w:pPr>
          </w:p>
        </w:tc>
        <w:tc>
          <w:tcPr>
            <w:tcW w:w="1257" w:type="dxa"/>
            <w:gridSpan w:val="2"/>
            <w:vAlign w:val="center"/>
          </w:tcPr>
          <w:p w14:paraId="7579CAD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1956" w:type="dxa"/>
            <w:vAlign w:val="center"/>
          </w:tcPr>
          <w:p w14:paraId="0EBF685C">
            <w:pPr>
              <w:adjustRightInd w:val="0"/>
              <w:snapToGrid w:val="0"/>
              <w:jc w:val="center"/>
              <w:rPr>
                <w:rFonts w:ascii="宋体" w:hAnsi="宋体" w:cs="宋体"/>
                <w:color w:val="auto"/>
                <w:sz w:val="24"/>
                <w:szCs w:val="24"/>
                <w:highlight w:val="none"/>
              </w:rPr>
            </w:pPr>
          </w:p>
        </w:tc>
      </w:tr>
      <w:tr w14:paraId="0488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vAlign w:val="center"/>
          </w:tcPr>
          <w:p w14:paraId="77839AD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从事本专业工作年限</w:t>
            </w:r>
          </w:p>
        </w:tc>
        <w:tc>
          <w:tcPr>
            <w:tcW w:w="1426" w:type="dxa"/>
            <w:vMerge w:val="restart"/>
            <w:vAlign w:val="center"/>
          </w:tcPr>
          <w:p w14:paraId="0669BB42">
            <w:pPr>
              <w:adjustRightInd w:val="0"/>
              <w:snapToGrid w:val="0"/>
              <w:jc w:val="center"/>
              <w:rPr>
                <w:rFonts w:ascii="宋体" w:hAnsi="宋体" w:cs="宋体"/>
                <w:color w:val="auto"/>
                <w:sz w:val="24"/>
                <w:szCs w:val="24"/>
                <w:highlight w:val="none"/>
              </w:rPr>
            </w:pPr>
          </w:p>
        </w:tc>
        <w:tc>
          <w:tcPr>
            <w:tcW w:w="1686" w:type="dxa"/>
            <w:gridSpan w:val="2"/>
            <w:vAlign w:val="center"/>
          </w:tcPr>
          <w:p w14:paraId="09FF6635">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现任职务</w:t>
            </w:r>
          </w:p>
        </w:tc>
        <w:tc>
          <w:tcPr>
            <w:tcW w:w="1509" w:type="dxa"/>
            <w:gridSpan w:val="2"/>
            <w:vAlign w:val="center"/>
          </w:tcPr>
          <w:p w14:paraId="20A9E020">
            <w:pPr>
              <w:adjustRightInd w:val="0"/>
              <w:snapToGrid w:val="0"/>
              <w:jc w:val="center"/>
              <w:rPr>
                <w:rFonts w:ascii="宋体" w:hAnsi="宋体" w:cs="宋体"/>
                <w:color w:val="auto"/>
                <w:sz w:val="24"/>
                <w:szCs w:val="24"/>
                <w:highlight w:val="none"/>
              </w:rPr>
            </w:pPr>
          </w:p>
        </w:tc>
        <w:tc>
          <w:tcPr>
            <w:tcW w:w="1257" w:type="dxa"/>
            <w:gridSpan w:val="2"/>
            <w:vAlign w:val="center"/>
          </w:tcPr>
          <w:p w14:paraId="7843EDEA">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文化程度</w:t>
            </w:r>
          </w:p>
        </w:tc>
        <w:tc>
          <w:tcPr>
            <w:tcW w:w="1956" w:type="dxa"/>
            <w:vAlign w:val="center"/>
          </w:tcPr>
          <w:p w14:paraId="0F0CCFDA">
            <w:pPr>
              <w:adjustRightInd w:val="0"/>
              <w:snapToGrid w:val="0"/>
              <w:jc w:val="center"/>
              <w:rPr>
                <w:rFonts w:ascii="宋体" w:hAnsi="宋体" w:cs="宋体"/>
                <w:color w:val="auto"/>
                <w:sz w:val="24"/>
                <w:szCs w:val="24"/>
                <w:highlight w:val="none"/>
              </w:rPr>
            </w:pPr>
          </w:p>
        </w:tc>
      </w:tr>
      <w:tr w14:paraId="252C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vAlign w:val="center"/>
          </w:tcPr>
          <w:p w14:paraId="2B66E013">
            <w:pPr>
              <w:adjustRightInd w:val="0"/>
              <w:snapToGrid w:val="0"/>
              <w:jc w:val="center"/>
              <w:rPr>
                <w:rFonts w:ascii="宋体" w:hAnsi="宋体" w:cs="宋体"/>
                <w:color w:val="auto"/>
                <w:sz w:val="24"/>
                <w:szCs w:val="24"/>
                <w:highlight w:val="none"/>
              </w:rPr>
            </w:pPr>
          </w:p>
        </w:tc>
        <w:tc>
          <w:tcPr>
            <w:tcW w:w="1426" w:type="dxa"/>
            <w:vMerge w:val="continue"/>
            <w:vAlign w:val="center"/>
          </w:tcPr>
          <w:p w14:paraId="36B0F9FE">
            <w:pPr>
              <w:adjustRightInd w:val="0"/>
              <w:snapToGrid w:val="0"/>
              <w:jc w:val="center"/>
              <w:rPr>
                <w:rFonts w:ascii="宋体" w:hAnsi="宋体" w:cs="宋体"/>
                <w:color w:val="auto"/>
                <w:sz w:val="24"/>
                <w:szCs w:val="24"/>
                <w:highlight w:val="none"/>
              </w:rPr>
            </w:pPr>
          </w:p>
        </w:tc>
        <w:tc>
          <w:tcPr>
            <w:tcW w:w="1686" w:type="dxa"/>
            <w:gridSpan w:val="2"/>
            <w:vAlign w:val="center"/>
          </w:tcPr>
          <w:p w14:paraId="480FD54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主要资格证书名称及编号</w:t>
            </w:r>
          </w:p>
        </w:tc>
        <w:tc>
          <w:tcPr>
            <w:tcW w:w="4722" w:type="dxa"/>
            <w:gridSpan w:val="5"/>
            <w:vAlign w:val="center"/>
          </w:tcPr>
          <w:p w14:paraId="3B4C3131">
            <w:pPr>
              <w:adjustRightInd w:val="0"/>
              <w:snapToGrid w:val="0"/>
              <w:jc w:val="center"/>
              <w:rPr>
                <w:rFonts w:ascii="宋体" w:hAnsi="宋体" w:cs="宋体"/>
                <w:color w:val="auto"/>
                <w:sz w:val="24"/>
                <w:szCs w:val="24"/>
                <w:highlight w:val="none"/>
              </w:rPr>
            </w:pPr>
          </w:p>
        </w:tc>
      </w:tr>
      <w:tr w14:paraId="6892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vAlign w:val="center"/>
          </w:tcPr>
          <w:p w14:paraId="449CBCA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同类项目工作经历</w:t>
            </w:r>
          </w:p>
        </w:tc>
        <w:tc>
          <w:tcPr>
            <w:tcW w:w="2162" w:type="dxa"/>
            <w:gridSpan w:val="2"/>
            <w:vAlign w:val="center"/>
          </w:tcPr>
          <w:p w14:paraId="2904A9F7">
            <w:pPr>
              <w:tabs>
                <w:tab w:val="left" w:pos="132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1636" w:type="dxa"/>
            <w:gridSpan w:val="2"/>
            <w:vAlign w:val="center"/>
          </w:tcPr>
          <w:p w14:paraId="3C818CE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项目业主</w:t>
            </w:r>
          </w:p>
        </w:tc>
        <w:tc>
          <w:tcPr>
            <w:tcW w:w="1677" w:type="dxa"/>
            <w:gridSpan w:val="2"/>
            <w:vAlign w:val="center"/>
          </w:tcPr>
          <w:p w14:paraId="49411152">
            <w:pPr>
              <w:tabs>
                <w:tab w:val="left" w:pos="132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项目类型</w:t>
            </w:r>
          </w:p>
        </w:tc>
        <w:tc>
          <w:tcPr>
            <w:tcW w:w="2359" w:type="dxa"/>
            <w:gridSpan w:val="2"/>
            <w:vAlign w:val="center"/>
          </w:tcPr>
          <w:p w14:paraId="05CB4294">
            <w:pPr>
              <w:tabs>
                <w:tab w:val="left" w:pos="1322"/>
              </w:tabs>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项目中担任的职务</w:t>
            </w:r>
          </w:p>
        </w:tc>
      </w:tr>
      <w:tr w14:paraId="427E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vAlign w:val="center"/>
          </w:tcPr>
          <w:p w14:paraId="0D29B861">
            <w:pPr>
              <w:adjustRightInd w:val="0"/>
              <w:snapToGrid w:val="0"/>
              <w:jc w:val="center"/>
              <w:rPr>
                <w:rFonts w:ascii="宋体" w:hAnsi="宋体" w:cs="宋体"/>
                <w:color w:val="auto"/>
                <w:sz w:val="24"/>
                <w:szCs w:val="24"/>
                <w:highlight w:val="none"/>
              </w:rPr>
            </w:pPr>
          </w:p>
        </w:tc>
        <w:tc>
          <w:tcPr>
            <w:tcW w:w="2162" w:type="dxa"/>
            <w:gridSpan w:val="2"/>
            <w:vAlign w:val="center"/>
          </w:tcPr>
          <w:p w14:paraId="6E649127">
            <w:pPr>
              <w:adjustRightInd w:val="0"/>
              <w:snapToGrid w:val="0"/>
              <w:jc w:val="center"/>
              <w:rPr>
                <w:rFonts w:ascii="宋体" w:hAnsi="宋体" w:cs="宋体"/>
                <w:color w:val="auto"/>
                <w:sz w:val="24"/>
                <w:szCs w:val="24"/>
                <w:highlight w:val="none"/>
              </w:rPr>
            </w:pPr>
          </w:p>
        </w:tc>
        <w:tc>
          <w:tcPr>
            <w:tcW w:w="1636" w:type="dxa"/>
            <w:gridSpan w:val="2"/>
            <w:vAlign w:val="center"/>
          </w:tcPr>
          <w:p w14:paraId="3F38FFB8">
            <w:pPr>
              <w:adjustRightInd w:val="0"/>
              <w:snapToGrid w:val="0"/>
              <w:jc w:val="center"/>
              <w:rPr>
                <w:rFonts w:ascii="宋体" w:hAnsi="宋体" w:cs="宋体"/>
                <w:color w:val="auto"/>
                <w:sz w:val="24"/>
                <w:szCs w:val="24"/>
                <w:highlight w:val="none"/>
              </w:rPr>
            </w:pPr>
          </w:p>
        </w:tc>
        <w:tc>
          <w:tcPr>
            <w:tcW w:w="1677" w:type="dxa"/>
            <w:gridSpan w:val="2"/>
            <w:vAlign w:val="center"/>
          </w:tcPr>
          <w:p w14:paraId="071CCF18">
            <w:pPr>
              <w:adjustRightInd w:val="0"/>
              <w:snapToGrid w:val="0"/>
              <w:jc w:val="center"/>
              <w:rPr>
                <w:rFonts w:ascii="宋体" w:hAnsi="宋体" w:cs="宋体"/>
                <w:color w:val="auto"/>
                <w:sz w:val="24"/>
                <w:szCs w:val="24"/>
                <w:highlight w:val="none"/>
              </w:rPr>
            </w:pPr>
          </w:p>
        </w:tc>
        <w:tc>
          <w:tcPr>
            <w:tcW w:w="2359" w:type="dxa"/>
            <w:gridSpan w:val="2"/>
            <w:vAlign w:val="center"/>
          </w:tcPr>
          <w:p w14:paraId="562EA2C8">
            <w:pPr>
              <w:adjustRightInd w:val="0"/>
              <w:snapToGrid w:val="0"/>
              <w:jc w:val="center"/>
              <w:rPr>
                <w:rFonts w:ascii="宋体" w:hAnsi="宋体" w:cs="宋体"/>
                <w:color w:val="auto"/>
                <w:sz w:val="24"/>
                <w:szCs w:val="24"/>
                <w:highlight w:val="none"/>
              </w:rPr>
            </w:pPr>
          </w:p>
        </w:tc>
      </w:tr>
    </w:tbl>
    <w:p w14:paraId="457D115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本表后应按综合评分表备注要求附相关证明文件复印件</w:t>
      </w:r>
      <w:r>
        <w:rPr>
          <w:rFonts w:hint="eastAsia" w:ascii="宋体" w:hAnsi="宋体" w:cs="宋体"/>
          <w:color w:val="auto"/>
          <w:szCs w:val="21"/>
          <w:highlight w:val="none"/>
          <w:lang w:val="zh-CN"/>
        </w:rPr>
        <w:t>。</w:t>
      </w:r>
    </w:p>
    <w:p w14:paraId="53625499">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6A5A3988">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4C760E55">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28E22999">
      <w:pPr>
        <w:tabs>
          <w:tab w:val="left" w:pos="13320"/>
        </w:tabs>
        <w:snapToGrid w:val="0"/>
        <w:spacing w:line="360" w:lineRule="auto"/>
        <w:ind w:left="718" w:leftChars="342" w:right="-52" w:firstLine="2872" w:firstLineChars="1197"/>
        <w:rPr>
          <w:rFonts w:ascii="宋体" w:hAnsi="宋体" w:cs="宋体"/>
          <w:color w:val="auto"/>
          <w:sz w:val="24"/>
          <w:szCs w:val="24"/>
          <w:highlight w:val="none"/>
        </w:rPr>
      </w:pPr>
    </w:p>
    <w:p w14:paraId="25FC94AE">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14:paraId="71162917">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15562721">
      <w:pPr>
        <w:widowControl/>
        <w:ind w:left="2100" w:firstLine="420"/>
        <w:jc w:val="left"/>
        <w:rPr>
          <w:rFonts w:ascii="宋体" w:hAnsi="宋体" w:cs="宋体"/>
          <w:color w:val="auto"/>
          <w:kern w:val="0"/>
          <w:szCs w:val="21"/>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F351904">
      <w:pPr>
        <w:rPr>
          <w:rFonts w:ascii="宋体" w:hAnsi="宋体" w:cs="宋体"/>
          <w:b/>
          <w:color w:val="auto"/>
          <w:sz w:val="28"/>
          <w:szCs w:val="28"/>
          <w:highlight w:val="none"/>
        </w:rPr>
      </w:pPr>
    </w:p>
    <w:p w14:paraId="2ED5A8D3">
      <w:pPr>
        <w:adjustRightInd w:val="0"/>
        <w:snapToGrid w:val="0"/>
        <w:spacing w:line="360" w:lineRule="auto"/>
        <w:jc w:val="left"/>
        <w:rPr>
          <w:rFonts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附件八</w:t>
      </w:r>
    </w:p>
    <w:p w14:paraId="469CB78C">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专业人员配备情况表</w:t>
      </w:r>
    </w:p>
    <w:p w14:paraId="16E2BB76">
      <w:pPr>
        <w:pStyle w:val="29"/>
        <w:spacing w:line="360" w:lineRule="auto"/>
        <w:jc w:val="left"/>
        <w:rPr>
          <w:rFonts w:hAnsi="宋体" w:eastAsia="宋体" w:cs="宋体"/>
          <w:b/>
          <w:color w:val="auto"/>
          <w:sz w:val="24"/>
          <w:szCs w:val="24"/>
          <w:highlight w:val="none"/>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广州市美华中学改扩建工程招标代理服务</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16"/>
        <w:gridCol w:w="1200"/>
        <w:gridCol w:w="1423"/>
        <w:gridCol w:w="1807"/>
        <w:gridCol w:w="2312"/>
      </w:tblGrid>
      <w:tr w14:paraId="155A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5" w:type="dxa"/>
            <w:vAlign w:val="center"/>
          </w:tcPr>
          <w:p w14:paraId="53C39F1F">
            <w:pPr>
              <w:autoSpaceDE w:val="0"/>
              <w:autoSpaceDN w:val="0"/>
              <w:adjustRightIn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716" w:type="dxa"/>
            <w:vAlign w:val="center"/>
          </w:tcPr>
          <w:p w14:paraId="78AA4024">
            <w:pPr>
              <w:tabs>
                <w:tab w:val="left" w:pos="1322"/>
              </w:tabs>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rPr>
              <w:t>姓名</w:t>
            </w:r>
          </w:p>
        </w:tc>
        <w:tc>
          <w:tcPr>
            <w:tcW w:w="1200" w:type="dxa"/>
            <w:vAlign w:val="center"/>
          </w:tcPr>
          <w:p w14:paraId="7615D7C0">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专业类别</w:t>
            </w:r>
          </w:p>
        </w:tc>
        <w:tc>
          <w:tcPr>
            <w:tcW w:w="1423" w:type="dxa"/>
            <w:vAlign w:val="center"/>
          </w:tcPr>
          <w:p w14:paraId="4AC64C65">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拟派本项目职务</w:t>
            </w:r>
          </w:p>
        </w:tc>
        <w:tc>
          <w:tcPr>
            <w:tcW w:w="1807" w:type="dxa"/>
            <w:vAlign w:val="center"/>
          </w:tcPr>
          <w:p w14:paraId="22C2CF63">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职称/注册执业资格</w:t>
            </w:r>
          </w:p>
        </w:tc>
        <w:tc>
          <w:tcPr>
            <w:tcW w:w="2312" w:type="dxa"/>
            <w:vAlign w:val="center"/>
          </w:tcPr>
          <w:p w14:paraId="6B0454F9">
            <w:pPr>
              <w:tabs>
                <w:tab w:val="left" w:pos="1322"/>
              </w:tabs>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rPr>
              <w:t>证书编号（如有）</w:t>
            </w:r>
          </w:p>
        </w:tc>
      </w:tr>
      <w:tr w14:paraId="0813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885" w:type="dxa"/>
            <w:vAlign w:val="center"/>
          </w:tcPr>
          <w:p w14:paraId="05505721">
            <w:pPr>
              <w:tabs>
                <w:tab w:val="left" w:pos="1322"/>
              </w:tabs>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16" w:type="dxa"/>
            <w:vAlign w:val="center"/>
          </w:tcPr>
          <w:p w14:paraId="7898790E">
            <w:pPr>
              <w:tabs>
                <w:tab w:val="left" w:pos="1322"/>
              </w:tabs>
              <w:jc w:val="center"/>
              <w:rPr>
                <w:rFonts w:ascii="宋体" w:hAnsi="宋体" w:cs="宋体"/>
                <w:color w:val="auto"/>
                <w:sz w:val="24"/>
                <w:szCs w:val="24"/>
                <w:highlight w:val="none"/>
              </w:rPr>
            </w:pPr>
          </w:p>
        </w:tc>
        <w:tc>
          <w:tcPr>
            <w:tcW w:w="1200" w:type="dxa"/>
            <w:vAlign w:val="center"/>
          </w:tcPr>
          <w:p w14:paraId="5DBA6B96">
            <w:pPr>
              <w:tabs>
                <w:tab w:val="left" w:pos="1322"/>
              </w:tabs>
              <w:jc w:val="center"/>
              <w:rPr>
                <w:rFonts w:ascii="宋体" w:hAnsi="宋体" w:cs="宋体"/>
                <w:color w:val="auto"/>
                <w:sz w:val="24"/>
                <w:szCs w:val="24"/>
                <w:highlight w:val="none"/>
              </w:rPr>
            </w:pPr>
          </w:p>
        </w:tc>
        <w:tc>
          <w:tcPr>
            <w:tcW w:w="1423" w:type="dxa"/>
            <w:vAlign w:val="center"/>
          </w:tcPr>
          <w:p w14:paraId="54A77ADA">
            <w:pPr>
              <w:tabs>
                <w:tab w:val="left" w:pos="1322"/>
              </w:tabs>
              <w:jc w:val="center"/>
              <w:rPr>
                <w:rFonts w:ascii="宋体" w:hAnsi="宋体" w:cs="宋体"/>
                <w:color w:val="auto"/>
                <w:sz w:val="24"/>
                <w:szCs w:val="24"/>
                <w:highlight w:val="none"/>
              </w:rPr>
            </w:pPr>
          </w:p>
        </w:tc>
        <w:tc>
          <w:tcPr>
            <w:tcW w:w="1807" w:type="dxa"/>
            <w:vAlign w:val="center"/>
          </w:tcPr>
          <w:p w14:paraId="049D5FC5">
            <w:pPr>
              <w:tabs>
                <w:tab w:val="left" w:pos="1322"/>
              </w:tabs>
              <w:jc w:val="center"/>
              <w:rPr>
                <w:rFonts w:ascii="宋体" w:hAnsi="宋体" w:cs="宋体"/>
                <w:color w:val="auto"/>
                <w:sz w:val="24"/>
                <w:szCs w:val="24"/>
                <w:highlight w:val="none"/>
              </w:rPr>
            </w:pPr>
          </w:p>
        </w:tc>
        <w:tc>
          <w:tcPr>
            <w:tcW w:w="2312" w:type="dxa"/>
            <w:vAlign w:val="center"/>
          </w:tcPr>
          <w:p w14:paraId="36F2F402">
            <w:pPr>
              <w:tabs>
                <w:tab w:val="left" w:pos="1322"/>
              </w:tabs>
              <w:jc w:val="center"/>
              <w:rPr>
                <w:rFonts w:ascii="宋体" w:hAnsi="宋体" w:cs="宋体"/>
                <w:color w:val="auto"/>
                <w:sz w:val="24"/>
                <w:szCs w:val="24"/>
                <w:highlight w:val="none"/>
              </w:rPr>
            </w:pPr>
          </w:p>
        </w:tc>
      </w:tr>
      <w:tr w14:paraId="1F53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51EFF770">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16" w:type="dxa"/>
            <w:vAlign w:val="center"/>
          </w:tcPr>
          <w:p w14:paraId="1B542FFB">
            <w:pPr>
              <w:tabs>
                <w:tab w:val="left" w:pos="1322"/>
              </w:tabs>
              <w:jc w:val="center"/>
              <w:rPr>
                <w:rFonts w:ascii="宋体" w:hAnsi="宋体" w:cs="宋体"/>
                <w:color w:val="auto"/>
                <w:sz w:val="24"/>
                <w:szCs w:val="24"/>
                <w:highlight w:val="none"/>
              </w:rPr>
            </w:pPr>
          </w:p>
        </w:tc>
        <w:tc>
          <w:tcPr>
            <w:tcW w:w="1200" w:type="dxa"/>
            <w:vAlign w:val="center"/>
          </w:tcPr>
          <w:p w14:paraId="5B8D5B71">
            <w:pPr>
              <w:tabs>
                <w:tab w:val="left" w:pos="1322"/>
              </w:tabs>
              <w:jc w:val="center"/>
              <w:rPr>
                <w:rFonts w:ascii="宋体" w:hAnsi="宋体" w:cs="宋体"/>
                <w:color w:val="auto"/>
                <w:sz w:val="24"/>
                <w:szCs w:val="24"/>
                <w:highlight w:val="none"/>
              </w:rPr>
            </w:pPr>
          </w:p>
        </w:tc>
        <w:tc>
          <w:tcPr>
            <w:tcW w:w="1423" w:type="dxa"/>
            <w:vAlign w:val="center"/>
          </w:tcPr>
          <w:p w14:paraId="378CE370">
            <w:pPr>
              <w:tabs>
                <w:tab w:val="left" w:pos="1322"/>
              </w:tabs>
              <w:jc w:val="center"/>
              <w:rPr>
                <w:rFonts w:ascii="宋体" w:hAnsi="宋体" w:cs="宋体"/>
                <w:color w:val="auto"/>
                <w:sz w:val="24"/>
                <w:szCs w:val="24"/>
                <w:highlight w:val="none"/>
              </w:rPr>
            </w:pPr>
          </w:p>
        </w:tc>
        <w:tc>
          <w:tcPr>
            <w:tcW w:w="1807" w:type="dxa"/>
            <w:vAlign w:val="center"/>
          </w:tcPr>
          <w:p w14:paraId="0B28ABAF">
            <w:pPr>
              <w:tabs>
                <w:tab w:val="left" w:pos="1322"/>
              </w:tabs>
              <w:jc w:val="center"/>
              <w:rPr>
                <w:rFonts w:ascii="宋体" w:hAnsi="宋体" w:cs="宋体"/>
                <w:color w:val="auto"/>
                <w:sz w:val="24"/>
                <w:szCs w:val="24"/>
                <w:highlight w:val="none"/>
              </w:rPr>
            </w:pPr>
          </w:p>
        </w:tc>
        <w:tc>
          <w:tcPr>
            <w:tcW w:w="2312" w:type="dxa"/>
            <w:vAlign w:val="center"/>
          </w:tcPr>
          <w:p w14:paraId="1F0D503F">
            <w:pPr>
              <w:tabs>
                <w:tab w:val="left" w:pos="1322"/>
              </w:tabs>
              <w:jc w:val="center"/>
              <w:rPr>
                <w:rFonts w:ascii="宋体" w:hAnsi="宋体" w:cs="宋体"/>
                <w:color w:val="auto"/>
                <w:sz w:val="24"/>
                <w:szCs w:val="24"/>
                <w:highlight w:val="none"/>
              </w:rPr>
            </w:pPr>
          </w:p>
        </w:tc>
      </w:tr>
      <w:tr w14:paraId="33CE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393EB1B0">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716" w:type="dxa"/>
            <w:vAlign w:val="center"/>
          </w:tcPr>
          <w:p w14:paraId="2ECCF8E2">
            <w:pPr>
              <w:tabs>
                <w:tab w:val="left" w:pos="1322"/>
              </w:tabs>
              <w:jc w:val="center"/>
              <w:rPr>
                <w:rFonts w:ascii="宋体" w:hAnsi="宋体" w:cs="宋体"/>
                <w:color w:val="auto"/>
                <w:sz w:val="24"/>
                <w:szCs w:val="24"/>
                <w:highlight w:val="none"/>
              </w:rPr>
            </w:pPr>
          </w:p>
        </w:tc>
        <w:tc>
          <w:tcPr>
            <w:tcW w:w="1200" w:type="dxa"/>
            <w:vAlign w:val="center"/>
          </w:tcPr>
          <w:p w14:paraId="09A250B5">
            <w:pPr>
              <w:tabs>
                <w:tab w:val="left" w:pos="1322"/>
              </w:tabs>
              <w:jc w:val="center"/>
              <w:rPr>
                <w:rFonts w:ascii="宋体" w:hAnsi="宋体" w:cs="宋体"/>
                <w:color w:val="auto"/>
                <w:sz w:val="24"/>
                <w:szCs w:val="24"/>
                <w:highlight w:val="none"/>
              </w:rPr>
            </w:pPr>
          </w:p>
        </w:tc>
        <w:tc>
          <w:tcPr>
            <w:tcW w:w="1423" w:type="dxa"/>
            <w:vAlign w:val="center"/>
          </w:tcPr>
          <w:p w14:paraId="6A606BCD">
            <w:pPr>
              <w:tabs>
                <w:tab w:val="left" w:pos="1322"/>
              </w:tabs>
              <w:jc w:val="center"/>
              <w:rPr>
                <w:rFonts w:ascii="宋体" w:hAnsi="宋体" w:cs="宋体"/>
                <w:color w:val="auto"/>
                <w:sz w:val="24"/>
                <w:szCs w:val="24"/>
                <w:highlight w:val="none"/>
              </w:rPr>
            </w:pPr>
          </w:p>
        </w:tc>
        <w:tc>
          <w:tcPr>
            <w:tcW w:w="1807" w:type="dxa"/>
            <w:vAlign w:val="center"/>
          </w:tcPr>
          <w:p w14:paraId="6309BA8F">
            <w:pPr>
              <w:tabs>
                <w:tab w:val="left" w:pos="1322"/>
              </w:tabs>
              <w:jc w:val="center"/>
              <w:rPr>
                <w:rFonts w:ascii="宋体" w:hAnsi="宋体" w:cs="宋体"/>
                <w:color w:val="auto"/>
                <w:sz w:val="24"/>
                <w:szCs w:val="24"/>
                <w:highlight w:val="none"/>
              </w:rPr>
            </w:pPr>
          </w:p>
        </w:tc>
        <w:tc>
          <w:tcPr>
            <w:tcW w:w="2312" w:type="dxa"/>
            <w:vAlign w:val="center"/>
          </w:tcPr>
          <w:p w14:paraId="0F611EC5">
            <w:pPr>
              <w:tabs>
                <w:tab w:val="left" w:pos="1322"/>
              </w:tabs>
              <w:jc w:val="center"/>
              <w:rPr>
                <w:rFonts w:ascii="宋体" w:hAnsi="宋体" w:cs="宋体"/>
                <w:color w:val="auto"/>
                <w:sz w:val="24"/>
                <w:szCs w:val="24"/>
                <w:highlight w:val="none"/>
              </w:rPr>
            </w:pPr>
          </w:p>
        </w:tc>
      </w:tr>
      <w:tr w14:paraId="251F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F9BFB75">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716" w:type="dxa"/>
            <w:vAlign w:val="center"/>
          </w:tcPr>
          <w:p w14:paraId="191EAD45">
            <w:pPr>
              <w:tabs>
                <w:tab w:val="left" w:pos="1322"/>
              </w:tabs>
              <w:jc w:val="center"/>
              <w:rPr>
                <w:rFonts w:ascii="宋体" w:hAnsi="宋体" w:cs="宋体"/>
                <w:color w:val="auto"/>
                <w:sz w:val="24"/>
                <w:szCs w:val="24"/>
                <w:highlight w:val="none"/>
              </w:rPr>
            </w:pPr>
          </w:p>
        </w:tc>
        <w:tc>
          <w:tcPr>
            <w:tcW w:w="1200" w:type="dxa"/>
            <w:vAlign w:val="center"/>
          </w:tcPr>
          <w:p w14:paraId="5AB98AD7">
            <w:pPr>
              <w:tabs>
                <w:tab w:val="left" w:pos="1322"/>
              </w:tabs>
              <w:jc w:val="center"/>
              <w:rPr>
                <w:rFonts w:ascii="宋体" w:hAnsi="宋体" w:cs="宋体"/>
                <w:color w:val="auto"/>
                <w:sz w:val="24"/>
                <w:szCs w:val="24"/>
                <w:highlight w:val="none"/>
              </w:rPr>
            </w:pPr>
          </w:p>
        </w:tc>
        <w:tc>
          <w:tcPr>
            <w:tcW w:w="1423" w:type="dxa"/>
            <w:vAlign w:val="center"/>
          </w:tcPr>
          <w:p w14:paraId="005D4BBE">
            <w:pPr>
              <w:tabs>
                <w:tab w:val="left" w:pos="1322"/>
              </w:tabs>
              <w:jc w:val="center"/>
              <w:rPr>
                <w:rFonts w:ascii="宋体" w:hAnsi="宋体" w:cs="宋体"/>
                <w:color w:val="auto"/>
                <w:sz w:val="24"/>
                <w:szCs w:val="24"/>
                <w:highlight w:val="none"/>
              </w:rPr>
            </w:pPr>
          </w:p>
        </w:tc>
        <w:tc>
          <w:tcPr>
            <w:tcW w:w="1807" w:type="dxa"/>
            <w:vAlign w:val="center"/>
          </w:tcPr>
          <w:p w14:paraId="4AD49D1F">
            <w:pPr>
              <w:tabs>
                <w:tab w:val="left" w:pos="1322"/>
              </w:tabs>
              <w:jc w:val="center"/>
              <w:rPr>
                <w:rFonts w:ascii="宋体" w:hAnsi="宋体" w:cs="宋体"/>
                <w:color w:val="auto"/>
                <w:sz w:val="24"/>
                <w:szCs w:val="24"/>
                <w:highlight w:val="none"/>
              </w:rPr>
            </w:pPr>
          </w:p>
        </w:tc>
        <w:tc>
          <w:tcPr>
            <w:tcW w:w="2312" w:type="dxa"/>
            <w:vAlign w:val="center"/>
          </w:tcPr>
          <w:p w14:paraId="2AAEBDAA">
            <w:pPr>
              <w:tabs>
                <w:tab w:val="left" w:pos="1322"/>
              </w:tabs>
              <w:jc w:val="center"/>
              <w:rPr>
                <w:rFonts w:ascii="宋体" w:hAnsi="宋体" w:cs="宋体"/>
                <w:color w:val="auto"/>
                <w:sz w:val="24"/>
                <w:szCs w:val="24"/>
                <w:highlight w:val="none"/>
              </w:rPr>
            </w:pPr>
          </w:p>
        </w:tc>
      </w:tr>
      <w:tr w14:paraId="1552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973E702">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716" w:type="dxa"/>
            <w:vAlign w:val="center"/>
          </w:tcPr>
          <w:p w14:paraId="05CA501A">
            <w:pPr>
              <w:tabs>
                <w:tab w:val="left" w:pos="1322"/>
              </w:tabs>
              <w:jc w:val="center"/>
              <w:rPr>
                <w:rFonts w:ascii="宋体" w:hAnsi="宋体" w:cs="宋体"/>
                <w:color w:val="auto"/>
                <w:sz w:val="24"/>
                <w:szCs w:val="24"/>
                <w:highlight w:val="none"/>
              </w:rPr>
            </w:pPr>
          </w:p>
        </w:tc>
        <w:tc>
          <w:tcPr>
            <w:tcW w:w="1200" w:type="dxa"/>
            <w:vAlign w:val="center"/>
          </w:tcPr>
          <w:p w14:paraId="27F5972F">
            <w:pPr>
              <w:tabs>
                <w:tab w:val="left" w:pos="1322"/>
              </w:tabs>
              <w:jc w:val="center"/>
              <w:rPr>
                <w:rFonts w:ascii="宋体" w:hAnsi="宋体" w:cs="宋体"/>
                <w:color w:val="auto"/>
                <w:sz w:val="24"/>
                <w:szCs w:val="24"/>
                <w:highlight w:val="none"/>
              </w:rPr>
            </w:pPr>
          </w:p>
        </w:tc>
        <w:tc>
          <w:tcPr>
            <w:tcW w:w="1423" w:type="dxa"/>
            <w:vAlign w:val="center"/>
          </w:tcPr>
          <w:p w14:paraId="0161A59F">
            <w:pPr>
              <w:tabs>
                <w:tab w:val="left" w:pos="1322"/>
              </w:tabs>
              <w:jc w:val="center"/>
              <w:rPr>
                <w:rFonts w:ascii="宋体" w:hAnsi="宋体" w:cs="宋体"/>
                <w:color w:val="auto"/>
                <w:sz w:val="24"/>
                <w:szCs w:val="24"/>
                <w:highlight w:val="none"/>
              </w:rPr>
            </w:pPr>
          </w:p>
        </w:tc>
        <w:tc>
          <w:tcPr>
            <w:tcW w:w="1807" w:type="dxa"/>
            <w:vAlign w:val="center"/>
          </w:tcPr>
          <w:p w14:paraId="12958642">
            <w:pPr>
              <w:tabs>
                <w:tab w:val="left" w:pos="1322"/>
              </w:tabs>
              <w:jc w:val="center"/>
              <w:rPr>
                <w:rFonts w:ascii="宋体" w:hAnsi="宋体" w:cs="宋体"/>
                <w:color w:val="auto"/>
                <w:sz w:val="24"/>
                <w:szCs w:val="24"/>
                <w:highlight w:val="none"/>
              </w:rPr>
            </w:pPr>
          </w:p>
        </w:tc>
        <w:tc>
          <w:tcPr>
            <w:tcW w:w="2312" w:type="dxa"/>
            <w:vAlign w:val="center"/>
          </w:tcPr>
          <w:p w14:paraId="3DF46DDA">
            <w:pPr>
              <w:tabs>
                <w:tab w:val="left" w:pos="1322"/>
              </w:tabs>
              <w:jc w:val="center"/>
              <w:rPr>
                <w:rFonts w:ascii="宋体" w:hAnsi="宋体" w:cs="宋体"/>
                <w:color w:val="auto"/>
                <w:sz w:val="24"/>
                <w:szCs w:val="24"/>
                <w:highlight w:val="none"/>
              </w:rPr>
            </w:pPr>
          </w:p>
        </w:tc>
      </w:tr>
      <w:tr w14:paraId="079E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1B14E6EA">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1716" w:type="dxa"/>
            <w:vAlign w:val="center"/>
          </w:tcPr>
          <w:p w14:paraId="5CABC8E8">
            <w:pPr>
              <w:tabs>
                <w:tab w:val="left" w:pos="1322"/>
              </w:tabs>
              <w:jc w:val="center"/>
              <w:rPr>
                <w:rFonts w:ascii="宋体" w:hAnsi="宋体" w:cs="宋体"/>
                <w:color w:val="auto"/>
                <w:sz w:val="24"/>
                <w:szCs w:val="24"/>
                <w:highlight w:val="none"/>
              </w:rPr>
            </w:pPr>
          </w:p>
        </w:tc>
        <w:tc>
          <w:tcPr>
            <w:tcW w:w="1200" w:type="dxa"/>
            <w:vAlign w:val="center"/>
          </w:tcPr>
          <w:p w14:paraId="01E3A46A">
            <w:pPr>
              <w:tabs>
                <w:tab w:val="left" w:pos="1322"/>
              </w:tabs>
              <w:jc w:val="center"/>
              <w:rPr>
                <w:rFonts w:ascii="宋体" w:hAnsi="宋体" w:cs="宋体"/>
                <w:color w:val="auto"/>
                <w:sz w:val="24"/>
                <w:szCs w:val="24"/>
                <w:highlight w:val="none"/>
              </w:rPr>
            </w:pPr>
          </w:p>
        </w:tc>
        <w:tc>
          <w:tcPr>
            <w:tcW w:w="1423" w:type="dxa"/>
            <w:vAlign w:val="center"/>
          </w:tcPr>
          <w:p w14:paraId="23B323C2">
            <w:pPr>
              <w:tabs>
                <w:tab w:val="left" w:pos="1322"/>
              </w:tabs>
              <w:jc w:val="center"/>
              <w:rPr>
                <w:rFonts w:ascii="宋体" w:hAnsi="宋体" w:cs="宋体"/>
                <w:color w:val="auto"/>
                <w:sz w:val="24"/>
                <w:szCs w:val="24"/>
                <w:highlight w:val="none"/>
              </w:rPr>
            </w:pPr>
          </w:p>
        </w:tc>
        <w:tc>
          <w:tcPr>
            <w:tcW w:w="1807" w:type="dxa"/>
            <w:vAlign w:val="center"/>
          </w:tcPr>
          <w:p w14:paraId="7574F9AE">
            <w:pPr>
              <w:tabs>
                <w:tab w:val="left" w:pos="1322"/>
              </w:tabs>
              <w:jc w:val="center"/>
              <w:rPr>
                <w:rFonts w:ascii="宋体" w:hAnsi="宋体" w:cs="宋体"/>
                <w:color w:val="auto"/>
                <w:sz w:val="24"/>
                <w:szCs w:val="24"/>
                <w:highlight w:val="none"/>
              </w:rPr>
            </w:pPr>
          </w:p>
        </w:tc>
        <w:tc>
          <w:tcPr>
            <w:tcW w:w="2312" w:type="dxa"/>
            <w:vAlign w:val="center"/>
          </w:tcPr>
          <w:p w14:paraId="40587603">
            <w:pPr>
              <w:tabs>
                <w:tab w:val="left" w:pos="1322"/>
              </w:tabs>
              <w:jc w:val="center"/>
              <w:rPr>
                <w:rFonts w:ascii="宋体" w:hAnsi="宋体" w:cs="宋体"/>
                <w:color w:val="auto"/>
                <w:sz w:val="24"/>
                <w:szCs w:val="24"/>
                <w:highlight w:val="none"/>
              </w:rPr>
            </w:pPr>
          </w:p>
        </w:tc>
      </w:tr>
      <w:tr w14:paraId="6F4A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7C828F15">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1716" w:type="dxa"/>
            <w:vAlign w:val="center"/>
          </w:tcPr>
          <w:p w14:paraId="755CAF52">
            <w:pPr>
              <w:tabs>
                <w:tab w:val="left" w:pos="1322"/>
              </w:tabs>
              <w:jc w:val="center"/>
              <w:rPr>
                <w:rFonts w:ascii="宋体" w:hAnsi="宋体" w:cs="宋体"/>
                <w:color w:val="auto"/>
                <w:sz w:val="24"/>
                <w:szCs w:val="24"/>
                <w:highlight w:val="none"/>
              </w:rPr>
            </w:pPr>
          </w:p>
        </w:tc>
        <w:tc>
          <w:tcPr>
            <w:tcW w:w="1200" w:type="dxa"/>
            <w:vAlign w:val="center"/>
          </w:tcPr>
          <w:p w14:paraId="66393EC5">
            <w:pPr>
              <w:tabs>
                <w:tab w:val="left" w:pos="1322"/>
              </w:tabs>
              <w:jc w:val="center"/>
              <w:rPr>
                <w:rFonts w:ascii="宋体" w:hAnsi="宋体" w:cs="宋体"/>
                <w:color w:val="auto"/>
                <w:sz w:val="24"/>
                <w:szCs w:val="24"/>
                <w:highlight w:val="none"/>
              </w:rPr>
            </w:pPr>
          </w:p>
        </w:tc>
        <w:tc>
          <w:tcPr>
            <w:tcW w:w="1423" w:type="dxa"/>
            <w:vAlign w:val="center"/>
          </w:tcPr>
          <w:p w14:paraId="6147F1FE">
            <w:pPr>
              <w:tabs>
                <w:tab w:val="left" w:pos="1322"/>
              </w:tabs>
              <w:jc w:val="center"/>
              <w:rPr>
                <w:rFonts w:ascii="宋体" w:hAnsi="宋体" w:cs="宋体"/>
                <w:color w:val="auto"/>
                <w:sz w:val="24"/>
                <w:szCs w:val="24"/>
                <w:highlight w:val="none"/>
              </w:rPr>
            </w:pPr>
          </w:p>
        </w:tc>
        <w:tc>
          <w:tcPr>
            <w:tcW w:w="1807" w:type="dxa"/>
            <w:vAlign w:val="center"/>
          </w:tcPr>
          <w:p w14:paraId="5CE88DED">
            <w:pPr>
              <w:tabs>
                <w:tab w:val="left" w:pos="1322"/>
              </w:tabs>
              <w:jc w:val="center"/>
              <w:rPr>
                <w:rFonts w:ascii="宋体" w:hAnsi="宋体" w:cs="宋体"/>
                <w:color w:val="auto"/>
                <w:sz w:val="24"/>
                <w:szCs w:val="24"/>
                <w:highlight w:val="none"/>
              </w:rPr>
            </w:pPr>
          </w:p>
        </w:tc>
        <w:tc>
          <w:tcPr>
            <w:tcW w:w="2312" w:type="dxa"/>
            <w:vAlign w:val="center"/>
          </w:tcPr>
          <w:p w14:paraId="13383548">
            <w:pPr>
              <w:tabs>
                <w:tab w:val="left" w:pos="1322"/>
              </w:tabs>
              <w:jc w:val="center"/>
              <w:rPr>
                <w:rFonts w:ascii="宋体" w:hAnsi="宋体" w:cs="宋体"/>
                <w:color w:val="auto"/>
                <w:sz w:val="24"/>
                <w:szCs w:val="24"/>
                <w:highlight w:val="none"/>
              </w:rPr>
            </w:pPr>
          </w:p>
        </w:tc>
      </w:tr>
      <w:tr w14:paraId="7A8B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14:paraId="49450702">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1716" w:type="dxa"/>
            <w:vAlign w:val="center"/>
          </w:tcPr>
          <w:p w14:paraId="7C9291F4">
            <w:pPr>
              <w:tabs>
                <w:tab w:val="left" w:pos="1322"/>
              </w:tabs>
              <w:jc w:val="center"/>
              <w:rPr>
                <w:rFonts w:ascii="宋体" w:hAnsi="宋体" w:cs="宋体"/>
                <w:color w:val="auto"/>
                <w:sz w:val="24"/>
                <w:szCs w:val="24"/>
                <w:highlight w:val="none"/>
              </w:rPr>
            </w:pPr>
          </w:p>
        </w:tc>
        <w:tc>
          <w:tcPr>
            <w:tcW w:w="1200" w:type="dxa"/>
            <w:vAlign w:val="center"/>
          </w:tcPr>
          <w:p w14:paraId="4D5F7A0B">
            <w:pPr>
              <w:tabs>
                <w:tab w:val="left" w:pos="1322"/>
              </w:tabs>
              <w:jc w:val="center"/>
              <w:rPr>
                <w:rFonts w:ascii="宋体" w:hAnsi="宋体" w:cs="宋体"/>
                <w:color w:val="auto"/>
                <w:sz w:val="24"/>
                <w:szCs w:val="24"/>
                <w:highlight w:val="none"/>
              </w:rPr>
            </w:pPr>
          </w:p>
        </w:tc>
        <w:tc>
          <w:tcPr>
            <w:tcW w:w="1423" w:type="dxa"/>
            <w:vAlign w:val="center"/>
          </w:tcPr>
          <w:p w14:paraId="37E7E326">
            <w:pPr>
              <w:tabs>
                <w:tab w:val="left" w:pos="1322"/>
              </w:tabs>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807" w:type="dxa"/>
            <w:vAlign w:val="center"/>
          </w:tcPr>
          <w:p w14:paraId="7315C80A">
            <w:pPr>
              <w:tabs>
                <w:tab w:val="left" w:pos="1322"/>
              </w:tabs>
              <w:jc w:val="center"/>
              <w:rPr>
                <w:rFonts w:ascii="宋体" w:hAnsi="宋体" w:cs="宋体"/>
                <w:color w:val="auto"/>
                <w:sz w:val="24"/>
                <w:szCs w:val="24"/>
                <w:highlight w:val="none"/>
              </w:rPr>
            </w:pPr>
          </w:p>
        </w:tc>
        <w:tc>
          <w:tcPr>
            <w:tcW w:w="2312" w:type="dxa"/>
            <w:vAlign w:val="center"/>
          </w:tcPr>
          <w:p w14:paraId="47DAFC8D">
            <w:pPr>
              <w:tabs>
                <w:tab w:val="left" w:pos="1322"/>
              </w:tabs>
              <w:jc w:val="center"/>
              <w:rPr>
                <w:rFonts w:ascii="宋体" w:hAnsi="宋体" w:cs="宋体"/>
                <w:color w:val="auto"/>
                <w:sz w:val="24"/>
                <w:szCs w:val="24"/>
                <w:highlight w:val="none"/>
              </w:rPr>
            </w:pPr>
          </w:p>
        </w:tc>
      </w:tr>
    </w:tbl>
    <w:p w14:paraId="64AE86A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本表后应按综合评分表备注要求附相关证明文件复印件</w:t>
      </w:r>
      <w:r>
        <w:rPr>
          <w:rFonts w:hint="eastAsia" w:ascii="宋体" w:hAnsi="宋体" w:cs="宋体"/>
          <w:color w:val="auto"/>
          <w:szCs w:val="21"/>
          <w:highlight w:val="none"/>
          <w:lang w:val="zh-CN"/>
        </w:rPr>
        <w:t>。</w:t>
      </w:r>
    </w:p>
    <w:p w14:paraId="30552010">
      <w:pPr>
        <w:tabs>
          <w:tab w:val="left" w:pos="1260"/>
        </w:tabs>
        <w:adjustRightInd w:val="0"/>
        <w:snapToGrid w:val="0"/>
        <w:spacing w:line="360" w:lineRule="auto"/>
        <w:rPr>
          <w:rFonts w:ascii="宋体" w:hAnsi="宋体" w:cs="宋体"/>
          <w:b/>
          <w:color w:val="auto"/>
          <w:sz w:val="24"/>
          <w:szCs w:val="24"/>
          <w:highlight w:val="none"/>
        </w:rPr>
      </w:pPr>
    </w:p>
    <w:p w14:paraId="1E22BF35">
      <w:pPr>
        <w:tabs>
          <w:tab w:val="left" w:pos="13320"/>
        </w:tabs>
        <w:snapToGrid w:val="0"/>
        <w:spacing w:line="360" w:lineRule="auto"/>
        <w:ind w:left="718" w:leftChars="342" w:right="-52" w:firstLine="2635" w:firstLineChars="1098"/>
        <w:rPr>
          <w:rFonts w:ascii="宋体" w:hAnsi="宋体" w:cs="宋体"/>
          <w:color w:val="auto"/>
          <w:sz w:val="24"/>
          <w:szCs w:val="24"/>
          <w:highlight w:val="none"/>
        </w:rPr>
      </w:pPr>
    </w:p>
    <w:p w14:paraId="35B7CFF3">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14:paraId="23406BE7">
      <w:pPr>
        <w:tabs>
          <w:tab w:val="left" w:pos="13320"/>
        </w:tabs>
        <w:snapToGrid w:val="0"/>
        <w:spacing w:line="360" w:lineRule="auto"/>
        <w:ind w:left="2100" w:right="-52" w:firstLine="42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14:paraId="3CEF99F7">
      <w:pPr>
        <w:widowControl/>
        <w:ind w:left="2100" w:firstLine="420"/>
        <w:jc w:val="left"/>
        <w:rPr>
          <w:rFonts w:ascii="宋体" w:hAnsi="宋体" w:cs="宋体"/>
          <w:color w:val="auto"/>
          <w:kern w:val="0"/>
          <w:szCs w:val="21"/>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3692700">
      <w:pPr>
        <w:rPr>
          <w:rFonts w:ascii="宋体" w:hAnsi="宋体" w:cs="宋体"/>
          <w:b/>
          <w:color w:val="auto"/>
          <w:sz w:val="28"/>
          <w:szCs w:val="28"/>
          <w:highlight w:val="none"/>
        </w:rPr>
      </w:pPr>
    </w:p>
    <w:p w14:paraId="3D266887">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highlight w:val="none"/>
        </w:rPr>
        <w:br w:type="page"/>
      </w:r>
      <w:r>
        <w:rPr>
          <w:rFonts w:hint="eastAsia" w:ascii="宋体" w:hAnsi="宋体" w:cs="宋体"/>
          <w:color w:val="auto"/>
          <w:sz w:val="24"/>
          <w:szCs w:val="24"/>
          <w:highlight w:val="none"/>
        </w:rPr>
        <w:t>附件九</w:t>
      </w:r>
    </w:p>
    <w:p w14:paraId="22A9479D">
      <w:pPr>
        <w:pStyle w:val="29"/>
        <w:spacing w:line="360" w:lineRule="auto"/>
        <w:jc w:val="center"/>
        <w:rPr>
          <w:rFonts w:hAnsi="宋体" w:eastAsia="宋体" w:cs="宋体"/>
          <w:b/>
          <w:bCs/>
          <w:color w:val="auto"/>
          <w:sz w:val="28"/>
          <w:szCs w:val="28"/>
          <w:highlight w:val="none"/>
        </w:rPr>
      </w:pPr>
      <w:r>
        <w:rPr>
          <w:rFonts w:hint="eastAsia" w:hAnsi="宋体" w:eastAsia="宋体" w:cs="宋体"/>
          <w:b/>
          <w:bCs/>
          <w:color w:val="auto"/>
          <w:sz w:val="28"/>
          <w:szCs w:val="28"/>
          <w:highlight w:val="none"/>
        </w:rPr>
        <w:t>报价人声明</w:t>
      </w:r>
    </w:p>
    <w:p w14:paraId="6DC5EDBE">
      <w:pPr>
        <w:spacing w:line="360" w:lineRule="auto"/>
        <w:rPr>
          <w:rFonts w:ascii="宋体" w:hAnsi="宋体" w:cs="宋体"/>
          <w:color w:val="auto"/>
          <w:sz w:val="24"/>
          <w:szCs w:val="24"/>
          <w:highlight w:val="none"/>
        </w:rPr>
      </w:pPr>
    </w:p>
    <w:p w14:paraId="32E63B57">
      <w:pPr>
        <w:spacing w:line="360" w:lineRule="auto"/>
        <w:rPr>
          <w:rFonts w:ascii="宋体" w:hAnsi="宋体" w:cs="宋体"/>
          <w:color w:val="auto"/>
          <w:sz w:val="24"/>
          <w:highlight w:val="none"/>
        </w:rPr>
      </w:pPr>
      <w:r>
        <w:rPr>
          <w:rFonts w:hint="eastAsia" w:ascii="宋体" w:hAnsi="宋体" w:cs="宋体"/>
          <w:color w:val="auto"/>
          <w:sz w:val="24"/>
          <w:highlight w:val="none"/>
        </w:rPr>
        <w:t>本项目询比人：</w:t>
      </w:r>
      <w:r>
        <w:rPr>
          <w:rFonts w:hint="eastAsia" w:ascii="宋体" w:hAnsi="宋体" w:cs="宋体"/>
          <w:color w:val="auto"/>
          <w:sz w:val="24"/>
          <w:szCs w:val="24"/>
          <w:highlight w:val="none"/>
          <w:u w:val="single"/>
        </w:rPr>
        <w:t>广州市荔湾区建设工程项目代建中心</w:t>
      </w:r>
    </w:p>
    <w:p w14:paraId="2EFF6787">
      <w:pPr>
        <w:spacing w:line="360" w:lineRule="auto"/>
        <w:rPr>
          <w:rFonts w:ascii="宋体" w:hAnsi="宋体" w:cs="宋体"/>
          <w:color w:val="auto"/>
          <w:sz w:val="24"/>
          <w:highlight w:val="none"/>
        </w:rPr>
      </w:pPr>
      <w:r>
        <w:rPr>
          <w:rFonts w:hint="eastAsia" w:ascii="宋体" w:hAnsi="宋体" w:cs="宋体"/>
          <w:color w:val="auto"/>
          <w:sz w:val="24"/>
          <w:highlight w:val="none"/>
        </w:rPr>
        <w:t>本公司就参加</w:t>
      </w:r>
      <w:r>
        <w:rPr>
          <w:rFonts w:hint="eastAsia" w:ascii="宋体" w:hAnsi="宋体" w:cs="宋体"/>
          <w:color w:val="auto"/>
          <w:sz w:val="24"/>
          <w:szCs w:val="24"/>
          <w:highlight w:val="none"/>
          <w:u w:val="single"/>
        </w:rPr>
        <w:t>广州市美华中学改扩建工程招标代理服务</w:t>
      </w:r>
      <w:r>
        <w:rPr>
          <w:rFonts w:hint="eastAsia" w:ascii="宋体" w:hAnsi="宋体" w:cs="宋体"/>
          <w:color w:val="auto"/>
          <w:sz w:val="24"/>
          <w:highlight w:val="none"/>
        </w:rPr>
        <w:t>询比活动，作出郑重声明：</w:t>
      </w:r>
    </w:p>
    <w:p w14:paraId="61BAA7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一、本公司保证本次询比活动所提供的一切材料都是真实、准确且合法有效的。</w:t>
      </w:r>
    </w:p>
    <w:p w14:paraId="3909E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二、本公司保证在本次询比活动中不与其他单位围标、串标，不出让询比资格，不向询比单位或评审人员行贿。</w:t>
      </w:r>
    </w:p>
    <w:p w14:paraId="51E8C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公司没有处于被责令停业的状态；没有处于被建设行政主管部门取消投标资格的处罚期内；没有处于财产被接管、冻结、破产的状态；本公司未被各级企业信用信息公示系统列入失信被执行人名单；在报价文件递交截止时间前三年内，本公司及法定代表人、拟委派的项目团队成员无行贿犯罪行为的记录；在报价文件递交截止时间前三年内，本公司在经营活动中未出现违法违规等不良记录，无弄虚作假骗取中标、围标串标行为；在报价文件递交截止时间前三年内没有建设行政主管部门已书面认定的重大工程质量问题；本公司未在以往项目中因不诚信行为或不充分履约行为被本项目询比人书面拒绝；本公司未被纳入联合惩戒范围。</w:t>
      </w:r>
    </w:p>
    <w:p w14:paraId="3F630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本公司承诺不存在以下情形：与本公司单位负责人为同一人或者存在直接控股、管理关系的不同报价人，同时参加本项目报价。为本项目提供整体设计、规范编制或者项目管理、监理、检测等服务的报价人，再参与本项目报价的。</w:t>
      </w:r>
    </w:p>
    <w:p w14:paraId="2B45B05A">
      <w:pPr>
        <w:pStyle w:val="9"/>
        <w:spacing w:line="360" w:lineRule="auto"/>
        <w:ind w:left="0" w:leftChars="0" w:right="0" w:rightChars="0" w:firstLine="480" w:firstLineChars="200"/>
        <w:rPr>
          <w:rFonts w:ascii="宋体" w:hAnsi="宋体" w:cs="宋体"/>
          <w:color w:val="auto"/>
          <w:szCs w:val="22"/>
          <w:highlight w:val="none"/>
        </w:rPr>
      </w:pPr>
      <w:r>
        <w:rPr>
          <w:rFonts w:hint="eastAsia" w:ascii="宋体" w:hAnsi="宋体" w:cs="宋体"/>
          <w:color w:val="auto"/>
          <w:szCs w:val="22"/>
          <w:highlight w:val="none"/>
        </w:rPr>
        <w:t>本公司违反上述保证或本声明陈述与事实不符，经查实，如果中选本公司自愿取消本项目中选资格，并承担由此带来的法律后果。</w:t>
      </w:r>
    </w:p>
    <w:p w14:paraId="73D0341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7661D058">
      <w:pPr>
        <w:adjustRightInd w:val="0"/>
        <w:snapToGrid w:val="0"/>
        <w:spacing w:line="360" w:lineRule="auto"/>
        <w:ind w:firstLine="482" w:firstLineChars="200"/>
        <w:rPr>
          <w:rFonts w:ascii="宋体" w:hAnsi="宋体" w:cs="宋体"/>
          <w:b/>
          <w:bCs/>
          <w:color w:val="auto"/>
          <w:sz w:val="24"/>
          <w:szCs w:val="24"/>
          <w:highlight w:val="none"/>
        </w:rPr>
      </w:pPr>
    </w:p>
    <w:p w14:paraId="250251BE">
      <w:pPr>
        <w:adjustRightInd w:val="0"/>
        <w:snapToGrid w:val="0"/>
        <w:spacing w:line="360" w:lineRule="auto"/>
        <w:ind w:firstLine="482" w:firstLineChars="200"/>
        <w:rPr>
          <w:rFonts w:ascii="宋体" w:hAnsi="宋体" w:cs="宋体"/>
          <w:b/>
          <w:bCs/>
          <w:color w:val="auto"/>
          <w:sz w:val="24"/>
          <w:szCs w:val="24"/>
          <w:highlight w:val="none"/>
        </w:rPr>
      </w:pPr>
    </w:p>
    <w:p w14:paraId="6A6D7F80">
      <w:pPr>
        <w:tabs>
          <w:tab w:val="left" w:pos="13320"/>
        </w:tabs>
        <w:snapToGrid w:val="0"/>
        <w:spacing w:line="360" w:lineRule="auto"/>
        <w:ind w:left="718" w:leftChars="342" w:right="-52" w:firstLine="3112" w:firstLineChars="1297"/>
        <w:rPr>
          <w:rFonts w:ascii="宋体" w:hAnsi="宋体" w:cs="宋体"/>
          <w:color w:val="auto"/>
          <w:sz w:val="24"/>
          <w:szCs w:val="24"/>
          <w:highlight w:val="none"/>
          <w:u w:val="single"/>
        </w:rPr>
      </w:pPr>
      <w:r>
        <w:rPr>
          <w:rFonts w:hint="eastAsia" w:ascii="宋体" w:hAnsi="宋体" w:cs="宋体"/>
          <w:color w:val="auto"/>
          <w:sz w:val="24"/>
          <w:szCs w:val="24"/>
          <w:highlight w:val="none"/>
        </w:rPr>
        <w:t>报价人（公章）：</w:t>
      </w:r>
    </w:p>
    <w:p w14:paraId="0082ABF3">
      <w:pPr>
        <w:tabs>
          <w:tab w:val="left" w:pos="13320"/>
        </w:tabs>
        <w:snapToGrid w:val="0"/>
        <w:spacing w:line="360" w:lineRule="auto"/>
        <w:ind w:left="718" w:leftChars="342" w:right="-52" w:firstLine="3112" w:firstLineChars="1297"/>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p>
    <w:p w14:paraId="4DFD7EB8">
      <w:pPr>
        <w:pStyle w:val="26"/>
        <w:spacing w:line="360" w:lineRule="auto"/>
        <w:ind w:left="3360" w:firstLine="42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11C514AC">
      <w:pPr>
        <w:pStyle w:val="29"/>
        <w:spacing w:line="360" w:lineRule="auto"/>
        <w:jc w:val="center"/>
        <w:rPr>
          <w:rFonts w:hAnsi="宋体" w:eastAsia="宋体" w:cs="宋体"/>
          <w:b/>
          <w:bCs/>
          <w:color w:val="auto"/>
          <w:sz w:val="24"/>
          <w:szCs w:val="24"/>
          <w:highlight w:val="none"/>
        </w:rPr>
        <w:sectPr>
          <w:pgSz w:w="11906" w:h="16838"/>
          <w:pgMar w:top="1417" w:right="1134" w:bottom="1134" w:left="1417" w:header="851" w:footer="992" w:gutter="0"/>
          <w:cols w:space="720" w:num="1"/>
          <w:titlePg/>
          <w:docGrid w:type="lines" w:linePitch="317" w:charSpace="0"/>
        </w:sectPr>
      </w:pPr>
    </w:p>
    <w:p w14:paraId="7C0E9A3F">
      <w:pPr>
        <w:pStyle w:val="26"/>
        <w:spacing w:before="156" w:beforeLines="50" w:after="156" w:afterLines="50" w:line="360" w:lineRule="auto"/>
        <w:ind w:firstLine="562" w:firstLineChars="200"/>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shd w:val="clear" w:color="auto" w:fill="FFFFFF"/>
        </w:rPr>
        <w:t>第四章  合同</w:t>
      </w:r>
      <w:bookmarkEnd w:id="6"/>
      <w:bookmarkEnd w:id="7"/>
    </w:p>
    <w:p w14:paraId="38342060">
      <w:pPr>
        <w:adjustRightInd w:val="0"/>
        <w:snapToGrid w:val="0"/>
        <w:jc w:val="center"/>
        <w:rPr>
          <w:rFonts w:ascii="黑体" w:hAnsi="Times New Roman" w:eastAsia="黑体"/>
          <w:bCs/>
          <w:color w:val="auto"/>
          <w:spacing w:val="-30"/>
          <w:sz w:val="84"/>
          <w:szCs w:val="84"/>
          <w:highlight w:val="none"/>
        </w:rPr>
      </w:pPr>
    </w:p>
    <w:p w14:paraId="00D214EA">
      <w:pPr>
        <w:spacing w:line="480" w:lineRule="auto"/>
        <w:jc w:val="center"/>
        <w:rPr>
          <w:rFonts w:ascii="黑体" w:hAnsi="宋体" w:eastAsia="黑体"/>
          <w:b/>
          <w:bCs/>
          <w:color w:val="auto"/>
          <w:sz w:val="72"/>
          <w:highlight w:val="none"/>
        </w:rPr>
      </w:pPr>
    </w:p>
    <w:p w14:paraId="3B8B1FAE">
      <w:pPr>
        <w:spacing w:line="480" w:lineRule="auto"/>
        <w:jc w:val="center"/>
        <w:rPr>
          <w:rFonts w:ascii="黑体" w:hAnsi="宋体" w:eastAsia="黑体"/>
          <w:b/>
          <w:bCs/>
          <w:color w:val="auto"/>
          <w:sz w:val="72"/>
          <w:highlight w:val="none"/>
        </w:rPr>
      </w:pPr>
      <w:r>
        <w:rPr>
          <w:rFonts w:hint="eastAsia" w:ascii="黑体" w:hAnsi="宋体" w:eastAsia="黑体"/>
          <w:b/>
          <w:bCs/>
          <w:color w:val="auto"/>
          <w:sz w:val="72"/>
          <w:highlight w:val="none"/>
        </w:rPr>
        <w:t>建设工程招标代理合同</w:t>
      </w:r>
    </w:p>
    <w:p w14:paraId="2B74F9BE">
      <w:pPr>
        <w:spacing w:line="400" w:lineRule="exact"/>
        <w:ind w:firstLine="240"/>
        <w:rPr>
          <w:rFonts w:ascii="黑体" w:hAnsi="宋体" w:eastAsia="黑体"/>
          <w:b/>
          <w:bCs/>
          <w:color w:val="auto"/>
          <w:sz w:val="72"/>
          <w:highlight w:val="none"/>
        </w:rPr>
      </w:pPr>
    </w:p>
    <w:p w14:paraId="5615A7A7">
      <w:pPr>
        <w:spacing w:line="400" w:lineRule="exact"/>
        <w:ind w:firstLine="240"/>
        <w:rPr>
          <w:rFonts w:ascii="仿宋_GB2312" w:hAnsi="宋体" w:eastAsia="仿宋_GB2312"/>
          <w:b/>
          <w:bCs/>
          <w:color w:val="auto"/>
          <w:highlight w:val="none"/>
        </w:rPr>
      </w:pPr>
      <w:r>
        <w:rPr>
          <w:rFonts w:hint="eastAsia" w:ascii="仿宋_GB2312" w:hAnsi="宋体" w:eastAsia="仿宋_GB2312"/>
          <w:b/>
          <w:bCs/>
          <w:color w:val="auto"/>
          <w:highlight w:val="none"/>
        </w:rPr>
        <w:t xml:space="preserve">                            荔住建合字</w:t>
      </w:r>
      <w:r>
        <w:rPr>
          <w:rFonts w:ascii="仿宋_GB2312" w:hAnsi="宋体" w:eastAsia="仿宋_GB2312"/>
          <w:b/>
          <w:bCs/>
          <w:color w:val="auto"/>
          <w:highlight w:val="none"/>
        </w:rPr>
        <w:t>〔202</w:t>
      </w:r>
      <w:r>
        <w:rPr>
          <w:rFonts w:hint="eastAsia" w:ascii="仿宋_GB2312" w:hAnsi="宋体" w:eastAsia="仿宋_GB2312"/>
          <w:b/>
          <w:bCs/>
          <w:color w:val="auto"/>
          <w:highlight w:val="none"/>
        </w:rPr>
        <w:t>5</w:t>
      </w:r>
      <w:r>
        <w:rPr>
          <w:rFonts w:ascii="仿宋_GB2312" w:hAnsi="宋体" w:eastAsia="仿宋_GB2312"/>
          <w:b/>
          <w:bCs/>
          <w:color w:val="auto"/>
          <w:highlight w:val="none"/>
        </w:rPr>
        <w:t>〕</w:t>
      </w:r>
      <w:r>
        <w:rPr>
          <w:rFonts w:hint="eastAsia" w:ascii="仿宋_GB2312" w:hAnsi="宋体" w:eastAsia="仿宋_GB2312"/>
          <w:b/>
          <w:bCs/>
          <w:color w:val="auto"/>
          <w:highlight w:val="none"/>
        </w:rPr>
        <w:t xml:space="preserve">   号</w:t>
      </w:r>
    </w:p>
    <w:p w14:paraId="13AA2012">
      <w:pPr>
        <w:spacing w:line="400" w:lineRule="exact"/>
        <w:ind w:firstLine="240"/>
        <w:rPr>
          <w:rFonts w:ascii="仿宋_GB2312" w:hAnsi="宋体" w:eastAsia="仿宋_GB2312"/>
          <w:b/>
          <w:bCs/>
          <w:color w:val="auto"/>
          <w:highlight w:val="none"/>
        </w:rPr>
      </w:pPr>
    </w:p>
    <w:p w14:paraId="28D7559B">
      <w:pPr>
        <w:spacing w:line="400" w:lineRule="exact"/>
        <w:ind w:firstLine="240"/>
        <w:rPr>
          <w:rFonts w:ascii="仿宋_GB2312" w:hAnsi="宋体" w:eastAsia="仿宋_GB2312"/>
          <w:b/>
          <w:bCs/>
          <w:color w:val="auto"/>
          <w:highlight w:val="none"/>
        </w:rPr>
      </w:pPr>
    </w:p>
    <w:p w14:paraId="004A6274">
      <w:pPr>
        <w:spacing w:line="400" w:lineRule="exact"/>
        <w:ind w:firstLine="240"/>
        <w:rPr>
          <w:rFonts w:ascii="仿宋_GB2312" w:hAnsi="宋体" w:eastAsia="仿宋_GB2312"/>
          <w:b/>
          <w:bCs/>
          <w:color w:val="auto"/>
          <w:highlight w:val="none"/>
        </w:rPr>
      </w:pPr>
    </w:p>
    <w:p w14:paraId="2832C359">
      <w:pPr>
        <w:spacing w:line="400" w:lineRule="exact"/>
        <w:ind w:firstLine="240"/>
        <w:rPr>
          <w:rFonts w:ascii="仿宋_GB2312" w:hAnsi="宋体" w:eastAsia="仿宋_GB2312"/>
          <w:b/>
          <w:bCs/>
          <w:color w:val="auto"/>
          <w:highlight w:val="none"/>
        </w:rPr>
      </w:pPr>
    </w:p>
    <w:p w14:paraId="2D8E1F80">
      <w:pPr>
        <w:spacing w:line="400" w:lineRule="exact"/>
        <w:ind w:firstLine="240"/>
        <w:rPr>
          <w:rFonts w:ascii="仿宋_GB2312" w:hAnsi="宋体" w:eastAsia="仿宋_GB2312"/>
          <w:b/>
          <w:bCs/>
          <w:color w:val="auto"/>
          <w:highlight w:val="none"/>
        </w:rPr>
      </w:pPr>
    </w:p>
    <w:p w14:paraId="5535134A">
      <w:pPr>
        <w:spacing w:line="400" w:lineRule="exact"/>
        <w:ind w:firstLine="240"/>
        <w:rPr>
          <w:rFonts w:ascii="仿宋_GB2312" w:hAnsi="宋体" w:eastAsia="仿宋_GB2312"/>
          <w:b/>
          <w:bCs/>
          <w:color w:val="auto"/>
          <w:highlight w:val="none"/>
        </w:rPr>
      </w:pPr>
    </w:p>
    <w:p w14:paraId="3758442C">
      <w:pPr>
        <w:spacing w:line="400" w:lineRule="exact"/>
        <w:ind w:firstLine="240"/>
        <w:rPr>
          <w:rFonts w:ascii="仿宋_GB2312" w:hAnsi="宋体" w:eastAsia="仿宋_GB2312"/>
          <w:b/>
          <w:bCs/>
          <w:color w:val="auto"/>
          <w:highlight w:val="none"/>
        </w:rPr>
      </w:pPr>
    </w:p>
    <w:p w14:paraId="5518BA34">
      <w:pPr>
        <w:spacing w:line="360" w:lineRule="auto"/>
        <w:ind w:firstLine="240"/>
        <w:rPr>
          <w:rFonts w:ascii="仿宋_GB2312" w:hAnsi="宋体" w:eastAsia="仿宋_GB2312"/>
          <w:b/>
          <w:bCs/>
          <w:color w:val="auto"/>
          <w:sz w:val="32"/>
          <w:highlight w:val="none"/>
        </w:rPr>
      </w:pPr>
    </w:p>
    <w:p w14:paraId="4E9DBBEF">
      <w:pPr>
        <w:spacing w:line="360" w:lineRule="auto"/>
        <w:ind w:firstLine="240"/>
        <w:rPr>
          <w:rFonts w:ascii="仿宋_GB2312" w:hAnsi="宋体" w:eastAsia="仿宋_GB2312"/>
          <w:b/>
          <w:bCs/>
          <w:color w:val="auto"/>
          <w:sz w:val="32"/>
          <w:highlight w:val="none"/>
        </w:rPr>
      </w:pPr>
    </w:p>
    <w:p w14:paraId="12433D54">
      <w:pPr>
        <w:spacing w:line="360" w:lineRule="auto"/>
        <w:ind w:firstLine="240"/>
        <w:rPr>
          <w:rFonts w:ascii="仿宋_GB2312" w:hAnsi="宋体" w:eastAsia="仿宋_GB2312"/>
          <w:b/>
          <w:bCs/>
          <w:color w:val="auto"/>
          <w:sz w:val="32"/>
          <w:highlight w:val="none"/>
        </w:rPr>
      </w:pPr>
    </w:p>
    <w:p w14:paraId="0F88019C">
      <w:pPr>
        <w:spacing w:line="360" w:lineRule="auto"/>
        <w:ind w:firstLine="240"/>
        <w:rPr>
          <w:rFonts w:ascii="仿宋_GB2312" w:hAnsi="宋体" w:eastAsia="仿宋_GB2312"/>
          <w:b/>
          <w:bCs/>
          <w:color w:val="auto"/>
          <w:sz w:val="32"/>
          <w:highlight w:val="none"/>
        </w:rPr>
      </w:pPr>
    </w:p>
    <w:p w14:paraId="39E39A32">
      <w:pPr>
        <w:spacing w:line="360" w:lineRule="auto"/>
        <w:ind w:firstLine="240"/>
        <w:rPr>
          <w:rFonts w:ascii="仿宋_GB2312" w:hAnsi="宋体" w:eastAsia="仿宋_GB2312"/>
          <w:b/>
          <w:bCs/>
          <w:color w:val="auto"/>
          <w:sz w:val="32"/>
          <w:highlight w:val="none"/>
        </w:rPr>
      </w:pPr>
    </w:p>
    <w:p w14:paraId="4036E758">
      <w:pPr>
        <w:spacing w:line="360" w:lineRule="exact"/>
        <w:ind w:firstLine="2880"/>
        <w:rPr>
          <w:rFonts w:ascii="宋体" w:hAnsi="宋体"/>
          <w:color w:val="auto"/>
          <w:sz w:val="32"/>
          <w:highlight w:val="none"/>
        </w:rPr>
      </w:pPr>
    </w:p>
    <w:p w14:paraId="05E6C7BE">
      <w:pPr>
        <w:spacing w:line="360" w:lineRule="exact"/>
        <w:ind w:firstLine="6419" w:firstLineChars="2006"/>
        <w:rPr>
          <w:rFonts w:ascii="宋体" w:hAnsi="宋体"/>
          <w:color w:val="auto"/>
          <w:sz w:val="32"/>
          <w:highlight w:val="none"/>
        </w:rPr>
      </w:pPr>
    </w:p>
    <w:p w14:paraId="06E89E7D">
      <w:pPr>
        <w:spacing w:line="360" w:lineRule="exact"/>
        <w:ind w:firstLine="2880"/>
        <w:rPr>
          <w:rFonts w:ascii="宋体" w:hAnsi="宋体"/>
          <w:color w:val="auto"/>
          <w:sz w:val="32"/>
          <w:highlight w:val="none"/>
        </w:rPr>
      </w:pPr>
    </w:p>
    <w:p w14:paraId="7A2144A3">
      <w:pPr>
        <w:spacing w:line="400" w:lineRule="exact"/>
        <w:rPr>
          <w:rFonts w:ascii="仿宋_GB2312" w:hAnsi="宋体" w:eastAsia="仿宋_GB2312"/>
          <w:b/>
          <w:bCs/>
          <w:color w:val="auto"/>
          <w:highlight w:val="none"/>
        </w:rPr>
      </w:pPr>
    </w:p>
    <w:p w14:paraId="1211B1C0">
      <w:pPr>
        <w:spacing w:line="400" w:lineRule="exact"/>
        <w:rPr>
          <w:rFonts w:ascii="仿宋_GB2312" w:hAnsi="宋体" w:eastAsia="仿宋_GB2312"/>
          <w:b/>
          <w:bCs/>
          <w:color w:val="auto"/>
          <w:highlight w:val="none"/>
        </w:rPr>
      </w:pPr>
    </w:p>
    <w:p w14:paraId="13A22258">
      <w:pPr>
        <w:spacing w:line="400" w:lineRule="exact"/>
        <w:rPr>
          <w:rFonts w:ascii="仿宋_GB2312" w:hAnsi="宋体" w:eastAsia="仿宋_GB2312"/>
          <w:b/>
          <w:bCs/>
          <w:color w:val="auto"/>
          <w:highlight w:val="none"/>
        </w:rPr>
      </w:pPr>
    </w:p>
    <w:p w14:paraId="550190C9">
      <w:pPr>
        <w:spacing w:line="760" w:lineRule="exact"/>
        <w:jc w:val="center"/>
        <w:rPr>
          <w:rFonts w:ascii="宋体" w:hAnsi="宋体"/>
          <w:b/>
          <w:bCs/>
          <w:color w:val="auto"/>
          <w:sz w:val="44"/>
          <w:highlight w:val="none"/>
        </w:rPr>
        <w:sectPr>
          <w:headerReference r:id="rId13" w:type="default"/>
          <w:footerReference r:id="rId14" w:type="default"/>
          <w:pgSz w:w="11906" w:h="16838"/>
          <w:pgMar w:top="1134" w:right="1134" w:bottom="1134" w:left="1134" w:header="851" w:footer="992" w:gutter="0"/>
          <w:cols w:space="720" w:num="1"/>
          <w:titlePg/>
          <w:docGrid w:type="lines" w:linePitch="312" w:charSpace="0"/>
        </w:sectPr>
      </w:pPr>
    </w:p>
    <w:p w14:paraId="5A9C53E6">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委托人：</w:t>
      </w:r>
      <w:r>
        <w:rPr>
          <w:rFonts w:hint="eastAsia" w:ascii="仿宋_GB2312" w:hAnsi="宋体" w:eastAsia="仿宋_GB2312"/>
          <w:color w:val="auto"/>
          <w:sz w:val="24"/>
          <w:highlight w:val="none"/>
          <w:u w:val="single"/>
        </w:rPr>
        <w:t>广州市荔湾区建设工程项目代建中心</w:t>
      </w:r>
    </w:p>
    <w:p w14:paraId="66F1D395">
      <w:pPr>
        <w:spacing w:line="360" w:lineRule="auto"/>
        <w:rPr>
          <w:rFonts w:ascii="宋体" w:hAnsi="宋体" w:eastAsia="仿宋_GB2312"/>
          <w:color w:val="auto"/>
          <w:sz w:val="24"/>
          <w:highlight w:val="none"/>
          <w:u w:val="single"/>
        </w:rPr>
      </w:pPr>
      <w:r>
        <w:rPr>
          <w:rFonts w:hint="eastAsia" w:ascii="仿宋_GB2312" w:hAnsi="宋体" w:eastAsia="仿宋_GB2312"/>
          <w:color w:val="auto"/>
          <w:sz w:val="24"/>
          <w:highlight w:val="none"/>
        </w:rPr>
        <w:t>受托人：</w:t>
      </w:r>
      <w:r>
        <w:rPr>
          <w:rFonts w:hint="eastAsia" w:ascii="仿宋_GB2312" w:hAnsi="宋体" w:eastAsia="仿宋_GB2312"/>
          <w:color w:val="auto"/>
          <w:sz w:val="24"/>
          <w:highlight w:val="none"/>
          <w:u w:val="single"/>
        </w:rPr>
        <w:t xml:space="preserve">                           </w:t>
      </w:r>
    </w:p>
    <w:p w14:paraId="5393B20C">
      <w:pPr>
        <w:rPr>
          <w:rFonts w:ascii="Times New Roman" w:hAnsi="Times New Roman"/>
          <w:color w:val="auto"/>
          <w:sz w:val="24"/>
          <w:highlight w:val="none"/>
        </w:rPr>
      </w:pPr>
    </w:p>
    <w:p w14:paraId="0B770E7E">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依照《中华人民共和国民法典》及国家的有关法律、行政法规，遵循平等、自愿、公平和诚实信用的原则，双方就</w:t>
      </w:r>
      <w:r>
        <w:rPr>
          <w:rFonts w:hint="eastAsia" w:ascii="仿宋_GB2312" w:hAnsi="宋体" w:eastAsia="仿宋_GB2312"/>
          <w:color w:val="auto"/>
          <w:sz w:val="24"/>
          <w:highlight w:val="none"/>
          <w:u w:val="single"/>
        </w:rPr>
        <w:t>广州市美华中学改扩建工程招标代理服务</w:t>
      </w:r>
      <w:r>
        <w:rPr>
          <w:rFonts w:hint="eastAsia" w:ascii="仿宋_GB2312" w:hAnsi="宋体" w:eastAsia="仿宋_GB2312"/>
          <w:color w:val="auto"/>
          <w:sz w:val="24"/>
          <w:highlight w:val="none"/>
        </w:rPr>
        <w:t>事项协商一致，订立本合同。</w:t>
      </w:r>
    </w:p>
    <w:p w14:paraId="2C3666C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一、工程概况</w:t>
      </w:r>
    </w:p>
    <w:p w14:paraId="69458DCB">
      <w:pPr>
        <w:spacing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合同名称：</w:t>
      </w:r>
      <w:r>
        <w:rPr>
          <w:rFonts w:hint="eastAsia" w:ascii="仿宋_GB2312" w:hAnsi="宋体" w:eastAsia="仿宋_GB2312"/>
          <w:color w:val="auto"/>
          <w:sz w:val="24"/>
          <w:highlight w:val="none"/>
          <w:u w:val="single"/>
        </w:rPr>
        <w:t>广州市美华中学改扩建工程招标代理服务</w:t>
      </w:r>
    </w:p>
    <w:p w14:paraId="4B0004A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地    点：</w:t>
      </w:r>
      <w:r>
        <w:rPr>
          <w:rFonts w:hint="eastAsia" w:ascii="仿宋_GB2312" w:hAnsi="宋体" w:eastAsia="仿宋_GB2312"/>
          <w:color w:val="auto"/>
          <w:sz w:val="24"/>
          <w:highlight w:val="none"/>
          <w:u w:val="single"/>
        </w:rPr>
        <w:t>广州市荔湾区</w:t>
      </w:r>
    </w:p>
    <w:p w14:paraId="49190D0F">
      <w:pPr>
        <w:spacing w:line="360" w:lineRule="auto"/>
        <w:ind w:firstLine="480" w:firstLineChars="200"/>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招标内容：</w:t>
      </w:r>
      <w:r>
        <w:rPr>
          <w:rFonts w:hint="eastAsia" w:ascii="仿宋_GB2312" w:hAnsi="宋体" w:eastAsia="仿宋_GB2312"/>
          <w:color w:val="auto"/>
          <w:sz w:val="24"/>
          <w:highlight w:val="none"/>
          <w:u w:val="single"/>
        </w:rPr>
        <w:t>依法组织本项目全过程的招标代理服务的招标工作，包括但不限于依法向招标监管部门办理招标申请、招标全过程备案手续；依法编制招标工作方案、招标公告、招标文件（含资格审查文件）；依法发布招标公告、完成招标文件修改及澄清、组织踏勘现场，依法组织接受报名及接收申请资料，依法组织资格审查、编写资格预审（或后审）报告；组织招标文件（含技术资料、图纸、控制价、工程量清单、答疑文件等）的发放、组织答疑会及整理答疑纪要文件；依法组织抽取专家评委和开标、评标工作；依法发布评标公示、中标公告，办理、发放中标通知书，协助招标人签订服务合同，编制、整理招标全过程资料，装订成册移交招标单位归档等招标相关系列工作。</w:t>
      </w:r>
    </w:p>
    <w:p w14:paraId="2FBFA53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二、委托人委托受托人为</w:t>
      </w:r>
      <w:r>
        <w:rPr>
          <w:rFonts w:hint="eastAsia" w:ascii="仿宋_GB2312" w:hAnsi="宋体" w:eastAsia="仿宋_GB2312"/>
          <w:color w:val="auto"/>
          <w:sz w:val="24"/>
          <w:highlight w:val="none"/>
          <w:u w:val="single"/>
        </w:rPr>
        <w:t>广州市美华中学改扩建工程招标代理服务机构</w:t>
      </w:r>
      <w:r>
        <w:rPr>
          <w:rFonts w:hint="eastAsia" w:ascii="仿宋_GB2312" w:hAnsi="宋体" w:eastAsia="仿宋_GB2312"/>
          <w:color w:val="auto"/>
          <w:sz w:val="24"/>
          <w:highlight w:val="none"/>
        </w:rPr>
        <w:t>，承担本工程招标代理服务工作。</w:t>
      </w:r>
    </w:p>
    <w:p w14:paraId="7485BB2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三、合同价款</w:t>
      </w:r>
    </w:p>
    <w:p w14:paraId="7D990B1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招标代理服务费参照《招标代理服务收费管理暂行办法》（计价〔2002〕1980号）、《国家发展改革委关于降低部分建设项目收费标准规范收费行为等有关问题的通知》（发改价格〔2011〕534号）的规定，按差额定率累进法计算。</w:t>
      </w:r>
    </w:p>
    <w:p w14:paraId="5AF24F6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招标代理合同价款暂定为人民币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元（大写：</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0C166D8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四、组成本合同的文件：</w:t>
      </w:r>
    </w:p>
    <w:p w14:paraId="45E2371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1、本合同履行过程中双方以书面形式签署的补充和修正文件；</w:t>
      </w:r>
    </w:p>
    <w:p w14:paraId="1965138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2、本合同协议书；</w:t>
      </w:r>
    </w:p>
    <w:p w14:paraId="00F9210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3、本合同专用条款；</w:t>
      </w:r>
    </w:p>
    <w:p w14:paraId="2754F4A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4、本合同通用条款。</w:t>
      </w:r>
    </w:p>
    <w:p w14:paraId="3834311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五、本协议书中的有关词语定义与本合同第一部分《通用条款》中分别赋予它们的定义相同。</w:t>
      </w:r>
    </w:p>
    <w:p w14:paraId="65AAA08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六、受托人向委托人承诺，按照本合同的约定，承担本合同专用条款中约定范围内的代理业务。</w:t>
      </w:r>
    </w:p>
    <w:p w14:paraId="1C2B85E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七、委托人向受托人承诺，按照本合同的约定，确保代理报酬的支付。</w:t>
      </w:r>
    </w:p>
    <w:p w14:paraId="4DDA6FE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八、合同订立</w:t>
      </w:r>
    </w:p>
    <w:p w14:paraId="7EC8D69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合同订立时间：</w:t>
      </w:r>
      <w:r>
        <w:rPr>
          <w:rFonts w:hint="eastAsia" w:ascii="仿宋_GB2312" w:hAnsi="宋体" w:eastAsia="仿宋_GB2312"/>
          <w:color w:val="auto"/>
          <w:sz w:val="24"/>
          <w:highlight w:val="none"/>
          <w:u w:val="single"/>
        </w:rPr>
        <w:t>2025年  月  日</w:t>
      </w:r>
    </w:p>
    <w:p w14:paraId="5D3B17B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合同订立地点：</w:t>
      </w:r>
      <w:r>
        <w:rPr>
          <w:rFonts w:hint="eastAsia" w:ascii="仿宋_GB2312" w:hAnsi="宋体" w:eastAsia="仿宋_GB2312"/>
          <w:color w:val="auto"/>
          <w:sz w:val="24"/>
          <w:highlight w:val="none"/>
          <w:u w:val="single"/>
        </w:rPr>
        <w:t>广州市荔湾区</w:t>
      </w:r>
      <w:r>
        <w:rPr>
          <w:rFonts w:hint="eastAsia" w:ascii="仿宋_GB2312" w:hAnsi="宋体" w:eastAsia="仿宋_GB2312"/>
          <w:color w:val="auto"/>
          <w:sz w:val="24"/>
          <w:highlight w:val="none"/>
        </w:rPr>
        <w:t xml:space="preserve"> </w:t>
      </w:r>
    </w:p>
    <w:p w14:paraId="4FE6FDC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九、合同生效</w:t>
      </w:r>
    </w:p>
    <w:p w14:paraId="538FB63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本合同双方约定</w:t>
      </w:r>
      <w:r>
        <w:rPr>
          <w:rFonts w:hint="eastAsia" w:ascii="仿宋_GB2312" w:hAnsi="宋体" w:eastAsia="仿宋_GB2312"/>
          <w:color w:val="auto"/>
          <w:sz w:val="24"/>
          <w:highlight w:val="none"/>
          <w:u w:val="single"/>
        </w:rPr>
        <w:t xml:space="preserve"> 合同签署</w:t>
      </w:r>
      <w:r>
        <w:rPr>
          <w:rFonts w:hint="eastAsia" w:ascii="仿宋_GB2312" w:hAnsi="宋体" w:eastAsia="仿宋_GB2312"/>
          <w:color w:val="auto"/>
          <w:sz w:val="24"/>
          <w:highlight w:val="none"/>
        </w:rPr>
        <w:t xml:space="preserve"> 后生效。</w:t>
      </w:r>
    </w:p>
    <w:p w14:paraId="1A3018D5">
      <w:pPr>
        <w:spacing w:line="360" w:lineRule="auto"/>
        <w:rPr>
          <w:rFonts w:ascii="仿宋_GB2312" w:hAnsi="宋体" w:eastAsia="仿宋_GB2312"/>
          <w:color w:val="auto"/>
          <w:sz w:val="24"/>
          <w:highlight w:val="none"/>
        </w:rPr>
      </w:pPr>
    </w:p>
    <w:p w14:paraId="5071100E">
      <w:pPr>
        <w:spacing w:line="360" w:lineRule="auto"/>
        <w:rPr>
          <w:rFonts w:ascii="仿宋_GB2312" w:hAnsi="宋体" w:eastAsia="仿宋_GB2312"/>
          <w:color w:val="auto"/>
          <w:sz w:val="24"/>
          <w:highlight w:val="none"/>
        </w:rPr>
      </w:pPr>
    </w:p>
    <w:p w14:paraId="2791CC61">
      <w:pPr>
        <w:spacing w:line="360" w:lineRule="auto"/>
        <w:rPr>
          <w:rFonts w:ascii="仿宋_GB2312" w:hAnsi="宋体" w:eastAsia="仿宋_GB2312"/>
          <w:color w:val="auto"/>
          <w:sz w:val="24"/>
          <w:highlight w:val="none"/>
        </w:rPr>
      </w:pPr>
    </w:p>
    <w:p w14:paraId="0A24D606">
      <w:pPr>
        <w:spacing w:line="360" w:lineRule="auto"/>
        <w:rPr>
          <w:rFonts w:ascii="仿宋_GB2312" w:hAnsi="宋体" w:eastAsia="仿宋_GB2312"/>
          <w:color w:val="auto"/>
          <w:sz w:val="24"/>
          <w:highlight w:val="none"/>
        </w:rPr>
      </w:pPr>
    </w:p>
    <w:p w14:paraId="517FC536">
      <w:pPr>
        <w:spacing w:line="360" w:lineRule="auto"/>
        <w:rPr>
          <w:rFonts w:ascii="仿宋_GB2312" w:hAnsi="宋体" w:eastAsia="仿宋_GB2312"/>
          <w:color w:val="auto"/>
          <w:sz w:val="24"/>
          <w:highlight w:val="none"/>
        </w:rPr>
      </w:pPr>
    </w:p>
    <w:p w14:paraId="7B239818">
      <w:pPr>
        <w:spacing w:line="360" w:lineRule="auto"/>
        <w:rPr>
          <w:rFonts w:ascii="仿宋_GB2312" w:hAnsi="宋体" w:eastAsia="仿宋_GB2312"/>
          <w:color w:val="auto"/>
          <w:sz w:val="24"/>
          <w:highlight w:val="none"/>
        </w:rPr>
      </w:pPr>
    </w:p>
    <w:p w14:paraId="71261F78">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委托人</w:t>
      </w:r>
      <w:r>
        <w:rPr>
          <w:rFonts w:ascii="仿宋_GB2312" w:hAnsi="宋体" w:eastAsia="仿宋_GB2312"/>
          <w:color w:val="auto"/>
          <w:sz w:val="24"/>
          <w:highlight w:val="none"/>
        </w:rPr>
        <w:t>：</w:t>
      </w:r>
      <w:r>
        <w:rPr>
          <w:rFonts w:hint="eastAsia" w:ascii="仿宋_GB2312" w:hAnsi="宋体" w:eastAsia="仿宋_GB2312"/>
          <w:color w:val="auto"/>
          <w:sz w:val="24"/>
          <w:highlight w:val="none"/>
        </w:rPr>
        <w:t xml:space="preserve">                                     受托人： </w:t>
      </w:r>
    </w:p>
    <w:p w14:paraId="20A44397">
      <w:pPr>
        <w:spacing w:line="360" w:lineRule="auto"/>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                               法定代表人：</w:t>
      </w:r>
    </w:p>
    <w:p w14:paraId="22346C8C">
      <w:pPr>
        <w:rPr>
          <w:rFonts w:ascii="Times New Roman" w:hAnsi="Times New Roman"/>
          <w:color w:val="auto"/>
          <w:sz w:val="24"/>
          <w:highlight w:val="none"/>
        </w:rPr>
      </w:pPr>
    </w:p>
    <w:p w14:paraId="0813ACD0">
      <w:pPr>
        <w:spacing w:line="360" w:lineRule="auto"/>
        <w:ind w:left="6000" w:hanging="6000" w:hangingChars="25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地址：广州市荔湾区信义路21号              </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 xml:space="preserve">地址：            </w:t>
      </w:r>
    </w:p>
    <w:p w14:paraId="13E10808">
      <w:pPr>
        <w:spacing w:line="360" w:lineRule="auto"/>
        <w:ind w:firstLine="5280" w:firstLineChars="2200"/>
        <w:rPr>
          <w:rFonts w:ascii="仿宋_GB2312" w:hAnsi="宋体" w:eastAsia="仿宋_GB2312"/>
          <w:color w:val="auto"/>
          <w:sz w:val="24"/>
          <w:highlight w:val="none"/>
        </w:rPr>
      </w:pPr>
      <w:r>
        <w:rPr>
          <w:rFonts w:hint="eastAsia" w:ascii="仿宋_GB2312" w:hAnsi="宋体" w:eastAsia="仿宋_GB2312"/>
          <w:color w:val="auto"/>
          <w:sz w:val="24"/>
          <w:highlight w:val="none"/>
        </w:rPr>
        <w:t>开户银行：</w:t>
      </w:r>
    </w:p>
    <w:p w14:paraId="0AEAA392">
      <w:pPr>
        <w:spacing w:line="360" w:lineRule="auto"/>
        <w:ind w:firstLine="5280" w:firstLineChars="2200"/>
        <w:rPr>
          <w:rFonts w:ascii="仿宋_GB2312" w:hAnsi="宋体" w:eastAsia="仿宋_GB2312"/>
          <w:color w:val="auto"/>
          <w:highlight w:val="none"/>
        </w:rPr>
      </w:pPr>
      <w:r>
        <w:rPr>
          <w:rFonts w:hint="eastAsia" w:ascii="仿宋_GB2312" w:hAnsi="宋体" w:eastAsia="仿宋_GB2312"/>
          <w:color w:val="auto"/>
          <w:sz w:val="24"/>
          <w:highlight w:val="none"/>
        </w:rPr>
        <w:t>账    号：</w:t>
      </w:r>
    </w:p>
    <w:p w14:paraId="56C41795">
      <w:pPr>
        <w:tabs>
          <w:tab w:val="left" w:pos="4500"/>
          <w:tab w:val="left" w:pos="4680"/>
          <w:tab w:val="left" w:pos="4860"/>
        </w:tabs>
        <w:spacing w:line="360" w:lineRule="auto"/>
        <w:jc w:val="center"/>
        <w:rPr>
          <w:rFonts w:ascii="宋体" w:hAnsi="宋体"/>
          <w:b/>
          <w:bCs/>
          <w:color w:val="auto"/>
          <w:sz w:val="44"/>
          <w:highlight w:val="none"/>
        </w:rPr>
      </w:pPr>
      <w:r>
        <w:rPr>
          <w:rFonts w:hint="eastAsia" w:ascii="仿宋_GB2312" w:hAnsi="宋体" w:eastAsia="仿宋_GB2312"/>
          <w:color w:val="auto"/>
          <w:highlight w:val="none"/>
        </w:rPr>
        <w:br w:type="page"/>
      </w:r>
      <w:r>
        <w:rPr>
          <w:rFonts w:hint="eastAsia" w:ascii="宋体" w:hAnsi="宋体"/>
          <w:b/>
          <w:bCs/>
          <w:color w:val="auto"/>
          <w:sz w:val="44"/>
          <w:highlight w:val="none"/>
        </w:rPr>
        <w:t>第一部分    通用条款</w:t>
      </w:r>
    </w:p>
    <w:p w14:paraId="6AC4E107">
      <w:pPr>
        <w:spacing w:line="540" w:lineRule="exact"/>
        <w:jc w:val="center"/>
        <w:rPr>
          <w:rFonts w:ascii="宋体" w:hAnsi="宋体"/>
          <w:b/>
          <w:bCs/>
          <w:color w:val="auto"/>
          <w:sz w:val="44"/>
          <w:highlight w:val="none"/>
        </w:rPr>
      </w:pPr>
    </w:p>
    <w:p w14:paraId="6136B1AA">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一、词语定义和适用法律</w:t>
      </w:r>
    </w:p>
    <w:p w14:paraId="61E3587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1、词语定义</w:t>
      </w:r>
    </w:p>
    <w:p w14:paraId="5BC4DE1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下列词语除本合同专用条款另有约定外，应具有本条款所赋予的定义：</w:t>
      </w:r>
    </w:p>
    <w:p w14:paraId="2D79827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l</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招标代理合同：委托人将工程建设项目招标工作委托给具有相应招标代理资质的受托人，实施招标活动签订的委托合同，</w:t>
      </w:r>
    </w:p>
    <w:p w14:paraId="7299D3B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l</w:t>
      </w:r>
      <w:r>
        <w:rPr>
          <w:rFonts w:ascii="仿宋_GB2312" w:hAnsi="宋体" w:eastAsia="仿宋_GB2312"/>
          <w:color w:val="auto"/>
          <w:sz w:val="24"/>
          <w:highlight w:val="none"/>
        </w:rPr>
        <w:t>.</w:t>
      </w:r>
      <w:r>
        <w:rPr>
          <w:rFonts w:hint="eastAsia" w:ascii="仿宋_GB2312" w:hAnsi="宋体" w:eastAsia="仿宋_GB2312"/>
          <w:color w:val="auto"/>
          <w:sz w:val="24"/>
          <w:highlight w:val="none"/>
        </w:rPr>
        <w:t>2通用条款：是根据有关法律、行政法规和工程建设项目招标代理的需要所订立，通用于各类工程建设项目招标代理的条款。</w:t>
      </w:r>
    </w:p>
    <w:p w14:paraId="07C719E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3专用条款：是委托人与受托人根据有关法律、行政法规规定，结合具体工程建设项目招标代理的实际，经协商达成一致意见的条款，是对通用条款的具体化、补充或修改。</w:t>
      </w:r>
    </w:p>
    <w:p w14:paraId="19AEA32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l</w:t>
      </w:r>
      <w:r>
        <w:rPr>
          <w:rFonts w:ascii="仿宋_GB2312" w:hAnsi="宋体" w:eastAsia="仿宋_GB2312"/>
          <w:color w:val="auto"/>
          <w:sz w:val="24"/>
          <w:highlight w:val="none"/>
        </w:rPr>
        <w:t>.</w:t>
      </w:r>
      <w:r>
        <w:rPr>
          <w:rFonts w:hint="eastAsia" w:ascii="仿宋_GB2312" w:hAnsi="宋体" w:eastAsia="仿宋_GB2312"/>
          <w:color w:val="auto"/>
          <w:sz w:val="24"/>
          <w:highlight w:val="none"/>
        </w:rPr>
        <w:t>4委托人：指在合同中约定的，具有建设项目招标委托主体资格的当事人，以及取得该当事人资格的合法继承人。</w:t>
      </w:r>
    </w:p>
    <w:p w14:paraId="187C7F4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5  受托人：指在合同中约定的，被委托人接受的具有建设项目招标代理主体资格的当事人，以及取得该当事人资格的合法继承人。</w:t>
      </w:r>
    </w:p>
    <w:p w14:paraId="674F1E4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6  招标代理项目负责人：指受托人在专用条款中指定的负责合同履行的代表。</w:t>
      </w:r>
    </w:p>
    <w:p w14:paraId="7642F4E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7  工程建设项目：指由委托人和受托人在合同中约定的委托代理招标的工程。</w:t>
      </w:r>
    </w:p>
    <w:p w14:paraId="7CA1ED1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8  招标代理业务：委托人委托受托人代理实施工程建设项目招标的工作内容。</w:t>
      </w:r>
    </w:p>
    <w:p w14:paraId="6CA0269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9  附加服务：指委托人和受托人在本合同通用条款4</w:t>
      </w:r>
      <w:r>
        <w:rPr>
          <w:rFonts w:ascii="仿宋_GB2312" w:hAnsi="宋体" w:eastAsia="仿宋_GB2312"/>
          <w:color w:val="auto"/>
          <w:sz w:val="24"/>
          <w:highlight w:val="none"/>
        </w:rPr>
        <w:t>.</w:t>
      </w:r>
      <w:r>
        <w:rPr>
          <w:rFonts w:hint="eastAsia" w:ascii="仿宋_GB2312" w:hAnsi="宋体" w:eastAsia="仿宋_GB2312"/>
          <w:color w:val="auto"/>
          <w:sz w:val="24"/>
          <w:highlight w:val="none"/>
        </w:rPr>
        <w:t>1款和专用条款4</w:t>
      </w:r>
      <w:r>
        <w:rPr>
          <w:rFonts w:ascii="仿宋_GB2312" w:hAnsi="宋体" w:eastAsia="仿宋_GB2312"/>
          <w:color w:val="auto"/>
          <w:sz w:val="24"/>
          <w:highlight w:val="none"/>
        </w:rPr>
        <w:t>.</w:t>
      </w:r>
      <w:r>
        <w:rPr>
          <w:rFonts w:hint="eastAsia" w:ascii="仿宋_GB2312" w:hAnsi="宋体" w:eastAsia="仿宋_GB2312"/>
          <w:color w:val="auto"/>
          <w:sz w:val="24"/>
          <w:highlight w:val="none"/>
        </w:rPr>
        <w:t>1款中双方约定工作范围之外的附加工作。</w:t>
      </w:r>
    </w:p>
    <w:p w14:paraId="7B55290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10  代理报酬：委托人和受托人在合同中约定的，受托人按照约定应收取的代理报酬总额。</w:t>
      </w:r>
    </w:p>
    <w:p w14:paraId="58F8AA7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11  图纸：指由委托人提供的满足招标需要的所有图纸、计算书、配套说明以及相关的技术资料。</w:t>
      </w:r>
    </w:p>
    <w:p w14:paraId="375FA96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12书面形式：指具有公章、法定代表人或授权代理人签字的合同书、信件和数据电文（包括电报、电传、传真）等可以有形地表现所载内容的形式。</w:t>
      </w:r>
    </w:p>
    <w:p w14:paraId="1605870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13违约责任：指合同一方不履行合同义务或履行合同义务不符合约定所应承担的责任。</w:t>
      </w:r>
    </w:p>
    <w:p w14:paraId="042DA38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14索赔：指在合同履行过程中，对于并非自己的过错，而是应由对方承担责任的情况造成的实际损失，向对方提出经济补偿或其他的要求。</w:t>
      </w:r>
    </w:p>
    <w:p w14:paraId="6D91859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15不可抗力：指双方无法控制和不可预见的事件，但不包括双方的违约或疏忽。这些事件包括但不限于战争、严重火灾、洪水、台风、地震，或其他双方一致认为属于不可抗力的事件。</w:t>
      </w:r>
    </w:p>
    <w:p w14:paraId="515B329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67CA85E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2、合同文件及解释顺序</w:t>
      </w:r>
    </w:p>
    <w:p w14:paraId="495A8EF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w:t>
      </w:r>
      <w:r>
        <w:rPr>
          <w:rFonts w:hint="eastAsia" w:ascii="仿宋_GB2312" w:hAnsi="宋体" w:eastAsia="仿宋_GB2312"/>
          <w:color w:val="auto"/>
          <w:sz w:val="24"/>
          <w:highlight w:val="none"/>
        </w:rPr>
        <w:t>l  合同文件应能互相解释，互为说明。除本合同专用条款另有约定外，组成本合同的文件及优先解释顺序如下：</w:t>
      </w:r>
    </w:p>
    <w:p w14:paraId="0009A00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（1）本合同履行过程中双方以书面形式签署的补充和修正文件；</w:t>
      </w:r>
    </w:p>
    <w:p w14:paraId="26CFD82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（2）本合同协议书；</w:t>
      </w:r>
    </w:p>
    <w:p w14:paraId="33EA75A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（3）本合同专用条款；</w:t>
      </w:r>
    </w:p>
    <w:p w14:paraId="67220F9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（4）本合同通用条款。</w:t>
      </w:r>
    </w:p>
    <w:p w14:paraId="0E326E3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当合同文件内容出现含糊不清或不相一致时，应在不影响招标代理业务正常进行的情况下，由委托人和受托人协商解决。双方协商不成时，按本合同通用条款第12条关于争议的约定处理。</w:t>
      </w:r>
    </w:p>
    <w:p w14:paraId="20E6FC3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3、语言文字和适用法律</w:t>
      </w:r>
    </w:p>
    <w:p w14:paraId="0E0FF6F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语言文字</w:t>
      </w:r>
    </w:p>
    <w:p w14:paraId="5865C76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除本合同专用条款中另有约定，本合同文件使用汉语语言文字书写、解释和说明。如本合同专用条款约定使用两种以上（含两种）语言文字时，汉语应为解释和说明本合同的标准语言文字。</w:t>
      </w:r>
    </w:p>
    <w:p w14:paraId="2A9D549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适用法律和行政法规</w:t>
      </w:r>
    </w:p>
    <w:p w14:paraId="58E8967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本合同文件适用有关法律和行政法规。需要明示的法律和行政法规，双方可在本合同专用条款中约定。</w:t>
      </w:r>
    </w:p>
    <w:p w14:paraId="0177F6BC">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二、双方一般权利和义务</w:t>
      </w:r>
    </w:p>
    <w:p w14:paraId="648D519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4、委托人的义务</w:t>
      </w:r>
    </w:p>
    <w:p w14:paraId="1766F26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委托人将委托招标代理工作的具体范围和内容在本合同专用条款中约定。</w:t>
      </w:r>
    </w:p>
    <w:p w14:paraId="6F4F165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委托人按本合同专用条款约定的内容和时间完成下列工作：</w:t>
      </w:r>
    </w:p>
    <w:p w14:paraId="10CF1B9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（1）向受托人提供本工程招标代理业务应具备的相关工程前期资料（如立项批准手续规划许可、报建证等）及资金落实情况资料；</w:t>
      </w:r>
    </w:p>
    <w:p w14:paraId="2055578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（2）向受托人提供完成本工程招标代理业务所需的全部技术资料和图纸，需要交底的须向受托人详细交底，并对提供资料的真实性、完整性、准确性负责；</w:t>
      </w:r>
    </w:p>
    <w:p w14:paraId="4F69234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（3）向受托人提供保证招标工作顺利完成的条件，提供的条件在本合同专用条款内约定；</w:t>
      </w:r>
    </w:p>
    <w:p w14:paraId="09BE707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（4）指定专人与受托人联系，指定人员的姓名、职务、职称在本合同专用条款内约定；</w:t>
      </w:r>
    </w:p>
    <w:p w14:paraId="7F6FBEE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（5）根据需要，做好与第三方的协调工作；</w:t>
      </w:r>
    </w:p>
    <w:p w14:paraId="1D8C03B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（6）按本合同专用条款的约定支付代理报酬；</w:t>
      </w:r>
    </w:p>
    <w:p w14:paraId="365CC13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（7）依法应尽的其他义务，双方在本合同专用条款内约定。</w:t>
      </w:r>
    </w:p>
    <w:p w14:paraId="60B1671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3受托人在履行招标代理业务过程中，提出的超出招标代理范围的合理化建议，经委托人同意并取得经济效益，委托人应向受托人支付一定的经济奖励。</w:t>
      </w:r>
    </w:p>
    <w:p w14:paraId="5B9AADF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4 委托人负有对受托人为本合同提供的技术服务进行知识产权保护的责任。</w:t>
      </w:r>
    </w:p>
    <w:p w14:paraId="5D98694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w:t>
      </w:r>
      <w:r>
        <w:rPr>
          <w:rFonts w:ascii="仿宋_GB2312" w:hAnsi="宋体" w:eastAsia="仿宋_GB2312"/>
          <w:color w:val="auto"/>
          <w:sz w:val="24"/>
          <w:highlight w:val="none"/>
        </w:rPr>
        <w:t>.</w:t>
      </w:r>
      <w:r>
        <w:rPr>
          <w:rFonts w:hint="eastAsia" w:ascii="仿宋_GB2312" w:hAnsi="宋体" w:eastAsia="仿宋_GB2312"/>
          <w:color w:val="auto"/>
          <w:sz w:val="24"/>
          <w:highlight w:val="none"/>
        </w:rPr>
        <w:t>5委托人未能履行以上各项义务，给受托人造成损失的，应当赔偿受托人的有关损失。</w:t>
      </w:r>
    </w:p>
    <w:p w14:paraId="4AABD33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5、受托人的义务</w:t>
      </w:r>
    </w:p>
    <w:p w14:paraId="1F208F1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719DFBF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2受托人按本合同专用条款约定的内容和时间完成下列工作：</w:t>
      </w:r>
    </w:p>
    <w:p w14:paraId="10E1083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（1）依法按照公开、公平、公正和诚实信用原则， 组织招标工作，维护各方的合法权益；</w:t>
      </w:r>
    </w:p>
    <w:p w14:paraId="34F0811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（2）应用专业技术与技能为委托人提供完成招标工作相关的咨询服务；</w:t>
      </w:r>
    </w:p>
    <w:p w14:paraId="557D160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（3）向委托人宣传有关工程招标的法律、行政法规和规章，解释合理的招标程序，  以便得到委托人的支持和配合；</w:t>
      </w:r>
    </w:p>
    <w:p w14:paraId="2C2D083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（4）依法应尽的其他义务，双方在本合同专用条款内约定。</w:t>
      </w:r>
    </w:p>
    <w:p w14:paraId="1EB7821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3受托人应对招标工作中受托人所出具有关数据的计算、技术经济资料等的科学性和准确性负责。</w:t>
      </w:r>
    </w:p>
    <w:p w14:paraId="56CC0E3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4受托人不得接受与本合同工程建设项目中委托招标范围之内的相关的投标咨询业务。</w:t>
      </w:r>
    </w:p>
    <w:p w14:paraId="70F2AD5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5受托人为本合同提供技术服务的知识产权应属受托人专有。任何第三方如果提出侵权指控，受托人须与第三方交涉并承担由此而引起的一切法律责任和费用。</w:t>
      </w:r>
    </w:p>
    <w:p w14:paraId="087BD18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6 未经委托人同意，受托人不得分包或转让本合同的任何权利和义务。</w:t>
      </w:r>
    </w:p>
    <w:p w14:paraId="690E794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7受托人不得接受所有投标人的礼品、宴请和任何其他好处，不得泄露招标、评标、定标过程中依法需要保密的内容。合同终止后，未经委托人同意，受托人不得泄露与本合同工程相关的任何招标资料和情况。</w:t>
      </w:r>
    </w:p>
    <w:p w14:paraId="4BEBF07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w:t>
      </w:r>
      <w:r>
        <w:rPr>
          <w:rFonts w:ascii="仿宋_GB2312" w:hAnsi="宋体" w:eastAsia="仿宋_GB2312"/>
          <w:color w:val="auto"/>
          <w:sz w:val="24"/>
          <w:highlight w:val="none"/>
        </w:rPr>
        <w:t>.</w:t>
      </w:r>
      <w:r>
        <w:rPr>
          <w:rFonts w:hint="eastAsia" w:ascii="仿宋_GB2312" w:hAnsi="宋体" w:eastAsia="仿宋_GB2312"/>
          <w:color w:val="auto"/>
          <w:sz w:val="24"/>
          <w:highlight w:val="none"/>
        </w:rPr>
        <w:t>8受托人未能履行以上各项义务，给委托人造成损失的，应当赔偿委托人的有关损失。</w:t>
      </w:r>
    </w:p>
    <w:p w14:paraId="1747CF3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6、委托人的权利</w:t>
      </w:r>
    </w:p>
    <w:p w14:paraId="005C193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1委托人拥有下列权利：</w:t>
      </w:r>
    </w:p>
    <w:p w14:paraId="5A2C556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（1）按合同约定，接收招标代理成果；</w:t>
      </w:r>
    </w:p>
    <w:p w14:paraId="0CA0BF1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（2）向受托人询问本合同工程招标工作进展情况和相关内容或提出不违反法律、行政法规的建议；</w:t>
      </w:r>
    </w:p>
    <w:p w14:paraId="0888230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（3）审查受托人为本合同工程编制的各种文件，并提出修正意见；</w:t>
      </w:r>
    </w:p>
    <w:p w14:paraId="584ED23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（4）要求受托人提交招标代理业务工作报告；</w:t>
      </w:r>
    </w:p>
    <w:p w14:paraId="7286620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（5）与受托人协商，建议更换其不称职的招标代理从业人员；</w:t>
      </w:r>
    </w:p>
    <w:p w14:paraId="17538A9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（6）依法选择中标人；</w:t>
      </w:r>
    </w:p>
    <w:p w14:paraId="5511136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（7）本合同履行期间，由于受托人不履行合同约定的内容，给委托人造成损失或影响招标工作正常进行的，委托人有权终止本合同，并依法向受托人追索经济赔偿，直至追究法律责任；</w:t>
      </w:r>
    </w:p>
    <w:p w14:paraId="6AA8014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（8）依法享有的其他权利，双方在本合同专用条款内约定。</w:t>
      </w:r>
    </w:p>
    <w:p w14:paraId="2E7FB21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7、受托人的权利</w:t>
      </w:r>
    </w:p>
    <w:p w14:paraId="7D6F161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1受托人拥有下列权利：</w:t>
      </w:r>
    </w:p>
    <w:p w14:paraId="0B8E276D">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（1）按合同约定收取委托代理报酬；</w:t>
      </w:r>
    </w:p>
    <w:p w14:paraId="2D350C3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（2）对招标过程中应由委托人做出的决定，受托人有权提出建议；</w:t>
      </w:r>
    </w:p>
    <w:p w14:paraId="05090F8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（3）当委托人提供的资料不足或不明确时，有权要求委托人补足资料或作出明确的答复；</w:t>
      </w:r>
    </w:p>
    <w:p w14:paraId="7E1352C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（4）拒绝委托人提出的违反法律、行政法规的要求，并向委托人作出解释；</w:t>
      </w:r>
    </w:p>
    <w:p w14:paraId="395F3DB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（5）有权参加委托人组织的涉及招标工作的所有会议和活动；    </w:t>
      </w:r>
    </w:p>
    <w:p w14:paraId="5D8B3ED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（6）对于为本合同工程编制的所有文件拥有知识产权，委托人仅有使用或复制的权利；</w:t>
      </w:r>
    </w:p>
    <w:p w14:paraId="47EF967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（7）依法享有的其他权利，双方在本合同专用条款内约定。</w:t>
      </w:r>
    </w:p>
    <w:p w14:paraId="190C6DCC">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三、委托代理报酬与收取</w:t>
      </w:r>
    </w:p>
    <w:p w14:paraId="5B459F4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8、委托代理报酬</w:t>
      </w:r>
    </w:p>
    <w:p w14:paraId="5E795F9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w:t>
      </w:r>
      <w:r>
        <w:rPr>
          <w:rFonts w:ascii="仿宋_GB2312" w:hAnsi="宋体" w:eastAsia="仿宋_GB2312"/>
          <w:color w:val="auto"/>
          <w:sz w:val="24"/>
          <w:highlight w:val="none"/>
        </w:rPr>
        <w:t>.</w:t>
      </w:r>
      <w:r>
        <w:rPr>
          <w:rFonts w:hint="eastAsia" w:ascii="仿宋_GB2312" w:hAnsi="宋体" w:eastAsia="仿宋_GB2312"/>
          <w:color w:val="auto"/>
          <w:sz w:val="24"/>
          <w:highlight w:val="none"/>
        </w:rPr>
        <w:t xml:space="preserve">1双方按照本合同约定的招标代理业务范围，在本合同专用条款内约定委托代理报酬的计算方法、金额、币种、汇率和支付方式、支付时间。   </w:t>
      </w:r>
    </w:p>
    <w:p w14:paraId="47BF23A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2受托人对所承接的招标代理业务需要出外考察的，其外出人员数量和费用，经委托人同意后，向委托人实报实销。</w:t>
      </w:r>
    </w:p>
    <w:p w14:paraId="49DACC3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3在招标代理业务范围内所发生的费用（如：评标会务费、评标专家的差旅费、劳务费、公证费等），由委托人与受托人在补充条款中约定。</w:t>
      </w:r>
    </w:p>
    <w:p w14:paraId="42B3F06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9、委托代理报酬的收取</w:t>
      </w:r>
    </w:p>
    <w:p w14:paraId="2C15A8E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1由委托人支付代理报酬的，在本合同签订后10日内，委托人应向受托人支付不少于全部代理报酬20％的代理预付款，具体额度（或比例）双方在专用条款内约定。</w:t>
      </w:r>
    </w:p>
    <w:p w14:paraId="46D67B0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由中标人支付代理报酬的，在中标人与委托人签订承包合同5日内，将本合同约定的全部委托代理报酬一次性支付给受托人。</w:t>
      </w:r>
    </w:p>
    <w:p w14:paraId="5ADFA79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2受托人完成委托人委托的招标代理工作范围以外的工作，为附加服务项目，应收取的报酬由双方协商，签订补充协议。</w:t>
      </w:r>
    </w:p>
    <w:p w14:paraId="0C1747A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3委托人在本合同专用条款约定的支付时间内，未能如期支付代理预付费用，自应支付之日起，按同期银行贷款利率，计算支付代理预付费用的利息。</w:t>
      </w:r>
    </w:p>
    <w:p w14:paraId="2D7BC81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4委托人在本合同专用条款约定的支付时间内，未能如期支付代理报酬，除应承担违约责任外，还应按同期银行贷款利率，计算支付应付代理报酬的利息。</w:t>
      </w:r>
    </w:p>
    <w:p w14:paraId="3FC5593E">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w:t>
      </w:r>
      <w:r>
        <w:rPr>
          <w:rFonts w:ascii="仿宋_GB2312" w:hAnsi="宋体" w:eastAsia="仿宋_GB2312"/>
          <w:color w:val="auto"/>
          <w:sz w:val="24"/>
          <w:highlight w:val="none"/>
        </w:rPr>
        <w:t>.</w:t>
      </w:r>
      <w:r>
        <w:rPr>
          <w:rFonts w:hint="eastAsia" w:ascii="仿宋_GB2312" w:hAnsi="宋体" w:eastAsia="仿宋_GB2312"/>
          <w:color w:val="auto"/>
          <w:sz w:val="24"/>
          <w:highlight w:val="none"/>
        </w:rPr>
        <w:t>5委托代理报酬应由委托人按本合同专用条款约定的支付方法和时间，直接向受托人支付；或受托人按照约定直接向中标人收取。</w:t>
      </w:r>
    </w:p>
    <w:p w14:paraId="17875147">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四、违约、索赔和争议</w:t>
      </w:r>
    </w:p>
    <w:p w14:paraId="37844A5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10、违约</w:t>
      </w:r>
    </w:p>
    <w:p w14:paraId="3F1DF0D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委托人违约。 当发生下列情况时：</w:t>
      </w:r>
    </w:p>
    <w:p w14:paraId="725A2EA0">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（1）本合同通用条款第4</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2 -（3）款提到的委托人未按本合同专用条款的约定向委托人提供为保证招标工作顺利完成的条件，致使招标工作无法进行；</w:t>
      </w:r>
    </w:p>
    <w:p w14:paraId="52C8ABD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（2）本合同通用条款第4</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2 -（6）款提到的委托人未按本合同专用条款的约定向受托人支付委托代理报酬；</w:t>
      </w:r>
    </w:p>
    <w:p w14:paraId="10A225F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（3）委托人不履行合同义务或不按合同约定履行义务的其他情况。</w:t>
      </w:r>
    </w:p>
    <w:p w14:paraId="4BBA8B2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委托人承担违约责任，赔偿因其违约给受托人造成的经济损失，双方在本合同专用条款内约定委托人赔偿受托人损失的计算方法或委托人应当支付违约金的数额或计算方法。</w:t>
      </w:r>
    </w:p>
    <w:p w14:paraId="6931C01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受托人违约。 当发生下列情况时：</w:t>
      </w:r>
    </w:p>
    <w:p w14:paraId="0D5F946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（1）本合同通用条款第5</w:t>
      </w:r>
      <w:r>
        <w:rPr>
          <w:rFonts w:ascii="仿宋_GB2312" w:hAnsi="宋体" w:eastAsia="仿宋_GB2312"/>
          <w:color w:val="auto"/>
          <w:sz w:val="24"/>
          <w:highlight w:val="none"/>
        </w:rPr>
        <w:t>.</w:t>
      </w:r>
      <w:r>
        <w:rPr>
          <w:rFonts w:hint="eastAsia" w:ascii="仿宋_GB2312" w:hAnsi="宋体" w:eastAsia="仿宋_GB2312"/>
          <w:color w:val="auto"/>
          <w:sz w:val="24"/>
          <w:highlight w:val="none"/>
        </w:rPr>
        <w:t>2 -（2）款提到的受托人未按本合同专用条款的约定，向委托人提供为完成招标工作的咨询服务；</w:t>
      </w:r>
    </w:p>
    <w:p w14:paraId="360D5C1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（2）本合同通用条款第5</w:t>
      </w:r>
      <w:r>
        <w:rPr>
          <w:rFonts w:ascii="仿宋_GB2312" w:hAnsi="宋体" w:eastAsia="仿宋_GB2312"/>
          <w:color w:val="auto"/>
          <w:sz w:val="24"/>
          <w:highlight w:val="none"/>
        </w:rPr>
        <w:t>.</w:t>
      </w:r>
      <w:r>
        <w:rPr>
          <w:rFonts w:hint="eastAsia" w:ascii="仿宋_GB2312" w:hAnsi="宋体" w:eastAsia="仿宋_GB2312"/>
          <w:color w:val="auto"/>
          <w:sz w:val="24"/>
          <w:highlight w:val="none"/>
        </w:rPr>
        <w:t>4款提到的受托人未按本合同专用条款的约定，接受了与本合同工程建设项目有关的投标咨询业务；</w:t>
      </w:r>
    </w:p>
    <w:p w14:paraId="2EFAC7A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（3）本合同通用条款第5</w:t>
      </w:r>
      <w:r>
        <w:rPr>
          <w:rFonts w:ascii="仿宋_GB2312" w:hAnsi="宋体" w:eastAsia="仿宋_GB2312"/>
          <w:color w:val="auto"/>
          <w:sz w:val="24"/>
          <w:highlight w:val="none"/>
        </w:rPr>
        <w:t>.</w:t>
      </w:r>
      <w:r>
        <w:rPr>
          <w:rFonts w:hint="eastAsia" w:ascii="仿宋_GB2312" w:hAnsi="宋体" w:eastAsia="仿宋_GB2312"/>
          <w:color w:val="auto"/>
          <w:sz w:val="24"/>
          <w:highlight w:val="none"/>
        </w:rPr>
        <w:t>7款提到的受托人未按本合同专用条款的约定，泄露了与本合同工程相关的任何招标资料和情况；</w:t>
      </w:r>
    </w:p>
    <w:p w14:paraId="2E1B8C7C">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（4）受托人不履行合同义务或不按合同约定履行义务的其他情况。</w:t>
      </w:r>
    </w:p>
    <w:p w14:paraId="1988F303">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64D82F1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10</w:t>
      </w:r>
      <w:r>
        <w:rPr>
          <w:rFonts w:ascii="仿宋_GB2312" w:hAnsi="宋体" w:eastAsia="仿宋_GB2312"/>
          <w:color w:val="auto"/>
          <w:sz w:val="24"/>
          <w:highlight w:val="none"/>
        </w:rPr>
        <w:t>.</w:t>
      </w:r>
      <w:r>
        <w:rPr>
          <w:rFonts w:hint="eastAsia" w:ascii="仿宋_GB2312" w:hAnsi="宋体" w:eastAsia="仿宋_GB2312"/>
          <w:color w:val="auto"/>
          <w:sz w:val="24"/>
          <w:highlight w:val="none"/>
        </w:rPr>
        <w:t>3  第三方违约。如果一方的违约被认定为是与第三方共同造成的，则应由合同双方中有违约的一方先行向另一方承担全部违约责任，再由承担违约责任的一方向第三方追索。</w:t>
      </w:r>
    </w:p>
    <w:p w14:paraId="60D0239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11、索赔</w:t>
      </w:r>
    </w:p>
    <w:p w14:paraId="2F05D05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1当事人一方向另一方提出索赔时，要有正当的索赔理由，且有索赔事件发生时的有效证据。</w:t>
      </w:r>
    </w:p>
    <w:p w14:paraId="725666CB">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2委托人未能按合同约定履行自己的各项义务，或者发生应由委托人承担责任的其他情况，给受托人造成损失，受托人可按下列程序以书面形式向委托人索赔：</w:t>
      </w:r>
    </w:p>
    <w:p w14:paraId="44D62EB9">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（1）索赔事件发生后7天内，向委托人发出索赔报告及有关资料；</w:t>
      </w:r>
    </w:p>
    <w:p w14:paraId="34C44EC2">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（2）委托人收到受托人的索赔报告及有关资料后，于7天内给予答复，或要求受托人进一步补充索赔理由和证据；</w:t>
      </w:r>
    </w:p>
    <w:p w14:paraId="2DD6530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（3）委托人在收到受托人送交的索赔报告和有关资料后7天内未予答复，或未对受托人作进一步要求，视为该项索赔已经认可。</w:t>
      </w:r>
    </w:p>
    <w:p w14:paraId="2251083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3受托人未能按合同约定履行自己的各项义务，或者发生应由受托人承担责任的其他情况，给委托人造成经济损失，委托人可按11</w:t>
      </w:r>
      <w:r>
        <w:rPr>
          <w:rFonts w:ascii="仿宋_GB2312" w:hAnsi="宋体" w:eastAsia="仿宋_GB2312"/>
          <w:color w:val="auto"/>
          <w:sz w:val="24"/>
          <w:highlight w:val="none"/>
        </w:rPr>
        <w:t>.</w:t>
      </w:r>
      <w:r>
        <w:rPr>
          <w:rFonts w:hint="eastAsia" w:ascii="仿宋_GB2312" w:hAnsi="宋体" w:eastAsia="仿宋_GB2312"/>
          <w:color w:val="auto"/>
          <w:sz w:val="24"/>
          <w:highlight w:val="none"/>
        </w:rPr>
        <w:t>2款确定的时限和程序向受托人提出索赔。</w:t>
      </w:r>
    </w:p>
    <w:p w14:paraId="75B1762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12、争议</w:t>
      </w:r>
    </w:p>
    <w:p w14:paraId="1856EDF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12</w:t>
      </w:r>
      <w:r>
        <w:rPr>
          <w:rFonts w:ascii="仿宋_GB2312" w:hAnsi="宋体" w:eastAsia="仿宋_GB2312"/>
          <w:color w:val="auto"/>
          <w:sz w:val="24"/>
          <w:highlight w:val="none"/>
        </w:rPr>
        <w:t>.</w:t>
      </w:r>
      <w:r>
        <w:rPr>
          <w:rFonts w:hint="eastAsia" w:ascii="仿宋_GB2312" w:hAnsi="宋体" w:eastAsia="仿宋_GB2312"/>
          <w:color w:val="auto"/>
          <w:sz w:val="24"/>
          <w:highlight w:val="none"/>
        </w:rPr>
        <w:t>1  委托人和受托人履行合同时发生争议，可以和解或者向有关部门或机构申请调解。当事人不愿和解、调解或者和解、调解不成的，双方可以在本合同专用条款约定以下一种方式解决争议：</w:t>
      </w:r>
    </w:p>
    <w:p w14:paraId="72D4C458">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（1）双方达成仲裁协议，向约定的仲裁委员会申请仲裁；</w:t>
      </w:r>
    </w:p>
    <w:p w14:paraId="5887E61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（2）向委托人所在地人民法院起诉。</w:t>
      </w:r>
    </w:p>
    <w:p w14:paraId="3A4194A6">
      <w:pPr>
        <w:spacing w:line="360" w:lineRule="auto"/>
        <w:ind w:firstLine="482" w:firstLineChars="200"/>
        <w:rPr>
          <w:rFonts w:ascii="黑体" w:hAnsi="宋体" w:eastAsia="黑体"/>
          <w:b/>
          <w:bCs/>
          <w:color w:val="auto"/>
          <w:sz w:val="24"/>
          <w:highlight w:val="none"/>
        </w:rPr>
      </w:pPr>
      <w:r>
        <w:rPr>
          <w:rFonts w:hint="eastAsia" w:ascii="黑体" w:hAnsi="宋体" w:eastAsia="黑体"/>
          <w:b/>
          <w:bCs/>
          <w:color w:val="auto"/>
          <w:sz w:val="24"/>
          <w:highlight w:val="none"/>
        </w:rPr>
        <w:t>五、合同变更、生效与终止</w:t>
      </w:r>
    </w:p>
    <w:p w14:paraId="6F9E08A4">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13、合同变更或解除</w:t>
      </w:r>
    </w:p>
    <w:p w14:paraId="05B5767F">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13</w:t>
      </w:r>
      <w:r>
        <w:rPr>
          <w:rFonts w:ascii="仿宋_GB2312" w:hAnsi="宋体" w:eastAsia="仿宋_GB2312"/>
          <w:color w:val="auto"/>
          <w:sz w:val="24"/>
          <w:highlight w:val="none"/>
        </w:rPr>
        <w:t>.</w:t>
      </w:r>
      <w:r>
        <w:rPr>
          <w:rFonts w:hint="eastAsia" w:ascii="仿宋_GB2312" w:hAnsi="宋体" w:eastAsia="仿宋_GB2312"/>
          <w:color w:val="auto"/>
          <w:sz w:val="24"/>
          <w:highlight w:val="none"/>
        </w:rPr>
        <w:t>1本合同签订后，由于委托人原因，使得受托人不能持续履行招标代理业务时，委托人应及时通知受托人暂停招标代理业务。当需要恢复招标代理业务时，应当在正式恢复前7天通知受托人。</w:t>
      </w:r>
    </w:p>
    <w:p w14:paraId="38896267">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若暂停时间超过六个月，当需要恢复招标代理业务时，委托人应支付重新启动该招标代理工作一定的补偿费用，具体计算方式经双方协商以补充协议确定。</w:t>
      </w:r>
    </w:p>
    <w:p w14:paraId="367A70CE">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13.2</w:t>
      </w:r>
      <w:r>
        <w:rPr>
          <w:rFonts w:hint="eastAsia" w:ascii="仿宋_GB2312" w:hAnsi="宋体" w:eastAsia="仿宋_GB2312"/>
          <w:color w:val="auto"/>
          <w:sz w:val="24"/>
          <w:highlight w:val="none"/>
        </w:rPr>
        <w:t xml:space="preserve"> 本合同签订后，如因法律、行政法规发生变化或由于任何后续新颁布的法律、行政法规导致服务所需的成本或时间发生改变，则本合同约定的服务报酬和服务期限由双方签订补充协议进行相应调整。</w:t>
      </w:r>
    </w:p>
    <w:p w14:paraId="776537DA">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13.3</w:t>
      </w:r>
      <w:r>
        <w:rPr>
          <w:rFonts w:hint="eastAsia" w:ascii="仿宋_GB2312" w:hAnsi="宋体" w:eastAsia="仿宋_GB2312"/>
          <w:color w:val="auto"/>
          <w:sz w:val="24"/>
          <w:highlight w:val="none"/>
        </w:rPr>
        <w:t xml:space="preserve"> 本合同当事人一方要求变更或解除合同时，除法律、行政法规另有规定外，应与对方当事人协商一致并达成书面协议。未达成书面协议的，本合同依然有效。</w:t>
      </w:r>
    </w:p>
    <w:p w14:paraId="55660C04">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13.4</w:t>
      </w:r>
      <w:r>
        <w:rPr>
          <w:rFonts w:hint="eastAsia" w:ascii="仿宋_GB2312" w:hAnsi="宋体" w:eastAsia="仿宋_GB2312"/>
          <w:color w:val="auto"/>
          <w:sz w:val="24"/>
          <w:highlight w:val="none"/>
        </w:rPr>
        <w:t xml:space="preserve"> 因解除合同使当事人一方遭受损失的，除依法可以免除责任外，应由责任方负责赔偿对方的损失，赔偿方法与金额由双方在协议书约定。</w:t>
      </w:r>
    </w:p>
    <w:p w14:paraId="1003327D">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14</w:t>
      </w:r>
      <w:r>
        <w:rPr>
          <w:rFonts w:hint="eastAsia" w:ascii="仿宋_GB2312" w:hAnsi="宋体" w:eastAsia="仿宋_GB2312"/>
          <w:color w:val="auto"/>
          <w:sz w:val="24"/>
          <w:highlight w:val="none"/>
        </w:rPr>
        <w:t>、合同生效</w:t>
      </w:r>
    </w:p>
    <w:p w14:paraId="6E649BE2">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14.1</w:t>
      </w:r>
      <w:r>
        <w:rPr>
          <w:rFonts w:hint="eastAsia" w:ascii="仿宋_GB2312" w:hAnsi="宋体" w:eastAsia="仿宋_GB2312"/>
          <w:color w:val="auto"/>
          <w:sz w:val="24"/>
          <w:highlight w:val="none"/>
        </w:rPr>
        <w:t>除生效条件双方在协议书中另有约定外，本合同自双方签字盖章之日起生效。</w:t>
      </w:r>
    </w:p>
    <w:p w14:paraId="24FF136B">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w:t>
      </w:r>
      <w:r>
        <w:rPr>
          <w:rFonts w:hint="eastAsia" w:ascii="仿宋_GB2312" w:hAnsi="宋体" w:eastAsia="仿宋_GB2312"/>
          <w:color w:val="auto"/>
          <w:sz w:val="24"/>
          <w:highlight w:val="none"/>
        </w:rPr>
        <w:t>、合同终止</w:t>
      </w:r>
    </w:p>
    <w:p w14:paraId="0864B12A">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15.1</w:t>
      </w:r>
      <w:r>
        <w:rPr>
          <w:rFonts w:hint="eastAsia" w:ascii="仿宋_GB2312" w:hAnsi="宋体" w:eastAsia="仿宋_GB2312"/>
          <w:color w:val="auto"/>
          <w:sz w:val="24"/>
          <w:highlight w:val="none"/>
        </w:rPr>
        <w:t xml:space="preserve"> 受托人完成委托人全部委托招标代理业务，且委托人或中标人支付了全部代理报酬（含附加服务的报酬）后本合同终止。</w:t>
      </w:r>
    </w:p>
    <w:p w14:paraId="6392787B">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15.2</w:t>
      </w:r>
      <w:r>
        <w:rPr>
          <w:rFonts w:hint="eastAsia" w:ascii="仿宋_GB2312" w:hAnsi="宋体" w:eastAsia="仿宋_GB2312"/>
          <w:color w:val="auto"/>
          <w:sz w:val="24"/>
          <w:highlight w:val="none"/>
        </w:rPr>
        <w:t xml:space="preserve"> 本合同终止并不影响各方应有的权利和应承担的义务。</w:t>
      </w:r>
    </w:p>
    <w:p w14:paraId="34AEA17F">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15.3</w:t>
      </w:r>
      <w:r>
        <w:rPr>
          <w:rFonts w:hint="eastAsia" w:ascii="仿宋_GB2312" w:hAnsi="宋体" w:eastAsia="仿宋_GB2312"/>
          <w:color w:val="auto"/>
          <w:sz w:val="24"/>
          <w:highlight w:val="none"/>
        </w:rPr>
        <w:t xml:space="preserve">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4893D3A7">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15.4</w:t>
      </w:r>
      <w:r>
        <w:rPr>
          <w:rFonts w:hint="eastAsia" w:ascii="仿宋_GB2312" w:hAnsi="宋体" w:eastAsia="仿宋_GB2312"/>
          <w:color w:val="auto"/>
          <w:sz w:val="24"/>
          <w:highlight w:val="none"/>
        </w:rPr>
        <w:t xml:space="preserve"> 本合同的权利和义务终止后，委托人和受托人应当遵循诚实信用原则，履行通知、协助、保密等义务。</w:t>
      </w:r>
    </w:p>
    <w:p w14:paraId="643B5B3B">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六、其他</w:t>
      </w:r>
    </w:p>
    <w:p w14:paraId="48A75140">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16</w:t>
      </w:r>
      <w:r>
        <w:rPr>
          <w:rFonts w:hint="eastAsia" w:ascii="仿宋_GB2312" w:hAnsi="宋体" w:eastAsia="仿宋_GB2312"/>
          <w:color w:val="auto"/>
          <w:sz w:val="24"/>
          <w:highlight w:val="none"/>
        </w:rPr>
        <w:t>、合同的份数</w:t>
      </w:r>
    </w:p>
    <w:p w14:paraId="150350AA">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16.1</w:t>
      </w:r>
      <w:r>
        <w:rPr>
          <w:rFonts w:hint="eastAsia" w:ascii="仿宋_GB2312" w:hAnsi="宋体" w:eastAsia="仿宋_GB2312"/>
          <w:color w:val="auto"/>
          <w:sz w:val="24"/>
          <w:highlight w:val="none"/>
        </w:rPr>
        <w:t xml:space="preserve"> 本合同正本一式两份，委托人和受托人各执一份。副本根据双方需要在本合同专用条款内约定。</w:t>
      </w:r>
    </w:p>
    <w:p w14:paraId="6B206F0E">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17</w:t>
      </w:r>
      <w:r>
        <w:rPr>
          <w:rFonts w:hint="eastAsia" w:ascii="仿宋_GB2312" w:hAnsi="宋体" w:eastAsia="仿宋_GB2312"/>
          <w:color w:val="auto"/>
          <w:sz w:val="24"/>
          <w:highlight w:val="none"/>
        </w:rPr>
        <w:t>、补充条款：双方根据有关法律、行政法规规定，结合本合同招标工程实际，经协商一致后，可对本合同通用条款未涉及的内容进行补充。</w:t>
      </w:r>
    </w:p>
    <w:p w14:paraId="1AC3E0C9">
      <w:pPr>
        <w:tabs>
          <w:tab w:val="left" w:pos="4500"/>
          <w:tab w:val="left" w:pos="4680"/>
          <w:tab w:val="left" w:pos="4860"/>
        </w:tabs>
        <w:spacing w:line="360" w:lineRule="auto"/>
        <w:jc w:val="center"/>
        <w:rPr>
          <w:rFonts w:ascii="宋体" w:hAnsi="宋体"/>
          <w:b/>
          <w:bCs/>
          <w:color w:val="auto"/>
          <w:sz w:val="44"/>
          <w:highlight w:val="none"/>
          <w:lang w:val="zh-CN"/>
        </w:rPr>
      </w:pPr>
      <w:r>
        <w:rPr>
          <w:rFonts w:hint="eastAsia" w:ascii="宋体" w:hAnsi="宋体"/>
          <w:b/>
          <w:bCs/>
          <w:color w:val="auto"/>
          <w:sz w:val="44"/>
          <w:highlight w:val="none"/>
          <w:lang w:val="zh-CN"/>
        </w:rPr>
        <w:br w:type="page"/>
      </w:r>
      <w:r>
        <w:rPr>
          <w:rFonts w:hint="eastAsia" w:ascii="宋体" w:hAnsi="宋体"/>
          <w:b/>
          <w:bCs/>
          <w:color w:val="auto"/>
          <w:sz w:val="44"/>
          <w:highlight w:val="none"/>
          <w:lang w:val="zh-CN"/>
        </w:rPr>
        <w:t>第二部分   专用条款</w:t>
      </w:r>
    </w:p>
    <w:p w14:paraId="67C3C065">
      <w:pPr>
        <w:autoSpaceDE w:val="0"/>
        <w:autoSpaceDN w:val="0"/>
        <w:adjustRightInd w:val="0"/>
        <w:spacing w:line="540" w:lineRule="exact"/>
        <w:jc w:val="center"/>
        <w:rPr>
          <w:rFonts w:ascii="宋体" w:hAnsi="宋体"/>
          <w:b/>
          <w:bCs/>
          <w:color w:val="auto"/>
          <w:sz w:val="44"/>
          <w:szCs w:val="30"/>
          <w:highlight w:val="none"/>
          <w:lang w:val="zh-CN"/>
        </w:rPr>
      </w:pPr>
    </w:p>
    <w:p w14:paraId="56217422">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一、词语定义和适用法律</w:t>
      </w:r>
    </w:p>
    <w:p w14:paraId="28C1306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、合同文件及解释顺序</w:t>
      </w:r>
    </w:p>
    <w:p w14:paraId="56286ECE">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2.1</w:t>
      </w:r>
      <w:r>
        <w:rPr>
          <w:rFonts w:hint="eastAsia" w:ascii="仿宋_GB2312" w:hAnsi="宋体" w:eastAsia="仿宋_GB2312"/>
          <w:color w:val="auto"/>
          <w:sz w:val="24"/>
          <w:szCs w:val="24"/>
          <w:highlight w:val="none"/>
          <w:lang w:val="zh-CN"/>
        </w:rPr>
        <w:t xml:space="preserve"> 合同文件及解释顺序</w:t>
      </w:r>
      <w:r>
        <w:rPr>
          <w:rFonts w:hint="eastAsia" w:ascii="仿宋_GB2312" w:hAnsi="宋体" w:eastAsia="仿宋_GB2312"/>
          <w:color w:val="auto"/>
          <w:sz w:val="24"/>
          <w:szCs w:val="24"/>
          <w:highlight w:val="none"/>
          <w:u w:val="single"/>
          <w:lang w:val="zh-CN"/>
        </w:rPr>
        <w:t xml:space="preserve"> 详见本项目招标代理协议书。</w:t>
      </w:r>
    </w:p>
    <w:p w14:paraId="526674CD">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、语言文字和适用法律</w:t>
      </w:r>
    </w:p>
    <w:p w14:paraId="5D23AC44">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3.1</w:t>
      </w:r>
      <w:r>
        <w:rPr>
          <w:rFonts w:hint="eastAsia" w:ascii="仿宋_GB2312" w:hAnsi="宋体" w:eastAsia="仿宋_GB2312"/>
          <w:color w:val="auto"/>
          <w:sz w:val="24"/>
          <w:szCs w:val="24"/>
          <w:highlight w:val="none"/>
          <w:lang w:val="zh-CN"/>
        </w:rPr>
        <w:t xml:space="preserve"> 语言文字</w:t>
      </w:r>
    </w:p>
    <w:p w14:paraId="012EB369">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本合同采用的文字为：</w:t>
      </w:r>
      <w:r>
        <w:rPr>
          <w:rFonts w:hint="eastAsia" w:ascii="仿宋_GB2312" w:hAnsi="宋体" w:eastAsia="仿宋_GB2312"/>
          <w:color w:val="auto"/>
          <w:sz w:val="24"/>
          <w:szCs w:val="24"/>
          <w:highlight w:val="none"/>
          <w:u w:val="single"/>
          <w:lang w:val="zh-CN"/>
        </w:rPr>
        <w:t>汉语语言文字。</w:t>
      </w:r>
    </w:p>
    <w:p w14:paraId="588F65F4">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3.2</w:t>
      </w:r>
      <w:r>
        <w:rPr>
          <w:rFonts w:hint="eastAsia" w:ascii="仿宋_GB2312" w:hAnsi="宋体" w:eastAsia="仿宋_GB2312"/>
          <w:color w:val="auto"/>
          <w:sz w:val="24"/>
          <w:szCs w:val="24"/>
          <w:highlight w:val="none"/>
          <w:lang w:val="zh-CN"/>
        </w:rPr>
        <w:t xml:space="preserve"> 本合同需要明示的法律、行政法规：</w:t>
      </w:r>
      <w:r>
        <w:rPr>
          <w:rFonts w:hint="eastAsia" w:ascii="仿宋_GB2312" w:hAnsi="宋体" w:eastAsia="仿宋_GB2312"/>
          <w:color w:val="auto"/>
          <w:sz w:val="24"/>
          <w:szCs w:val="24"/>
          <w:highlight w:val="none"/>
          <w:u w:val="single"/>
        </w:rPr>
        <w:t>《中华人民共和国民法典》、《中华人民共和国招标投标法》和有关招标投标现行规定。</w:t>
      </w:r>
    </w:p>
    <w:p w14:paraId="5EA5DF04">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二、双方一般权利和义务</w:t>
      </w:r>
    </w:p>
    <w:p w14:paraId="4BEB613B">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4</w:t>
      </w:r>
      <w:r>
        <w:rPr>
          <w:rFonts w:hint="eastAsia" w:ascii="仿宋_GB2312" w:hAnsi="宋体" w:eastAsia="仿宋_GB2312"/>
          <w:color w:val="auto"/>
          <w:sz w:val="24"/>
          <w:szCs w:val="24"/>
          <w:highlight w:val="none"/>
          <w:lang w:val="zh-CN"/>
        </w:rPr>
        <w:t>、委托人的义务</w:t>
      </w:r>
    </w:p>
    <w:p w14:paraId="21325153">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ascii="仿宋_GB2312" w:hAnsi="宋体" w:eastAsia="仿宋_GB2312"/>
          <w:color w:val="auto"/>
          <w:sz w:val="24"/>
          <w:szCs w:val="24"/>
          <w:highlight w:val="none"/>
          <w:lang w:val="zh-CN"/>
        </w:rPr>
        <w:t>4.1</w:t>
      </w:r>
      <w:r>
        <w:rPr>
          <w:rFonts w:hint="eastAsia" w:ascii="仿宋_GB2312" w:hAnsi="宋体" w:eastAsia="仿宋_GB2312"/>
          <w:color w:val="auto"/>
          <w:sz w:val="24"/>
          <w:szCs w:val="24"/>
          <w:highlight w:val="none"/>
          <w:lang w:val="zh-CN"/>
        </w:rPr>
        <w:t xml:space="preserve"> 委托招标代理工作的具体范围和内容</w:t>
      </w:r>
      <w:r>
        <w:rPr>
          <w:rFonts w:hint="eastAsia" w:ascii="仿宋_GB2312" w:hAnsi="宋体" w:eastAsia="仿宋_GB2312"/>
          <w:color w:val="auto"/>
          <w:sz w:val="24"/>
          <w:szCs w:val="24"/>
          <w:highlight w:val="none"/>
          <w:u w:val="single"/>
          <w:lang w:val="zh-CN"/>
        </w:rPr>
        <w:t>：依法组织本项目全过程的招标代理服务的招标工作，包括但不限于依法向招标监管部门办理招标申请、招标全过程备案手续；依法编制招标工作方案、招标公告、招标文件（含资格审查文件）；依法发布招标公告、完成招标文件修改及澄清、组织踏勘现场，依法组织接受报名及接收申请资料，依法组织资格审查、编写资格预审（或后审）报告；组织招标文件（含技术资料、图纸、控制价、工程量清单、答疑文件等）的发放、组织答疑会及整理答疑纪要文件；依法组织抽取专家评委和开标、评标工作；依法发布评标公示、中标公告，办理、发放中标通知书，协助招标人签订服务合同，编制、整理招标全过程资料，装订成册移交招标单位归档等招标相关系列工作。</w:t>
      </w:r>
    </w:p>
    <w:p w14:paraId="711BC998">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4.2</w:t>
      </w:r>
      <w:r>
        <w:rPr>
          <w:rFonts w:hint="eastAsia" w:ascii="仿宋_GB2312" w:hAnsi="宋体" w:eastAsia="仿宋_GB2312"/>
          <w:color w:val="auto"/>
          <w:sz w:val="24"/>
          <w:szCs w:val="24"/>
          <w:highlight w:val="none"/>
          <w:lang w:val="zh-CN"/>
        </w:rPr>
        <w:t xml:space="preserve"> 委托人应按约定的时间和要求完成下列工作：</w:t>
      </w:r>
    </w:p>
    <w:p w14:paraId="6A01D4FC">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vertAlign w:val="subscript"/>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）向受托人提供本工程招标代理业务应具备的相关工作前期资料（立项批准手续、规划许可、报建证等其</w:t>
      </w:r>
      <w:r>
        <w:rPr>
          <w:rFonts w:hint="eastAsia" w:ascii="仿宋_GB2312" w:hAnsi="宋体" w:eastAsia="仿宋_GB2312"/>
          <w:color w:val="auto"/>
          <w:sz w:val="24"/>
          <w:szCs w:val="24"/>
          <w:highlight w:val="none"/>
        </w:rPr>
        <w:t>他</w:t>
      </w:r>
      <w:r>
        <w:rPr>
          <w:rFonts w:hint="eastAsia" w:ascii="仿宋_GB2312" w:hAnsi="宋体" w:eastAsia="仿宋_GB2312"/>
          <w:color w:val="auto"/>
          <w:sz w:val="24"/>
          <w:szCs w:val="24"/>
          <w:highlight w:val="none"/>
          <w:lang w:val="zh-CN"/>
        </w:rPr>
        <w:t>招标有关文件）及资金落实情况资料的时间：</w:t>
      </w:r>
      <w:r>
        <w:rPr>
          <w:rFonts w:hint="eastAsia" w:ascii="仿宋_GB2312" w:hAnsi="宋体" w:eastAsia="仿宋_GB2312"/>
          <w:color w:val="auto"/>
          <w:sz w:val="24"/>
          <w:szCs w:val="24"/>
          <w:highlight w:val="none"/>
          <w:u w:val="single"/>
          <w:lang w:val="zh-CN"/>
        </w:rPr>
        <w:t>项目招标申请2天前。</w:t>
      </w:r>
    </w:p>
    <w:p w14:paraId="5D62B811">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）向受托人提供完成代理招标业务所需的全部资料的时间：</w:t>
      </w:r>
      <w:r>
        <w:rPr>
          <w:rFonts w:hint="eastAsia" w:ascii="仿宋_GB2312" w:hAnsi="宋体" w:eastAsia="仿宋_GB2312"/>
          <w:color w:val="auto"/>
          <w:sz w:val="24"/>
          <w:szCs w:val="24"/>
          <w:highlight w:val="none"/>
          <w:u w:val="single"/>
          <w:lang w:val="zh-CN"/>
        </w:rPr>
        <w:t xml:space="preserve"> 项目招标申请2天前。</w:t>
      </w:r>
    </w:p>
    <w:p w14:paraId="1B8DF6EF">
      <w:pPr>
        <w:snapToGrid w:val="0"/>
        <w:spacing w:line="360" w:lineRule="auto"/>
        <w:ind w:firstLine="480" w:firstLineChars="200"/>
        <w:rPr>
          <w:color w:val="auto"/>
          <w:sz w:val="24"/>
          <w:szCs w:val="24"/>
          <w:highlight w:val="none"/>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）向受托人提供保证招标工作顺利完成的条件：</w:t>
      </w:r>
      <w:r>
        <w:rPr>
          <w:rFonts w:hint="eastAsia" w:ascii="仿宋_GB2312" w:hAnsi="宋体" w:eastAsia="仿宋_GB2312"/>
          <w:color w:val="auto"/>
          <w:sz w:val="24"/>
          <w:szCs w:val="24"/>
          <w:highlight w:val="none"/>
          <w:u w:val="single"/>
          <w:lang w:val="zh-CN"/>
        </w:rPr>
        <w:t>按时提供招标所需相关资料，若招标规模及范围等发生变更，应立即通知受托人，否则委托服务期限顺延。</w:t>
      </w:r>
    </w:p>
    <w:p w14:paraId="734E2C74">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（4）指定的与受托人联系的人员姓名：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联系电话：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w:t>
      </w:r>
    </w:p>
    <w:p w14:paraId="7915859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（5）需要与第三方协调的工作：</w:t>
      </w:r>
      <w:r>
        <w:rPr>
          <w:rFonts w:hint="eastAsia" w:ascii="仿宋_GB2312" w:hAnsi="宋体" w:eastAsia="仿宋_GB2312"/>
          <w:color w:val="auto"/>
          <w:sz w:val="24"/>
          <w:szCs w:val="24"/>
          <w:highlight w:val="none"/>
          <w:u w:val="single"/>
          <w:lang w:val="zh-CN"/>
        </w:rPr>
        <w:t>交易中心等相关部门的协调工作。</w:t>
      </w:r>
    </w:p>
    <w:p w14:paraId="051F1AAB">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5</w:t>
      </w:r>
      <w:r>
        <w:rPr>
          <w:rFonts w:hint="eastAsia" w:ascii="仿宋_GB2312" w:hAnsi="宋体" w:eastAsia="仿宋_GB2312"/>
          <w:color w:val="auto"/>
          <w:sz w:val="24"/>
          <w:szCs w:val="24"/>
          <w:highlight w:val="none"/>
          <w:lang w:val="zh-CN"/>
        </w:rPr>
        <w:t>、受托人的义务</w:t>
      </w:r>
    </w:p>
    <w:p w14:paraId="27172F4B">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lang w:val="zh-CN"/>
        </w:rPr>
        <w:t>5.1招标代理项目负责人员姓名：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联系电话：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lang w:val="zh-CN"/>
        </w:rPr>
        <w:t xml:space="preserve">  </w:t>
      </w:r>
    </w:p>
    <w:p w14:paraId="1061EA09">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5.</w:t>
      </w:r>
      <w:r>
        <w:rPr>
          <w:rFonts w:hint="eastAsia" w:ascii="仿宋_GB2312" w:hAnsi="宋体" w:eastAsia="仿宋_GB2312"/>
          <w:color w:val="auto"/>
          <w:sz w:val="24"/>
          <w:szCs w:val="24"/>
          <w:highlight w:val="none"/>
          <w:lang w:val="zh-CN"/>
        </w:rPr>
        <w:t>2受托人应按约定的时间和要求完成下列工作：</w:t>
      </w:r>
    </w:p>
    <w:p w14:paraId="3A269201">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）组织招标工作的内容和时间：</w:t>
      </w:r>
      <w:r>
        <w:rPr>
          <w:rFonts w:hint="eastAsia" w:ascii="仿宋_GB2312" w:hAnsi="宋体" w:eastAsia="仿宋_GB2312"/>
          <w:color w:val="auto"/>
          <w:sz w:val="24"/>
          <w:szCs w:val="24"/>
          <w:highlight w:val="none"/>
          <w:u w:val="single"/>
        </w:rPr>
        <w:t xml:space="preserve">按招标活动时间安排表执行。 </w:t>
      </w:r>
    </w:p>
    <w:p w14:paraId="1CA1E42B">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）为招标人提供的为完成招标工作的相关咨询服务：</w:t>
      </w:r>
      <w:r>
        <w:rPr>
          <w:rFonts w:hint="eastAsia" w:ascii="仿宋_GB2312" w:hAnsi="宋体" w:eastAsia="仿宋_GB2312"/>
          <w:color w:val="auto"/>
          <w:sz w:val="24"/>
          <w:szCs w:val="24"/>
          <w:highlight w:val="none"/>
          <w:u w:val="single"/>
          <w:lang w:val="zh-CN"/>
        </w:rPr>
        <w:t xml:space="preserve"> 招投标相关法律法规咨询。</w:t>
      </w:r>
    </w:p>
    <w:p w14:paraId="0C80D79A">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）承担招标代理业务过程中，应由受托人支付的费用：</w:t>
      </w:r>
      <w:r>
        <w:rPr>
          <w:rFonts w:hint="eastAsia" w:ascii="仿宋_GB2312" w:hAnsi="宋体" w:eastAsia="仿宋_GB2312"/>
          <w:color w:val="auto"/>
          <w:sz w:val="24"/>
          <w:szCs w:val="24"/>
          <w:highlight w:val="none"/>
          <w:u w:val="single"/>
          <w:lang w:val="zh-CN"/>
        </w:rPr>
        <w:t xml:space="preserve"> 受托人自身发生的相关费用。</w:t>
      </w:r>
    </w:p>
    <w:p w14:paraId="411E7509">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6</w:t>
      </w:r>
      <w:r>
        <w:rPr>
          <w:rFonts w:hint="eastAsia" w:ascii="仿宋_GB2312" w:hAnsi="宋体" w:eastAsia="仿宋_GB2312"/>
          <w:color w:val="auto"/>
          <w:sz w:val="24"/>
          <w:szCs w:val="24"/>
          <w:highlight w:val="none"/>
          <w:lang w:val="zh-CN"/>
        </w:rPr>
        <w:t>、委托人的权利</w:t>
      </w:r>
    </w:p>
    <w:p w14:paraId="7F791696">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ascii="仿宋_GB2312" w:hAnsi="宋体" w:eastAsia="仿宋_GB2312"/>
          <w:color w:val="auto"/>
          <w:sz w:val="24"/>
          <w:szCs w:val="24"/>
          <w:highlight w:val="none"/>
          <w:lang w:val="zh-CN"/>
        </w:rPr>
        <w:t>6.1</w:t>
      </w:r>
      <w:r>
        <w:rPr>
          <w:rFonts w:hint="eastAsia" w:ascii="仿宋_GB2312" w:hAnsi="宋体" w:eastAsia="仿宋_GB2312"/>
          <w:color w:val="auto"/>
          <w:sz w:val="24"/>
          <w:szCs w:val="24"/>
          <w:highlight w:val="none"/>
          <w:lang w:val="zh-CN"/>
        </w:rPr>
        <w:t xml:space="preserve"> 委托人拥有的权利：</w:t>
      </w:r>
      <w:r>
        <w:rPr>
          <w:rFonts w:hint="eastAsia" w:ascii="仿宋_GB2312" w:hAnsi="宋体" w:eastAsia="仿宋_GB2312"/>
          <w:color w:val="auto"/>
          <w:sz w:val="24"/>
          <w:szCs w:val="24"/>
          <w:highlight w:val="none"/>
          <w:u w:val="single"/>
          <w:lang w:val="zh-CN"/>
        </w:rPr>
        <w:t>按通用条款执行。</w:t>
      </w:r>
    </w:p>
    <w:p w14:paraId="527DF8FF">
      <w:pPr>
        <w:tabs>
          <w:tab w:val="left" w:pos="540"/>
        </w:tabs>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7</w:t>
      </w:r>
      <w:r>
        <w:rPr>
          <w:rFonts w:hint="eastAsia" w:ascii="仿宋_GB2312" w:hAnsi="宋体" w:eastAsia="仿宋_GB2312"/>
          <w:color w:val="auto"/>
          <w:sz w:val="24"/>
          <w:szCs w:val="24"/>
          <w:highlight w:val="none"/>
          <w:lang w:val="zh-CN"/>
        </w:rPr>
        <w:t>、受托人的权利</w:t>
      </w:r>
    </w:p>
    <w:p w14:paraId="674FA889">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ascii="仿宋_GB2312" w:hAnsi="宋体" w:eastAsia="仿宋_GB2312"/>
          <w:color w:val="auto"/>
          <w:sz w:val="24"/>
          <w:szCs w:val="24"/>
          <w:highlight w:val="none"/>
          <w:lang w:val="zh-CN"/>
        </w:rPr>
        <w:t>7.1</w:t>
      </w:r>
      <w:r>
        <w:rPr>
          <w:rFonts w:hint="eastAsia" w:ascii="仿宋_GB2312" w:hAnsi="宋体" w:eastAsia="仿宋_GB2312"/>
          <w:color w:val="auto"/>
          <w:sz w:val="24"/>
          <w:szCs w:val="24"/>
          <w:highlight w:val="none"/>
          <w:lang w:val="zh-CN"/>
        </w:rPr>
        <w:t xml:space="preserve"> 受托人拥有的权利：</w:t>
      </w:r>
      <w:r>
        <w:rPr>
          <w:rFonts w:hint="eastAsia" w:ascii="仿宋_GB2312" w:hAnsi="宋体" w:eastAsia="仿宋_GB2312"/>
          <w:color w:val="auto"/>
          <w:sz w:val="24"/>
          <w:szCs w:val="24"/>
          <w:highlight w:val="none"/>
          <w:u w:val="single"/>
          <w:lang w:val="zh-CN"/>
        </w:rPr>
        <w:t>按通用条款执行。</w:t>
      </w:r>
    </w:p>
    <w:p w14:paraId="3B2067C7">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三、委托代理报酬与收取</w:t>
      </w:r>
    </w:p>
    <w:p w14:paraId="576E0EC3">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8</w:t>
      </w:r>
      <w:r>
        <w:rPr>
          <w:rFonts w:hint="eastAsia" w:ascii="仿宋_GB2312" w:hAnsi="宋体" w:eastAsia="仿宋_GB2312"/>
          <w:color w:val="auto"/>
          <w:sz w:val="24"/>
          <w:szCs w:val="24"/>
          <w:highlight w:val="none"/>
          <w:lang w:val="zh-CN"/>
        </w:rPr>
        <w:t>、委托代理报酬</w:t>
      </w:r>
    </w:p>
    <w:p w14:paraId="2D1FAF48">
      <w:pPr>
        <w:tabs>
          <w:tab w:val="left" w:pos="7513"/>
        </w:tabs>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lang w:val="zh-CN"/>
        </w:rPr>
        <w:t>代理报酬的计算方法：招标代理服务费参照《招标代理服务收费管理暂行办法》（计价〔2002〕1980号）、《国家发展改革委关于降低部分建设项目收费标准规范收费行为等有关问题的通知》（发改价格〔2011〕534号）的规定，代理费按照不同服务类型（分为货物招标、服务招标、工程招标）的累计中标金额为基数，分别计算招标代理费用，</w:t>
      </w:r>
      <w:r>
        <w:rPr>
          <w:rFonts w:hint="eastAsia" w:ascii="仿宋_GB2312" w:hAnsi="宋体" w:eastAsia="仿宋_GB2312"/>
          <w:color w:val="auto"/>
          <w:sz w:val="24"/>
          <w:szCs w:val="24"/>
          <w:highlight w:val="none"/>
        </w:rPr>
        <w:t>下浮</w:t>
      </w:r>
      <w:r>
        <w:rPr>
          <w:rFonts w:ascii="仿宋_GB2312" w:hAnsi="宋体" w:eastAsia="仿宋_GB2312"/>
          <w:color w:val="auto"/>
          <w:sz w:val="24"/>
          <w:szCs w:val="24"/>
          <w:highlight w:val="none"/>
          <w:lang w:val="zh-CN"/>
        </w:rPr>
        <w:t>率</w:t>
      </w:r>
      <w:r>
        <w:rPr>
          <w:rFonts w:hint="eastAsia" w:ascii="仿宋_GB2312" w:hAnsi="宋体" w:eastAsia="仿宋_GB2312"/>
          <w:color w:val="auto"/>
          <w:sz w:val="24"/>
          <w:szCs w:val="24"/>
          <w:highlight w:val="none"/>
          <w:lang w:val="zh-CN"/>
        </w:rPr>
        <w:t>：</w:t>
      </w:r>
      <w:r>
        <w:rPr>
          <w:rFonts w:hint="eastAsia" w:ascii="仿宋_GB2312" w:hAnsi="宋体" w:eastAsia="仿宋_GB2312"/>
          <w:color w:val="auto"/>
          <w:sz w:val="24"/>
          <w:szCs w:val="24"/>
          <w:highlight w:val="none"/>
          <w:u w:val="single"/>
        </w:rPr>
        <w:t xml:space="preserve">   % </w:t>
      </w:r>
      <w:r>
        <w:rPr>
          <w:rFonts w:hint="eastAsia" w:ascii="仿宋_GB2312" w:hAnsi="宋体" w:eastAsia="仿宋_GB2312"/>
          <w:color w:val="auto"/>
          <w:sz w:val="24"/>
          <w:szCs w:val="24"/>
          <w:highlight w:val="none"/>
          <w:lang w:val="zh-CN"/>
        </w:rPr>
        <w:t xml:space="preserve"> ，</w:t>
      </w:r>
      <w:r>
        <w:rPr>
          <w:rFonts w:hint="eastAsia" w:ascii="仿宋_GB2312" w:hAnsi="宋体" w:eastAsia="仿宋_GB2312"/>
          <w:color w:val="auto"/>
          <w:sz w:val="24"/>
          <w:szCs w:val="24"/>
          <w:highlight w:val="none"/>
        </w:rPr>
        <w:t>如果采用勘察设计施工总承包（EPC）招标方式，</w:t>
      </w:r>
      <w:r>
        <w:rPr>
          <w:rFonts w:ascii="仿宋_GB2312" w:hAnsi="宋体" w:eastAsia="仿宋_GB2312"/>
          <w:color w:val="auto"/>
          <w:sz w:val="24"/>
          <w:szCs w:val="24"/>
          <w:highlight w:val="none"/>
        </w:rPr>
        <w:t>该招标代理费以中标价总额（勘察、设计、施工）为基数，按工程标费率计算</w:t>
      </w: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val="zh-CN"/>
        </w:rPr>
        <w:t>招标代理费用包括招标代理费、公告费、专家评标劳务费、交通费、餐费及与招投标相关工作等各项工作的全部费用，最终招标代理服务费</w:t>
      </w:r>
      <w:r>
        <w:rPr>
          <w:rFonts w:hint="eastAsia" w:ascii="仿宋_GB2312" w:hAnsi="宋体" w:eastAsia="仿宋_GB2312"/>
          <w:color w:val="auto"/>
          <w:sz w:val="24"/>
          <w:szCs w:val="24"/>
          <w:highlight w:val="none"/>
        </w:rPr>
        <w:t>按照上述约定</w:t>
      </w:r>
      <w:r>
        <w:rPr>
          <w:rFonts w:hint="eastAsia" w:ascii="仿宋_GB2312" w:hAnsi="宋体" w:eastAsia="仿宋_GB2312"/>
          <w:color w:val="auto"/>
          <w:sz w:val="24"/>
          <w:szCs w:val="24"/>
          <w:highlight w:val="none"/>
          <w:lang w:val="zh-CN"/>
        </w:rPr>
        <w:t>计费基数计</w:t>
      </w:r>
      <w:r>
        <w:rPr>
          <w:rFonts w:hint="eastAsia" w:ascii="仿宋_GB2312" w:hAnsi="宋体" w:eastAsia="仿宋_GB2312"/>
          <w:color w:val="auto"/>
          <w:sz w:val="24"/>
          <w:szCs w:val="24"/>
          <w:highlight w:val="none"/>
        </w:rPr>
        <w:t>算方式和下浮率进行结算，若结算价超过签约合同价，则按照签约合同价包干。</w:t>
      </w:r>
    </w:p>
    <w:p w14:paraId="7BB747A9">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8.3 在招标代理业务范围内所发生的费用的约定：</w:t>
      </w:r>
    </w:p>
    <w:p w14:paraId="17490AD9">
      <w:pPr>
        <w:snapToGri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8.3.1交易中心收取的交易场地使用费：</w:t>
      </w:r>
      <w:r>
        <w:rPr>
          <w:rFonts w:hint="eastAsia" w:ascii="仿宋_GB2312" w:hAnsi="宋体" w:eastAsia="仿宋_GB2312"/>
          <w:color w:val="auto"/>
          <w:sz w:val="24"/>
          <w:szCs w:val="24"/>
          <w:highlight w:val="none"/>
          <w:u w:val="single"/>
          <w:lang w:val="zh-CN"/>
        </w:rPr>
        <w:t>无。</w:t>
      </w:r>
    </w:p>
    <w:p w14:paraId="3D6B2947">
      <w:pPr>
        <w:snapToGri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8.3.2评标会务费及专家的劳务费、差旅费、报纸公告费：</w:t>
      </w:r>
      <w:r>
        <w:rPr>
          <w:rFonts w:hint="eastAsia" w:ascii="仿宋_GB2312" w:hAnsi="宋体" w:eastAsia="仿宋_GB2312"/>
          <w:color w:val="auto"/>
          <w:sz w:val="24"/>
          <w:szCs w:val="24"/>
          <w:highlight w:val="none"/>
          <w:u w:val="single"/>
          <w:lang w:val="zh-CN"/>
        </w:rPr>
        <w:t xml:space="preserve">含在招标代理费中，由受托人支付。 </w:t>
      </w:r>
    </w:p>
    <w:p w14:paraId="2ED4ABEC">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9</w:t>
      </w:r>
      <w:r>
        <w:rPr>
          <w:rFonts w:hint="eastAsia" w:ascii="仿宋_GB2312" w:hAnsi="宋体" w:eastAsia="仿宋_GB2312"/>
          <w:color w:val="auto"/>
          <w:sz w:val="24"/>
          <w:szCs w:val="24"/>
          <w:highlight w:val="none"/>
          <w:lang w:val="zh-CN"/>
        </w:rPr>
        <w:t>、委托代理报酬的收取</w:t>
      </w:r>
    </w:p>
    <w:p w14:paraId="397DD14B">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9.1该合同支付方式和时间如下：</w:t>
      </w:r>
    </w:p>
    <w:p w14:paraId="520908B6">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合同签订并完成单项招标工作后可按实际完成工作量支付80%进度款；完成</w:t>
      </w:r>
      <w:r>
        <w:rPr>
          <w:rFonts w:ascii="仿宋_GB2312" w:hAnsi="宋体" w:eastAsia="仿宋_GB2312"/>
          <w:color w:val="auto"/>
          <w:sz w:val="24"/>
          <w:szCs w:val="24"/>
          <w:highlight w:val="none"/>
        </w:rPr>
        <w:t>合同约定的所有工作，</w:t>
      </w:r>
      <w:r>
        <w:rPr>
          <w:rFonts w:hint="eastAsia" w:ascii="仿宋_GB2312" w:hAnsi="宋体" w:eastAsia="仿宋_GB2312"/>
          <w:color w:val="auto"/>
          <w:sz w:val="24"/>
          <w:szCs w:val="24"/>
          <w:highlight w:val="none"/>
        </w:rPr>
        <w:t>报送结算，经审核后付清招标代理费尾款。</w:t>
      </w:r>
    </w:p>
    <w:p w14:paraId="78EAEC75">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发票抬头（业主单位）：</w:t>
      </w:r>
    </w:p>
    <w:p w14:paraId="7910EE41">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纳税人识别号：</w:t>
      </w:r>
    </w:p>
    <w:p w14:paraId="6F81FCEC">
      <w:pPr>
        <w:spacing w:line="360"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开户行及账号：</w:t>
      </w:r>
    </w:p>
    <w:p w14:paraId="78015D7D">
      <w:pPr>
        <w:spacing w:line="360" w:lineRule="auto"/>
        <w:ind w:firstLine="480" w:firstLineChars="200"/>
        <w:rPr>
          <w:color w:val="auto"/>
          <w:sz w:val="24"/>
          <w:szCs w:val="24"/>
          <w:highlight w:val="none"/>
        </w:rPr>
      </w:pPr>
      <w:r>
        <w:rPr>
          <w:rFonts w:hint="eastAsia" w:ascii="仿宋_GB2312" w:hAnsi="宋体" w:eastAsia="仿宋_GB2312"/>
          <w:color w:val="auto"/>
          <w:sz w:val="24"/>
          <w:szCs w:val="24"/>
          <w:highlight w:val="none"/>
        </w:rPr>
        <w:t>地址：</w:t>
      </w:r>
    </w:p>
    <w:p w14:paraId="5A062574">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9.</w:t>
      </w:r>
      <w:r>
        <w:rPr>
          <w:rFonts w:hint="eastAsia" w:ascii="仿宋_GB2312" w:hAnsi="宋体" w:eastAsia="仿宋_GB2312"/>
          <w:color w:val="auto"/>
          <w:sz w:val="24"/>
          <w:szCs w:val="24"/>
          <w:highlight w:val="none"/>
          <w:lang w:val="zh-CN"/>
        </w:rPr>
        <w:t>3 逾期支付时，不支付利息。</w:t>
      </w:r>
    </w:p>
    <w:p w14:paraId="68AF2C4F">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四、违约、索赔和争议</w:t>
      </w:r>
    </w:p>
    <w:p w14:paraId="5300CAFD">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10</w:t>
      </w:r>
      <w:r>
        <w:rPr>
          <w:rFonts w:hint="eastAsia" w:ascii="仿宋_GB2312" w:hAnsi="宋体" w:eastAsia="仿宋_GB2312"/>
          <w:color w:val="auto"/>
          <w:sz w:val="24"/>
          <w:szCs w:val="24"/>
          <w:highlight w:val="none"/>
          <w:lang w:val="zh-CN"/>
        </w:rPr>
        <w:t>、违约</w:t>
      </w:r>
    </w:p>
    <w:p w14:paraId="300E5A20">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10.1</w:t>
      </w:r>
      <w:r>
        <w:rPr>
          <w:rFonts w:hint="eastAsia" w:ascii="仿宋_GB2312" w:hAnsi="宋体" w:eastAsia="仿宋_GB2312"/>
          <w:color w:val="auto"/>
          <w:sz w:val="24"/>
          <w:szCs w:val="24"/>
          <w:highlight w:val="none"/>
          <w:lang w:val="zh-CN"/>
        </w:rPr>
        <w:t xml:space="preserve"> 本合同关于委托人违约的具体责任：</w:t>
      </w:r>
      <w:r>
        <w:rPr>
          <w:rFonts w:ascii="仿宋_GB2312" w:hAnsi="宋体" w:eastAsia="仿宋_GB2312"/>
          <w:color w:val="auto"/>
          <w:sz w:val="24"/>
          <w:szCs w:val="24"/>
          <w:highlight w:val="none"/>
          <w:lang w:val="zh-CN"/>
        </w:rPr>
        <w:t xml:space="preserve"> </w:t>
      </w:r>
    </w:p>
    <w:p w14:paraId="3C052E15">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）委托人未按照本合同通用条款第</w:t>
      </w:r>
      <w:r>
        <w:rPr>
          <w:rFonts w:ascii="仿宋_GB2312" w:hAnsi="宋体" w:eastAsia="仿宋_GB2312"/>
          <w:color w:val="auto"/>
          <w:sz w:val="24"/>
          <w:szCs w:val="24"/>
          <w:highlight w:val="none"/>
          <w:lang w:val="zh-CN"/>
        </w:rPr>
        <w:t>4.2</w:t>
      </w: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）款的约定，向受托人提供保证招标工作顺利完成的条件应承担的违约责任：</w:t>
      </w:r>
      <w:r>
        <w:rPr>
          <w:rFonts w:hint="eastAsia" w:ascii="仿宋_GB2312" w:hAnsi="宋体" w:eastAsia="仿宋_GB2312"/>
          <w:color w:val="auto"/>
          <w:sz w:val="24"/>
          <w:szCs w:val="24"/>
          <w:highlight w:val="none"/>
          <w:u w:val="single"/>
          <w:lang w:val="zh-CN"/>
        </w:rPr>
        <w:t>招标时间相应顺延，并承担由此造成的损失。</w:t>
      </w:r>
    </w:p>
    <w:p w14:paraId="59B73D69">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）委托人未按本合同通用条款第</w:t>
      </w:r>
      <w:r>
        <w:rPr>
          <w:rFonts w:ascii="仿宋_GB2312" w:hAnsi="宋体" w:eastAsia="仿宋_GB2312"/>
          <w:color w:val="auto"/>
          <w:sz w:val="24"/>
          <w:szCs w:val="24"/>
          <w:highlight w:val="none"/>
          <w:lang w:val="zh-CN"/>
        </w:rPr>
        <w:t>4.2</w:t>
      </w: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6</w:t>
      </w:r>
      <w:r>
        <w:rPr>
          <w:rFonts w:hint="eastAsia" w:ascii="仿宋_GB2312" w:hAnsi="宋体" w:eastAsia="仿宋_GB2312"/>
          <w:color w:val="auto"/>
          <w:sz w:val="24"/>
          <w:szCs w:val="24"/>
          <w:highlight w:val="none"/>
          <w:lang w:val="zh-CN"/>
        </w:rPr>
        <w:t>）款的约定，向受托人支付委托代理报酬应承担的违约责任：</w:t>
      </w:r>
      <w:r>
        <w:rPr>
          <w:rFonts w:hint="eastAsia" w:ascii="仿宋_GB2312" w:hAnsi="宋体" w:eastAsia="仿宋_GB2312"/>
          <w:color w:val="auto"/>
          <w:sz w:val="24"/>
          <w:szCs w:val="24"/>
          <w:highlight w:val="none"/>
          <w:u w:val="single"/>
          <w:lang w:val="zh-CN"/>
        </w:rPr>
        <w:t xml:space="preserve">  /  </w:t>
      </w:r>
    </w:p>
    <w:p w14:paraId="0F82F9A7">
      <w:pPr>
        <w:snapToGri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）双方约定的委托人的其他违约责任：</w:t>
      </w:r>
      <w:r>
        <w:rPr>
          <w:rFonts w:hint="eastAsia" w:ascii="仿宋_GB2312" w:hAnsi="宋体" w:eastAsia="仿宋_GB2312"/>
          <w:color w:val="auto"/>
          <w:sz w:val="24"/>
          <w:szCs w:val="24"/>
          <w:highlight w:val="none"/>
          <w:u w:val="single"/>
          <w:lang w:val="zh-CN"/>
        </w:rPr>
        <w:t xml:space="preserve">  无 。</w:t>
      </w:r>
    </w:p>
    <w:p w14:paraId="5EA78FAA">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10.2</w:t>
      </w:r>
      <w:r>
        <w:rPr>
          <w:rFonts w:hint="eastAsia" w:ascii="仿宋_GB2312" w:hAnsi="宋体" w:eastAsia="仿宋_GB2312"/>
          <w:color w:val="auto"/>
          <w:sz w:val="24"/>
          <w:szCs w:val="24"/>
          <w:highlight w:val="none"/>
          <w:lang w:val="zh-CN"/>
        </w:rPr>
        <w:t xml:space="preserve"> 本合同关于受托人违约的具体责任：</w:t>
      </w:r>
      <w:r>
        <w:rPr>
          <w:rFonts w:ascii="仿宋_GB2312" w:hAnsi="宋体" w:eastAsia="仿宋_GB2312"/>
          <w:color w:val="auto"/>
          <w:sz w:val="24"/>
          <w:szCs w:val="24"/>
          <w:highlight w:val="none"/>
          <w:lang w:val="zh-CN"/>
        </w:rPr>
        <w:t xml:space="preserve"> </w:t>
      </w:r>
    </w:p>
    <w:p w14:paraId="39E6A73E">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）受托人未按照本合同通用条款第</w:t>
      </w:r>
      <w:r>
        <w:rPr>
          <w:rFonts w:ascii="仿宋_GB2312" w:hAnsi="宋体" w:eastAsia="仿宋_GB2312"/>
          <w:color w:val="auto"/>
          <w:sz w:val="24"/>
          <w:szCs w:val="24"/>
          <w:highlight w:val="none"/>
          <w:lang w:val="zh-CN"/>
        </w:rPr>
        <w:t>5.2</w:t>
      </w: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）款的约定，向委托人提供为完成招标工作的咨询服务应承担的责任：</w:t>
      </w:r>
      <w:r>
        <w:rPr>
          <w:rFonts w:hint="eastAsia" w:ascii="仿宋_GB2312" w:hAnsi="宋体" w:eastAsia="仿宋_GB2312"/>
          <w:color w:val="auto"/>
          <w:sz w:val="24"/>
          <w:szCs w:val="24"/>
          <w:highlight w:val="none"/>
          <w:u w:val="single"/>
          <w:lang w:val="zh-CN"/>
        </w:rPr>
        <w:t>（A）因受托人的过错，导致要对本项目已发出的招标文件进行澄清或者修改的，每发生一次扣减本合同价款5%的代理报酬。（B）因受托人的过错，导致本项目招标活动延期、重新评标或者重新招标的，每发生一次扣减本合同价款10%的代理报酬。因受托人的过错造成委托人损失的，除对符合上述（A）（B）的情形需扣减代理报酬外（按照上述（A）（B）的情形扣减代理报酬以本合同价款为上限），</w:t>
      </w:r>
      <w:r>
        <w:rPr>
          <w:rFonts w:hint="eastAsia" w:ascii="仿宋_GB2312" w:hAnsi="宋体" w:eastAsia="仿宋_GB2312"/>
          <w:color w:val="auto"/>
          <w:sz w:val="24"/>
          <w:szCs w:val="24"/>
          <w:highlight w:val="none"/>
          <w:u w:val="single"/>
        </w:rPr>
        <w:t>受托人应</w:t>
      </w:r>
      <w:r>
        <w:rPr>
          <w:rFonts w:hint="eastAsia" w:ascii="仿宋_GB2312" w:hAnsi="宋体" w:eastAsia="仿宋_GB2312"/>
          <w:color w:val="auto"/>
          <w:sz w:val="24"/>
          <w:szCs w:val="24"/>
          <w:highlight w:val="none"/>
          <w:u w:val="single"/>
          <w:lang w:val="zh-CN"/>
        </w:rPr>
        <w:t>承担赔偿责任。</w:t>
      </w:r>
    </w:p>
    <w:p w14:paraId="05CA0142">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）受托人违反本合同通用条款第</w:t>
      </w:r>
      <w:r>
        <w:rPr>
          <w:rFonts w:ascii="仿宋_GB2312" w:hAnsi="宋体" w:eastAsia="仿宋_GB2312"/>
          <w:color w:val="auto"/>
          <w:sz w:val="24"/>
          <w:szCs w:val="24"/>
          <w:highlight w:val="none"/>
          <w:lang w:val="zh-CN"/>
        </w:rPr>
        <w:t>5.4</w:t>
      </w:r>
      <w:r>
        <w:rPr>
          <w:rFonts w:hint="eastAsia" w:ascii="仿宋_GB2312" w:hAnsi="宋体" w:eastAsia="仿宋_GB2312"/>
          <w:color w:val="auto"/>
          <w:sz w:val="24"/>
          <w:szCs w:val="24"/>
          <w:highlight w:val="none"/>
          <w:lang w:val="zh-CN"/>
        </w:rPr>
        <w:t>款的约定，接受了与本合同工程建设项目有关的投标咨询业务应承担的违约责任：</w:t>
      </w:r>
      <w:r>
        <w:rPr>
          <w:rFonts w:hint="eastAsia" w:ascii="仿宋_GB2312" w:hAnsi="宋体" w:eastAsia="仿宋_GB2312"/>
          <w:color w:val="auto"/>
          <w:sz w:val="24"/>
          <w:szCs w:val="24"/>
          <w:highlight w:val="none"/>
          <w:u w:val="single"/>
          <w:lang w:val="zh-CN"/>
        </w:rPr>
        <w:t>委托人有权解除合同，</w:t>
      </w:r>
      <w:r>
        <w:rPr>
          <w:rFonts w:hint="eastAsia" w:ascii="仿宋_GB2312" w:hAnsi="宋体" w:eastAsia="仿宋_GB2312"/>
          <w:color w:val="auto"/>
          <w:sz w:val="24"/>
          <w:szCs w:val="24"/>
          <w:highlight w:val="none"/>
          <w:u w:val="single"/>
        </w:rPr>
        <w:t>委托人无需向受托人支付未支付的代理报酬，</w:t>
      </w:r>
      <w:r>
        <w:rPr>
          <w:rFonts w:hint="eastAsia" w:ascii="仿宋_GB2312" w:hAnsi="宋体" w:eastAsia="仿宋_GB2312"/>
          <w:color w:val="auto"/>
          <w:sz w:val="24"/>
          <w:szCs w:val="24"/>
          <w:highlight w:val="none"/>
          <w:u w:val="single"/>
          <w:lang w:val="zh-CN"/>
        </w:rPr>
        <w:t>受托人</w:t>
      </w:r>
      <w:r>
        <w:rPr>
          <w:rFonts w:hint="eastAsia" w:ascii="仿宋_GB2312" w:hAnsi="宋体" w:eastAsia="仿宋_GB2312"/>
          <w:color w:val="auto"/>
          <w:sz w:val="24"/>
          <w:szCs w:val="24"/>
          <w:highlight w:val="none"/>
          <w:u w:val="single"/>
        </w:rPr>
        <w:t>需向委托人退回全部已收取的代理报酬，并</w:t>
      </w:r>
      <w:r>
        <w:rPr>
          <w:rFonts w:hint="eastAsia" w:ascii="仿宋_GB2312" w:hAnsi="宋体" w:eastAsia="仿宋_GB2312"/>
          <w:color w:val="auto"/>
          <w:sz w:val="24"/>
          <w:szCs w:val="24"/>
          <w:highlight w:val="none"/>
          <w:u w:val="single"/>
          <w:lang w:val="zh-CN"/>
        </w:rPr>
        <w:t>按国家</w:t>
      </w:r>
      <w:r>
        <w:rPr>
          <w:rFonts w:hint="eastAsia" w:ascii="仿宋_GB2312" w:hAnsi="宋体" w:eastAsia="仿宋_GB2312"/>
          <w:color w:val="auto"/>
          <w:sz w:val="24"/>
          <w:szCs w:val="24"/>
          <w:highlight w:val="none"/>
          <w:u w:val="single"/>
        </w:rPr>
        <w:t>招标投标法律法规</w:t>
      </w:r>
      <w:r>
        <w:rPr>
          <w:rFonts w:hint="eastAsia" w:ascii="仿宋_GB2312" w:hAnsi="宋体" w:eastAsia="仿宋_GB2312"/>
          <w:color w:val="auto"/>
          <w:sz w:val="24"/>
          <w:szCs w:val="24"/>
          <w:highlight w:val="none"/>
          <w:u w:val="single"/>
          <w:lang w:val="zh-CN"/>
        </w:rPr>
        <w:t>规定承担责任，</w:t>
      </w:r>
      <w:r>
        <w:rPr>
          <w:rFonts w:ascii="仿宋_GB2312" w:hAnsi="宋体" w:eastAsia="仿宋_GB2312"/>
          <w:color w:val="auto"/>
          <w:sz w:val="24"/>
          <w:szCs w:val="24"/>
          <w:highlight w:val="none"/>
          <w:u w:val="single"/>
          <w:lang w:val="zh-CN"/>
        </w:rPr>
        <w:t>如造成委托人损失的，受托人应承担赔偿责任</w:t>
      </w:r>
      <w:r>
        <w:rPr>
          <w:rFonts w:hint="eastAsia" w:ascii="仿宋_GB2312" w:hAnsi="宋体" w:eastAsia="仿宋_GB2312"/>
          <w:color w:val="auto"/>
          <w:sz w:val="24"/>
          <w:szCs w:val="24"/>
          <w:highlight w:val="none"/>
          <w:u w:val="single"/>
          <w:lang w:val="zh-CN"/>
        </w:rPr>
        <w:t>。</w:t>
      </w:r>
    </w:p>
    <w:p w14:paraId="05238C3E">
      <w:pPr>
        <w:autoSpaceDE w:val="0"/>
        <w:autoSpaceDN w:val="0"/>
        <w:adjustRightInd w:val="0"/>
        <w:spacing w:line="360" w:lineRule="auto"/>
        <w:ind w:firstLine="480" w:firstLineChars="200"/>
        <w:rPr>
          <w:rFonts w:ascii="仿宋_GB2312" w:hAnsi="宋体" w:eastAsia="仿宋_GB2312"/>
          <w:color w:val="auto"/>
          <w:sz w:val="24"/>
          <w:szCs w:val="24"/>
          <w:highlight w:val="none"/>
          <w:u w:val="singl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3</w:t>
      </w:r>
      <w:r>
        <w:rPr>
          <w:rFonts w:hint="eastAsia" w:ascii="仿宋_GB2312" w:hAnsi="宋体" w:eastAsia="仿宋_GB2312"/>
          <w:color w:val="auto"/>
          <w:sz w:val="24"/>
          <w:szCs w:val="24"/>
          <w:highlight w:val="none"/>
          <w:lang w:val="zh-CN"/>
        </w:rPr>
        <w:t>）受托人违反本合同通用条款第</w:t>
      </w:r>
      <w:r>
        <w:rPr>
          <w:rFonts w:ascii="仿宋_GB2312" w:hAnsi="宋体" w:eastAsia="仿宋_GB2312"/>
          <w:color w:val="auto"/>
          <w:sz w:val="24"/>
          <w:szCs w:val="24"/>
          <w:highlight w:val="none"/>
          <w:lang w:val="zh-CN"/>
        </w:rPr>
        <w:t>5.7</w:t>
      </w:r>
      <w:r>
        <w:rPr>
          <w:rFonts w:hint="eastAsia" w:ascii="仿宋_GB2312" w:hAnsi="宋体" w:eastAsia="仿宋_GB2312"/>
          <w:color w:val="auto"/>
          <w:sz w:val="24"/>
          <w:szCs w:val="24"/>
          <w:highlight w:val="none"/>
          <w:lang w:val="zh-CN"/>
        </w:rPr>
        <w:t>款的约定，泄露了与本合同工程有关的任何不应泄露的招标资料和情况应承担的违约责任：</w:t>
      </w:r>
      <w:r>
        <w:rPr>
          <w:rFonts w:hint="eastAsia" w:ascii="仿宋_GB2312" w:hAnsi="宋体" w:eastAsia="仿宋_GB2312"/>
          <w:color w:val="auto"/>
          <w:sz w:val="24"/>
          <w:szCs w:val="24"/>
          <w:highlight w:val="none"/>
          <w:u w:val="single"/>
          <w:lang w:val="zh-CN"/>
        </w:rPr>
        <w:t>委托人有权解除合同，</w:t>
      </w:r>
      <w:r>
        <w:rPr>
          <w:rFonts w:hint="eastAsia" w:ascii="仿宋_GB2312" w:hAnsi="宋体" w:eastAsia="仿宋_GB2312"/>
          <w:color w:val="auto"/>
          <w:sz w:val="24"/>
          <w:szCs w:val="24"/>
          <w:highlight w:val="none"/>
          <w:u w:val="single"/>
        </w:rPr>
        <w:t>委托人无需向受托人支付未支付的代理报酬，</w:t>
      </w:r>
      <w:r>
        <w:rPr>
          <w:rFonts w:hint="eastAsia" w:ascii="仿宋_GB2312" w:hAnsi="宋体" w:eastAsia="仿宋_GB2312"/>
          <w:color w:val="auto"/>
          <w:sz w:val="24"/>
          <w:szCs w:val="24"/>
          <w:highlight w:val="none"/>
          <w:u w:val="single"/>
          <w:lang w:val="zh-CN"/>
        </w:rPr>
        <w:t>受托人</w:t>
      </w:r>
      <w:r>
        <w:rPr>
          <w:rFonts w:hint="eastAsia" w:ascii="仿宋_GB2312" w:hAnsi="宋体" w:eastAsia="仿宋_GB2312"/>
          <w:color w:val="auto"/>
          <w:sz w:val="24"/>
          <w:szCs w:val="24"/>
          <w:highlight w:val="none"/>
          <w:u w:val="single"/>
        </w:rPr>
        <w:t>需向委托人退回全部已收取的代理报酬，并</w:t>
      </w:r>
      <w:r>
        <w:rPr>
          <w:rFonts w:hint="eastAsia" w:ascii="仿宋_GB2312" w:hAnsi="宋体" w:eastAsia="仿宋_GB2312"/>
          <w:color w:val="auto"/>
          <w:sz w:val="24"/>
          <w:szCs w:val="24"/>
          <w:highlight w:val="none"/>
          <w:u w:val="single"/>
          <w:lang w:val="zh-CN"/>
        </w:rPr>
        <w:t>按国家</w:t>
      </w:r>
      <w:r>
        <w:rPr>
          <w:rFonts w:hint="eastAsia" w:ascii="仿宋_GB2312" w:hAnsi="宋体" w:eastAsia="仿宋_GB2312"/>
          <w:color w:val="auto"/>
          <w:sz w:val="24"/>
          <w:szCs w:val="24"/>
          <w:highlight w:val="none"/>
          <w:u w:val="single"/>
        </w:rPr>
        <w:t>招标投标法律法规</w:t>
      </w:r>
      <w:r>
        <w:rPr>
          <w:rFonts w:hint="eastAsia" w:ascii="仿宋_GB2312" w:hAnsi="宋体" w:eastAsia="仿宋_GB2312"/>
          <w:color w:val="auto"/>
          <w:sz w:val="24"/>
          <w:szCs w:val="24"/>
          <w:highlight w:val="none"/>
          <w:u w:val="single"/>
          <w:lang w:val="zh-CN"/>
        </w:rPr>
        <w:t>规定承担责任，</w:t>
      </w:r>
      <w:r>
        <w:rPr>
          <w:rFonts w:ascii="仿宋_GB2312" w:hAnsi="宋体" w:eastAsia="仿宋_GB2312"/>
          <w:color w:val="auto"/>
          <w:sz w:val="24"/>
          <w:szCs w:val="24"/>
          <w:highlight w:val="none"/>
          <w:u w:val="single"/>
          <w:lang w:val="zh-CN"/>
        </w:rPr>
        <w:t>如造成委托人损失的，受托人应承担赔偿责任</w:t>
      </w:r>
      <w:r>
        <w:rPr>
          <w:rFonts w:hint="eastAsia" w:ascii="仿宋_GB2312" w:hAnsi="宋体" w:eastAsia="仿宋_GB2312"/>
          <w:color w:val="auto"/>
          <w:sz w:val="24"/>
          <w:szCs w:val="24"/>
          <w:highlight w:val="none"/>
          <w:u w:val="single"/>
          <w:lang w:val="zh-CN"/>
        </w:rPr>
        <w:t>。</w:t>
      </w:r>
    </w:p>
    <w:p w14:paraId="238B2AFC">
      <w:pPr>
        <w:spacing w:line="360"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4</w:t>
      </w:r>
      <w:r>
        <w:rPr>
          <w:rFonts w:hint="eastAsia" w:ascii="仿宋_GB2312" w:hAnsi="宋体" w:eastAsia="仿宋_GB2312"/>
          <w:color w:val="auto"/>
          <w:sz w:val="24"/>
          <w:szCs w:val="24"/>
          <w:highlight w:val="none"/>
          <w:lang w:val="zh-CN"/>
        </w:rPr>
        <w:t>）双方约定的受托人的其他违约责任：</w:t>
      </w:r>
      <w:r>
        <w:rPr>
          <w:rFonts w:hint="eastAsia" w:ascii="仿宋_GB2312" w:hAnsi="宋体" w:eastAsia="仿宋_GB2312"/>
          <w:color w:val="auto"/>
          <w:sz w:val="24"/>
          <w:szCs w:val="24"/>
          <w:highlight w:val="none"/>
          <w:u w:val="single"/>
        </w:rPr>
        <w:t>如在本合同履行期间，因政策变化、计划调整等非委托人与受托人双方自身原因及其他不可抗力的原因，造成本项目停止或延缓，则受托人必须无条件接受委托人要求终止服务，并应积极配合委托人做好善后工作，委托人无需向受托人承担任何违约责任。如受托人未开展招标代理工作的，应退还委托人已付费用；如受托人已经开展咨询工作的，双方按照受托人已完成工作量按照本合同约定支付相应合同款。</w:t>
      </w:r>
    </w:p>
    <w:p w14:paraId="4B94D3CC">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10.3</w:t>
      </w:r>
      <w:r>
        <w:rPr>
          <w:rFonts w:ascii="仿宋_GB2312" w:hAnsi="宋体" w:eastAsia="仿宋_GB2312"/>
          <w:color w:val="auto"/>
          <w:sz w:val="24"/>
          <w:szCs w:val="24"/>
          <w:highlight w:val="none"/>
          <w:lang w:val="zh-CN"/>
        </w:rPr>
        <w:t xml:space="preserve"> </w:t>
      </w:r>
      <w:r>
        <w:rPr>
          <w:rFonts w:hint="eastAsia" w:ascii="仿宋_GB2312" w:hAnsi="宋体" w:eastAsia="仿宋_GB2312"/>
          <w:color w:val="auto"/>
          <w:sz w:val="24"/>
          <w:szCs w:val="24"/>
          <w:highlight w:val="none"/>
          <w:lang w:val="zh-CN"/>
        </w:rPr>
        <w:t>如</w:t>
      </w:r>
      <w:r>
        <w:rPr>
          <w:rFonts w:ascii="仿宋_GB2312" w:hAnsi="宋体" w:eastAsia="仿宋_GB2312"/>
          <w:color w:val="auto"/>
          <w:sz w:val="24"/>
          <w:szCs w:val="24"/>
          <w:highlight w:val="none"/>
          <w:lang w:val="zh-CN"/>
        </w:rPr>
        <w:t>任何</w:t>
      </w:r>
      <w:r>
        <w:rPr>
          <w:rFonts w:hint="eastAsia" w:ascii="仿宋_GB2312" w:hAnsi="宋体" w:eastAsia="仿宋_GB2312"/>
          <w:color w:val="auto"/>
          <w:sz w:val="24"/>
          <w:szCs w:val="24"/>
          <w:highlight w:val="none"/>
          <w:lang w:val="zh-CN"/>
        </w:rPr>
        <w:t>一方</w:t>
      </w:r>
      <w:r>
        <w:rPr>
          <w:rFonts w:ascii="仿宋_GB2312" w:hAnsi="宋体" w:eastAsia="仿宋_GB2312"/>
          <w:color w:val="auto"/>
          <w:sz w:val="24"/>
          <w:szCs w:val="24"/>
          <w:highlight w:val="none"/>
          <w:lang w:val="zh-CN"/>
        </w:rPr>
        <w:t>违约，守约方因维护</w:t>
      </w:r>
      <w:r>
        <w:rPr>
          <w:rFonts w:hint="eastAsia" w:ascii="仿宋_GB2312" w:hAnsi="宋体" w:eastAsia="仿宋_GB2312"/>
          <w:color w:val="auto"/>
          <w:sz w:val="24"/>
          <w:szCs w:val="24"/>
          <w:highlight w:val="none"/>
          <w:lang w:val="zh-CN"/>
        </w:rPr>
        <w:t>其</w:t>
      </w:r>
      <w:r>
        <w:rPr>
          <w:rFonts w:ascii="仿宋_GB2312" w:hAnsi="宋体" w:eastAsia="仿宋_GB2312"/>
          <w:color w:val="auto"/>
          <w:sz w:val="24"/>
          <w:szCs w:val="24"/>
          <w:highlight w:val="none"/>
          <w:lang w:val="zh-CN"/>
        </w:rPr>
        <w:t>权益而产生的一切费用（</w:t>
      </w:r>
      <w:r>
        <w:rPr>
          <w:rFonts w:hint="eastAsia" w:ascii="仿宋_GB2312" w:hAnsi="宋体" w:eastAsia="仿宋_GB2312"/>
          <w:color w:val="auto"/>
          <w:sz w:val="24"/>
          <w:szCs w:val="24"/>
          <w:highlight w:val="none"/>
          <w:lang w:val="zh-CN"/>
        </w:rPr>
        <w:t>包括</w:t>
      </w:r>
      <w:r>
        <w:rPr>
          <w:rFonts w:ascii="仿宋_GB2312" w:hAnsi="宋体" w:eastAsia="仿宋_GB2312"/>
          <w:color w:val="auto"/>
          <w:sz w:val="24"/>
          <w:szCs w:val="24"/>
          <w:highlight w:val="none"/>
          <w:lang w:val="zh-CN"/>
        </w:rPr>
        <w:t>但不限于律师费、诉讼费、保全费、担保费、交通费、差旅费、鉴定费等）</w:t>
      </w:r>
      <w:r>
        <w:rPr>
          <w:rFonts w:hint="eastAsia" w:ascii="仿宋_GB2312" w:hAnsi="宋体" w:eastAsia="仿宋_GB2312"/>
          <w:color w:val="auto"/>
          <w:sz w:val="24"/>
          <w:szCs w:val="24"/>
          <w:highlight w:val="none"/>
          <w:lang w:val="zh-CN"/>
        </w:rPr>
        <w:t>均</w:t>
      </w:r>
      <w:r>
        <w:rPr>
          <w:rFonts w:ascii="仿宋_GB2312" w:hAnsi="宋体" w:eastAsia="仿宋_GB2312"/>
          <w:color w:val="auto"/>
          <w:sz w:val="24"/>
          <w:szCs w:val="24"/>
          <w:highlight w:val="none"/>
          <w:lang w:val="zh-CN"/>
        </w:rPr>
        <w:t>由违约方承担。</w:t>
      </w:r>
    </w:p>
    <w:p w14:paraId="36680C08">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12</w:t>
      </w:r>
      <w:r>
        <w:rPr>
          <w:rFonts w:hint="eastAsia" w:ascii="仿宋_GB2312" w:hAnsi="宋体" w:eastAsia="仿宋_GB2312"/>
          <w:color w:val="auto"/>
          <w:sz w:val="24"/>
          <w:szCs w:val="24"/>
          <w:highlight w:val="none"/>
          <w:lang w:val="zh-CN"/>
        </w:rPr>
        <w:t>、争议</w:t>
      </w:r>
    </w:p>
    <w:p w14:paraId="5FA62F12">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12.1</w:t>
      </w:r>
      <w:r>
        <w:rPr>
          <w:rFonts w:hint="eastAsia" w:ascii="仿宋_GB2312" w:hAnsi="宋体" w:eastAsia="仿宋_GB2312"/>
          <w:color w:val="auto"/>
          <w:sz w:val="24"/>
          <w:szCs w:val="24"/>
          <w:highlight w:val="none"/>
          <w:lang w:val="zh-CN"/>
        </w:rPr>
        <w:t xml:space="preserve"> 双方约定，凡因执行本合同所发生的与本合同有关的一切争议，当和解或调解不成时，选择下列第 </w:t>
      </w:r>
      <w:r>
        <w:rPr>
          <w:rFonts w:hint="eastAsia" w:ascii="仿宋_GB2312" w:hAnsi="宋体" w:eastAsia="仿宋_GB2312"/>
          <w:color w:val="auto"/>
          <w:sz w:val="24"/>
          <w:szCs w:val="24"/>
          <w:highlight w:val="none"/>
          <w:u w:val="single"/>
          <w:lang w:val="zh-CN"/>
        </w:rPr>
        <w:t xml:space="preserve"> （</w:t>
      </w:r>
      <w:r>
        <w:rPr>
          <w:rFonts w:hint="eastAsia" w:ascii="仿宋_GB2312" w:hAnsi="宋体" w:eastAsia="仿宋_GB2312"/>
          <w:color w:val="auto"/>
          <w:sz w:val="24"/>
          <w:szCs w:val="24"/>
          <w:highlight w:val="none"/>
          <w:u w:val="single"/>
        </w:rPr>
        <w:t>2</w:t>
      </w:r>
      <w:r>
        <w:rPr>
          <w:rFonts w:hint="eastAsia" w:ascii="仿宋_GB2312" w:hAnsi="宋体" w:eastAsia="仿宋_GB2312"/>
          <w:color w:val="auto"/>
          <w:sz w:val="24"/>
          <w:szCs w:val="24"/>
          <w:highlight w:val="none"/>
          <w:u w:val="single"/>
          <w:lang w:val="zh-CN"/>
        </w:rPr>
        <w:t>）</w:t>
      </w:r>
      <w:r>
        <w:rPr>
          <w:rFonts w:hint="eastAsia" w:ascii="仿宋_GB2312" w:hAnsi="宋体" w:eastAsia="仿宋_GB2312"/>
          <w:color w:val="auto"/>
          <w:sz w:val="24"/>
          <w:szCs w:val="24"/>
          <w:highlight w:val="none"/>
          <w:vertAlign w:val="subscript"/>
        </w:rPr>
        <w:t xml:space="preserve"> </w:t>
      </w:r>
      <w:r>
        <w:rPr>
          <w:rFonts w:hint="eastAsia" w:ascii="仿宋_GB2312" w:hAnsi="宋体" w:eastAsia="仿宋_GB2312"/>
          <w:color w:val="auto"/>
          <w:sz w:val="24"/>
          <w:szCs w:val="24"/>
          <w:highlight w:val="none"/>
          <w:lang w:val="zh-CN"/>
        </w:rPr>
        <w:t>种方式解决：</w:t>
      </w:r>
    </w:p>
    <w:p w14:paraId="19615BEB">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1</w:t>
      </w:r>
      <w:r>
        <w:rPr>
          <w:rFonts w:hint="eastAsia" w:ascii="仿宋_GB2312" w:hAnsi="宋体" w:eastAsia="仿宋_GB2312"/>
          <w:color w:val="auto"/>
          <w:sz w:val="24"/>
          <w:szCs w:val="24"/>
          <w:highlight w:val="none"/>
          <w:lang w:val="zh-CN"/>
        </w:rPr>
        <w:t>）将争议提交</w:t>
      </w:r>
      <w:r>
        <w:rPr>
          <w:rFonts w:hint="eastAsia" w:ascii="仿宋_GB2312" w:hAnsi="宋体" w:eastAsia="仿宋_GB2312"/>
          <w:color w:val="auto"/>
          <w:sz w:val="24"/>
          <w:szCs w:val="24"/>
          <w:highlight w:val="none"/>
          <w:u w:val="single"/>
          <w:lang w:val="zh-CN"/>
        </w:rPr>
        <w:t xml:space="preserve"> 广州 </w:t>
      </w:r>
      <w:r>
        <w:rPr>
          <w:rFonts w:hint="eastAsia" w:ascii="仿宋_GB2312" w:hAnsi="宋体" w:eastAsia="仿宋_GB2312"/>
          <w:color w:val="auto"/>
          <w:sz w:val="24"/>
          <w:szCs w:val="24"/>
          <w:highlight w:val="none"/>
          <w:lang w:val="zh-CN"/>
        </w:rPr>
        <w:t>仲裁委员会仲裁；</w:t>
      </w:r>
    </w:p>
    <w:p w14:paraId="6F16C5F1">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hint="eastAsia" w:ascii="仿宋_GB2312" w:hAnsi="宋体" w:eastAsia="仿宋_GB2312"/>
          <w:color w:val="auto"/>
          <w:sz w:val="24"/>
          <w:szCs w:val="24"/>
          <w:highlight w:val="none"/>
          <w:lang w:val="zh-CN"/>
        </w:rPr>
        <w:t>（</w:t>
      </w:r>
      <w:r>
        <w:rPr>
          <w:rFonts w:ascii="仿宋_GB2312" w:hAnsi="宋体" w:eastAsia="仿宋_GB2312"/>
          <w:color w:val="auto"/>
          <w:sz w:val="24"/>
          <w:szCs w:val="24"/>
          <w:highlight w:val="none"/>
          <w:lang w:val="zh-CN"/>
        </w:rPr>
        <w:t>2</w:t>
      </w:r>
      <w:r>
        <w:rPr>
          <w:rFonts w:hint="eastAsia" w:ascii="仿宋_GB2312" w:hAnsi="宋体" w:eastAsia="仿宋_GB2312"/>
          <w:color w:val="auto"/>
          <w:sz w:val="24"/>
          <w:szCs w:val="24"/>
          <w:highlight w:val="none"/>
          <w:lang w:val="zh-CN"/>
        </w:rPr>
        <w:t>）依法向</w:t>
      </w:r>
      <w:r>
        <w:rPr>
          <w:rFonts w:hint="eastAsia" w:ascii="仿宋_GB2312" w:hAnsi="宋体" w:eastAsia="仿宋_GB2312"/>
          <w:color w:val="auto"/>
          <w:sz w:val="24"/>
          <w:szCs w:val="24"/>
          <w:highlight w:val="none"/>
          <w:u w:val="single"/>
          <w:lang w:val="zh-CN"/>
        </w:rPr>
        <w:t>委托人</w:t>
      </w:r>
      <w:r>
        <w:rPr>
          <w:rFonts w:hint="eastAsia" w:ascii="仿宋_GB2312" w:hAnsi="宋体" w:eastAsia="仿宋_GB2312"/>
          <w:color w:val="auto"/>
          <w:sz w:val="24"/>
          <w:szCs w:val="24"/>
          <w:highlight w:val="none"/>
          <w:u w:val="single"/>
        </w:rPr>
        <w:t>所在地</w:t>
      </w:r>
      <w:r>
        <w:rPr>
          <w:rFonts w:hint="eastAsia" w:ascii="仿宋_GB2312" w:hAnsi="宋体" w:eastAsia="仿宋_GB2312"/>
          <w:color w:val="auto"/>
          <w:sz w:val="24"/>
          <w:szCs w:val="24"/>
          <w:highlight w:val="none"/>
          <w:lang w:val="zh-CN"/>
        </w:rPr>
        <w:t>人民法院提起诉讼。</w:t>
      </w:r>
    </w:p>
    <w:p w14:paraId="4229B70F">
      <w:pPr>
        <w:autoSpaceDE w:val="0"/>
        <w:autoSpaceDN w:val="0"/>
        <w:adjustRightInd w:val="0"/>
        <w:spacing w:line="360" w:lineRule="auto"/>
        <w:ind w:firstLine="482" w:firstLineChars="200"/>
        <w:rPr>
          <w:rFonts w:ascii="黑体" w:hAnsi="宋体" w:eastAsia="黑体"/>
          <w:b/>
          <w:bCs/>
          <w:color w:val="auto"/>
          <w:sz w:val="24"/>
          <w:szCs w:val="30"/>
          <w:highlight w:val="none"/>
          <w:lang w:val="zh-CN"/>
        </w:rPr>
      </w:pPr>
      <w:r>
        <w:rPr>
          <w:rFonts w:hint="eastAsia" w:ascii="黑体" w:hAnsi="宋体" w:eastAsia="黑体"/>
          <w:b/>
          <w:bCs/>
          <w:color w:val="auto"/>
          <w:sz w:val="24"/>
          <w:szCs w:val="30"/>
          <w:highlight w:val="none"/>
          <w:lang w:val="zh-CN"/>
        </w:rPr>
        <w:t>六、其他</w:t>
      </w:r>
    </w:p>
    <w:p w14:paraId="65E1A223">
      <w:pPr>
        <w:autoSpaceDE w:val="0"/>
        <w:autoSpaceDN w:val="0"/>
        <w:adjustRightInd w:val="0"/>
        <w:spacing w:line="360" w:lineRule="auto"/>
        <w:ind w:firstLine="480" w:firstLineChars="200"/>
        <w:rPr>
          <w:rFonts w:ascii="仿宋_GB2312" w:hAnsi="宋体" w:eastAsia="仿宋_GB2312"/>
          <w:color w:val="auto"/>
          <w:sz w:val="24"/>
          <w:szCs w:val="24"/>
          <w:highlight w:val="none"/>
          <w:lang w:val="zh-CN"/>
        </w:rPr>
      </w:pPr>
      <w:r>
        <w:rPr>
          <w:rFonts w:ascii="仿宋_GB2312" w:hAnsi="宋体" w:eastAsia="仿宋_GB2312"/>
          <w:color w:val="auto"/>
          <w:sz w:val="24"/>
          <w:szCs w:val="24"/>
          <w:highlight w:val="none"/>
          <w:lang w:val="zh-CN"/>
        </w:rPr>
        <w:t>16</w:t>
      </w:r>
      <w:r>
        <w:rPr>
          <w:rFonts w:hint="eastAsia" w:ascii="仿宋_GB2312" w:hAnsi="宋体" w:eastAsia="仿宋_GB2312"/>
          <w:color w:val="auto"/>
          <w:sz w:val="24"/>
          <w:szCs w:val="24"/>
          <w:highlight w:val="none"/>
          <w:lang w:val="zh-CN"/>
        </w:rPr>
        <w:t>、合同份数：双方约定本合同一式</w:t>
      </w:r>
      <w:r>
        <w:rPr>
          <w:rFonts w:hint="eastAsia" w:ascii="仿宋_GB2312" w:hAnsi="宋体" w:eastAsia="仿宋_GB2312"/>
          <w:color w:val="auto"/>
          <w:sz w:val="24"/>
          <w:szCs w:val="24"/>
          <w:highlight w:val="none"/>
          <w:u w:val="single"/>
        </w:rPr>
        <w:t>8</w:t>
      </w:r>
      <w:r>
        <w:rPr>
          <w:rFonts w:hint="eastAsia" w:ascii="仿宋_GB2312" w:hAnsi="宋体" w:eastAsia="仿宋_GB2312"/>
          <w:color w:val="auto"/>
          <w:sz w:val="24"/>
          <w:szCs w:val="24"/>
          <w:highlight w:val="none"/>
          <w:lang w:val="zh-CN"/>
        </w:rPr>
        <w:t>份，委托人</w:t>
      </w:r>
      <w:r>
        <w:rPr>
          <w:rFonts w:hint="eastAsia" w:ascii="仿宋_GB2312" w:hAnsi="宋体" w:eastAsia="仿宋_GB2312"/>
          <w:color w:val="auto"/>
          <w:sz w:val="24"/>
          <w:szCs w:val="24"/>
          <w:highlight w:val="none"/>
          <w:u w:val="single"/>
          <w:vertAlign w:val="subscript"/>
        </w:rPr>
        <w:t xml:space="preserve"> </w:t>
      </w:r>
      <w:r>
        <w:rPr>
          <w:rFonts w:hint="eastAsia" w:ascii="仿宋_GB2312" w:hAnsi="宋体" w:eastAsia="仿宋_GB2312"/>
          <w:color w:val="auto"/>
          <w:sz w:val="24"/>
          <w:szCs w:val="24"/>
          <w:highlight w:val="none"/>
          <w:u w:val="single"/>
        </w:rPr>
        <w:t xml:space="preserve">4 </w:t>
      </w:r>
      <w:r>
        <w:rPr>
          <w:rFonts w:hint="eastAsia" w:ascii="仿宋_GB2312" w:hAnsi="宋体" w:eastAsia="仿宋_GB2312"/>
          <w:color w:val="auto"/>
          <w:sz w:val="24"/>
          <w:szCs w:val="24"/>
          <w:highlight w:val="none"/>
          <w:lang w:val="zh-CN"/>
        </w:rPr>
        <w:t>份，受托人</w:t>
      </w:r>
      <w:r>
        <w:rPr>
          <w:rFonts w:hint="eastAsia" w:ascii="仿宋_GB2312" w:hAnsi="宋体" w:eastAsia="仿宋_GB2312"/>
          <w:color w:val="auto"/>
          <w:sz w:val="24"/>
          <w:szCs w:val="24"/>
          <w:highlight w:val="none"/>
          <w:u w:val="single"/>
          <w:vertAlign w:val="subscript"/>
        </w:rPr>
        <w:t xml:space="preserve"> </w:t>
      </w:r>
      <w:r>
        <w:rPr>
          <w:rFonts w:hint="eastAsia" w:ascii="仿宋_GB2312" w:hAnsi="宋体" w:eastAsia="仿宋_GB2312"/>
          <w:color w:val="auto"/>
          <w:sz w:val="24"/>
          <w:szCs w:val="24"/>
          <w:highlight w:val="none"/>
          <w:u w:val="single"/>
        </w:rPr>
        <w:t>4</w:t>
      </w:r>
      <w:r>
        <w:rPr>
          <w:rFonts w:hint="eastAsia" w:ascii="仿宋_GB2312" w:hAnsi="宋体" w:eastAsia="仿宋_GB2312"/>
          <w:color w:val="auto"/>
          <w:sz w:val="24"/>
          <w:szCs w:val="24"/>
          <w:highlight w:val="none"/>
          <w:vertAlign w:val="subscript"/>
        </w:rPr>
        <w:t xml:space="preserve">  </w:t>
      </w:r>
      <w:r>
        <w:rPr>
          <w:rFonts w:hint="eastAsia" w:ascii="仿宋_GB2312" w:hAnsi="宋体" w:eastAsia="仿宋_GB2312"/>
          <w:color w:val="auto"/>
          <w:sz w:val="24"/>
          <w:szCs w:val="24"/>
          <w:highlight w:val="none"/>
          <w:lang w:val="zh-CN"/>
        </w:rPr>
        <w:t>份。</w:t>
      </w:r>
    </w:p>
    <w:p w14:paraId="56B1C70A">
      <w:pPr>
        <w:autoSpaceDE w:val="0"/>
        <w:autoSpaceDN w:val="0"/>
        <w:adjustRightInd w:val="0"/>
        <w:spacing w:line="360" w:lineRule="auto"/>
        <w:ind w:firstLine="480" w:firstLineChars="200"/>
        <w:rPr>
          <w:rFonts w:ascii="仿宋_GB2312" w:hAnsi="宋体" w:eastAsia="仿宋_GB2312"/>
          <w:color w:val="auto"/>
          <w:szCs w:val="30"/>
          <w:highlight w:val="none"/>
          <w:lang w:val="zh-CN"/>
        </w:rPr>
      </w:pPr>
      <w:r>
        <w:rPr>
          <w:rFonts w:hint="eastAsia" w:ascii="仿宋_GB2312" w:hAnsi="宋体" w:eastAsia="仿宋_GB2312"/>
          <w:color w:val="auto"/>
          <w:sz w:val="24"/>
          <w:szCs w:val="24"/>
          <w:highlight w:val="none"/>
          <w:lang w:val="zh-CN"/>
        </w:rPr>
        <w:t>1</w:t>
      </w:r>
      <w:r>
        <w:rPr>
          <w:rFonts w:ascii="仿宋_GB2312" w:hAnsi="宋体" w:eastAsia="仿宋_GB2312"/>
          <w:color w:val="auto"/>
          <w:sz w:val="24"/>
          <w:szCs w:val="24"/>
          <w:highlight w:val="none"/>
          <w:lang w:val="zh-CN"/>
        </w:rPr>
        <w:t>7</w:t>
      </w:r>
      <w:r>
        <w:rPr>
          <w:rFonts w:hint="eastAsia" w:ascii="仿宋_GB2312" w:hAnsi="宋体" w:eastAsia="仿宋_GB2312"/>
          <w:color w:val="auto"/>
          <w:sz w:val="24"/>
          <w:szCs w:val="24"/>
          <w:highlight w:val="none"/>
          <w:lang w:val="zh-CN"/>
        </w:rPr>
        <w:t>、</w:t>
      </w:r>
      <w:r>
        <w:rPr>
          <w:rFonts w:hint="eastAsia" w:ascii="仿宋_GB2312" w:hAnsi="宋体" w:eastAsia="仿宋_GB2312"/>
          <w:color w:val="auto"/>
          <w:sz w:val="24"/>
          <w:szCs w:val="24"/>
          <w:highlight w:val="none"/>
        </w:rPr>
        <w:t>受托人</w:t>
      </w:r>
      <w:r>
        <w:rPr>
          <w:rFonts w:hint="eastAsia" w:ascii="仿宋_GB2312" w:hAnsi="宋体" w:eastAsia="仿宋_GB2312"/>
          <w:color w:val="auto"/>
          <w:sz w:val="24"/>
          <w:szCs w:val="24"/>
          <w:highlight w:val="none"/>
          <w:lang w:val="zh-CN"/>
        </w:rPr>
        <w:t xml:space="preserve">属于在中华人民共和国境内依法设立，依据国务院批准的中小企业划分标准确定的 □ 大型企业  □中型企业   </w:t>
      </w:r>
      <w:r>
        <w:rPr>
          <w:rFonts w:hint="eastAsia" w:ascii="Segoe UI Symbol" w:hAnsi="Segoe UI Symbol" w:eastAsia="仿宋_GB2312" w:cs="Segoe UI Symbol"/>
          <w:color w:val="auto"/>
          <w:sz w:val="24"/>
          <w:szCs w:val="24"/>
          <w:highlight w:val="none"/>
          <w:lang w:val="zh-CN"/>
        </w:rPr>
        <w:t>□</w:t>
      </w:r>
      <w:r>
        <w:rPr>
          <w:rFonts w:hint="eastAsia" w:ascii="仿宋_GB2312" w:hAnsi="宋体" w:eastAsia="仿宋_GB2312"/>
          <w:color w:val="auto"/>
          <w:sz w:val="24"/>
          <w:szCs w:val="24"/>
          <w:highlight w:val="none"/>
          <w:lang w:val="zh-CN"/>
        </w:rPr>
        <w:t xml:space="preserve"> 小型企业   □ 微型企业。</w:t>
      </w:r>
    </w:p>
    <w:p w14:paraId="4A31B2EE">
      <w:pPr>
        <w:rPr>
          <w:rFonts w:ascii="Times New Roman" w:hAnsi="Times New Roman"/>
          <w:color w:val="auto"/>
          <w:highlight w:val="none"/>
        </w:rPr>
      </w:pPr>
    </w:p>
    <w:p w14:paraId="649830FE">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廉 政 协 议</w:t>
      </w:r>
    </w:p>
    <w:p w14:paraId="2B213D8D">
      <w:pPr>
        <w:spacing w:line="360" w:lineRule="auto"/>
        <w:rPr>
          <w:rFonts w:ascii="仿宋" w:hAnsi="仿宋" w:eastAsia="仿宋" w:cs="仿宋"/>
          <w:color w:val="auto"/>
          <w:sz w:val="24"/>
          <w:szCs w:val="24"/>
          <w:highlight w:val="none"/>
        </w:rPr>
      </w:pPr>
    </w:p>
    <w:p w14:paraId="706A2A19">
      <w:pPr>
        <w:spacing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委托人：（全称）</w:t>
      </w:r>
      <w:r>
        <w:rPr>
          <w:rFonts w:hint="eastAsia" w:ascii="仿宋" w:hAnsi="仿宋" w:eastAsia="仿宋" w:cs="仿宋"/>
          <w:color w:val="auto"/>
          <w:sz w:val="24"/>
          <w:szCs w:val="28"/>
          <w:highlight w:val="none"/>
          <w:u w:val="single"/>
        </w:rPr>
        <w:t>广州市荔湾区建设工程项目代建中心</w:t>
      </w:r>
    </w:p>
    <w:p w14:paraId="68F5399F">
      <w:pPr>
        <w:spacing w:line="360" w:lineRule="auto"/>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受托人：（全称）</w:t>
      </w:r>
      <w:r>
        <w:rPr>
          <w:rFonts w:hint="eastAsia" w:ascii="仿宋" w:hAnsi="仿宋" w:eastAsia="仿宋" w:cs="仿宋"/>
          <w:color w:val="auto"/>
          <w:sz w:val="24"/>
          <w:szCs w:val="28"/>
          <w:highlight w:val="none"/>
          <w:u w:val="single"/>
        </w:rPr>
        <w:t xml:space="preserve">                               </w:t>
      </w:r>
    </w:p>
    <w:p w14:paraId="785A544D">
      <w:pPr>
        <w:spacing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0F3E8801">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kern w:val="0"/>
          <w:sz w:val="24"/>
          <w:szCs w:val="28"/>
          <w:highlight w:val="none"/>
          <w:lang w:val="zh-CN"/>
        </w:rPr>
        <w:t>根据国家、省、市有关廉政建设的规定，为做好</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的廉政建设，保障工程建设优质、安全和廉洁，提高建设资金的有效使用和投资效益，双方当事人就加强</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的廉政建设，订立本</w:t>
      </w:r>
      <w:r>
        <w:rPr>
          <w:rFonts w:hint="eastAsia" w:ascii="仿宋" w:hAnsi="仿宋" w:eastAsia="仿宋" w:cs="仿宋"/>
          <w:color w:val="auto"/>
          <w:kern w:val="0"/>
          <w:sz w:val="24"/>
          <w:szCs w:val="28"/>
          <w:highlight w:val="none"/>
        </w:rPr>
        <w:t>协议</w:t>
      </w:r>
      <w:r>
        <w:rPr>
          <w:rFonts w:hint="eastAsia" w:ascii="仿宋" w:hAnsi="仿宋" w:eastAsia="仿宋" w:cs="仿宋"/>
          <w:color w:val="auto"/>
          <w:sz w:val="24"/>
          <w:szCs w:val="28"/>
          <w:highlight w:val="none"/>
        </w:rPr>
        <w:t>。</w:t>
      </w:r>
    </w:p>
    <w:p w14:paraId="2D4075D6">
      <w:pPr>
        <w:spacing w:line="360" w:lineRule="auto"/>
        <w:ind w:firstLine="482" w:firstLineChars="200"/>
        <w:jc w:val="left"/>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1  双方权利和义务</w:t>
      </w:r>
    </w:p>
    <w:p w14:paraId="7ABAC3E0">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1.1  严格遵守国家、省有关法律法规的规定。</w:t>
      </w:r>
    </w:p>
    <w:p w14:paraId="0CDE1EF6">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1.2  严格执行项目一切合同文件，自觉按合同办事。</w:t>
      </w:r>
    </w:p>
    <w:p w14:paraId="7E42EC5B">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1.3  </w:t>
      </w:r>
      <w:r>
        <w:rPr>
          <w:rFonts w:hint="eastAsia" w:ascii="仿宋" w:hAnsi="仿宋" w:eastAsia="仿宋" w:cs="仿宋"/>
          <w:color w:val="auto"/>
          <w:kern w:val="0"/>
          <w:sz w:val="24"/>
          <w:szCs w:val="28"/>
          <w:highlight w:val="none"/>
          <w:lang w:val="zh-CN"/>
        </w:rPr>
        <w:t>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8"/>
          <w:highlight w:val="none"/>
        </w:rPr>
        <w:t>。</w:t>
      </w:r>
    </w:p>
    <w:p w14:paraId="4C17DFBB">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1.4  建立健全廉政制度，开展廉政教育，公布举报电话，监督并认真查处违法违纪行为。</w:t>
      </w:r>
    </w:p>
    <w:p w14:paraId="65D011DE">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1.5  发现对方在业务活动中有违反廉政建设规定的行为，应及时给予提醒和纠正，情节严重的，有权向其上级主管部门或纪检监察、检察等有关机关举报。</w:t>
      </w:r>
    </w:p>
    <w:p w14:paraId="0A890B7E">
      <w:pPr>
        <w:adjustRightInd w:val="0"/>
        <w:snapToGrid w:val="0"/>
        <w:spacing w:line="360" w:lineRule="auto"/>
        <w:ind w:firstLine="480" w:firstLineChars="200"/>
        <w:rPr>
          <w:rFonts w:ascii="宋体" w:hAnsi="宋体"/>
          <w:color w:val="auto"/>
          <w:sz w:val="24"/>
          <w:highlight w:val="none"/>
        </w:rPr>
      </w:pPr>
      <w:r>
        <w:rPr>
          <w:rFonts w:hint="eastAsia" w:ascii="仿宋" w:hAnsi="仿宋" w:eastAsia="仿宋" w:cs="仿宋"/>
          <w:color w:val="auto"/>
          <w:sz w:val="24"/>
          <w:szCs w:val="28"/>
          <w:highlight w:val="none"/>
        </w:rPr>
        <w:t>1.6  应充分发挥各自职能作用，积极互动形成纵向监督合力，依照本协议书规定，履行情况实施监督，及时制止不廉洁行为的发生。</w:t>
      </w:r>
    </w:p>
    <w:p w14:paraId="2C106929">
      <w:pPr>
        <w:spacing w:line="360" w:lineRule="auto"/>
        <w:ind w:firstLine="482" w:firstLineChars="200"/>
        <w:jc w:val="left"/>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2  委托人义务</w:t>
      </w:r>
    </w:p>
    <w:p w14:paraId="2A418B31">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2.1  委托人及其工作人员不得索要或接受受托人的礼金、有价证券和贵重物品，不得在受托人报销任何应由委托人或工作人员个人支付的费用等。</w:t>
      </w:r>
    </w:p>
    <w:p w14:paraId="5C47DCCF">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2.2  委托人及其工作人员不得参加受托人安排的宴请（工作餐除外）和娱乐活动；不得接受受托人提供的通讯工具、交通工具和高档办公用品等。</w:t>
      </w:r>
    </w:p>
    <w:p w14:paraId="5BF19E2B">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2.3  委托人及其工作人员不得要求或者接受</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为其住房装修、婚丧嫁娶活动、配偶子女的工作安排以及出国出境、旅游等提供方便等。</w:t>
      </w:r>
    </w:p>
    <w:p w14:paraId="244CF824">
      <w:pPr>
        <w:spacing w:line="360" w:lineRule="auto"/>
        <w:ind w:firstLine="480" w:firstLineChars="200"/>
        <w:rPr>
          <w:rFonts w:ascii="仿宋" w:hAnsi="仿宋" w:eastAsia="仿宋" w:cs="仿宋"/>
          <w:color w:val="auto"/>
          <w:kern w:val="0"/>
          <w:sz w:val="24"/>
          <w:szCs w:val="28"/>
          <w:highlight w:val="none"/>
          <w:lang w:val="zh-CN"/>
        </w:rPr>
      </w:pPr>
      <w:r>
        <w:rPr>
          <w:rFonts w:hint="eastAsia" w:ascii="仿宋" w:hAnsi="仿宋" w:eastAsia="仿宋" w:cs="仿宋"/>
          <w:color w:val="auto"/>
          <w:sz w:val="24"/>
          <w:szCs w:val="28"/>
          <w:highlight w:val="none"/>
        </w:rPr>
        <w:t>2.4  委托人</w:t>
      </w:r>
      <w:r>
        <w:rPr>
          <w:rFonts w:hint="eastAsia" w:ascii="仿宋" w:hAnsi="仿宋" w:eastAsia="仿宋" w:cs="仿宋"/>
          <w:color w:val="auto"/>
          <w:kern w:val="0"/>
          <w:sz w:val="24"/>
          <w:szCs w:val="28"/>
          <w:highlight w:val="none"/>
          <w:lang w:val="zh-CN"/>
        </w:rPr>
        <w:t>及其工作人员不得以任何理由向</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kern w:val="0"/>
          <w:sz w:val="24"/>
          <w:szCs w:val="28"/>
          <w:highlight w:val="none"/>
          <w:lang w:val="zh-CN"/>
        </w:rPr>
        <w:t>推荐分包人，或</w:t>
      </w:r>
      <w:r>
        <w:rPr>
          <w:rFonts w:hint="eastAsia" w:ascii="仿宋" w:hAnsi="仿宋" w:eastAsia="仿宋" w:cs="仿宋"/>
          <w:color w:val="auto"/>
          <w:kern w:val="0"/>
          <w:sz w:val="24"/>
          <w:szCs w:val="28"/>
          <w:highlight w:val="none"/>
        </w:rPr>
        <w:t>在</w:t>
      </w:r>
      <w:r>
        <w:rPr>
          <w:rFonts w:hint="eastAsia" w:ascii="仿宋" w:hAnsi="仿宋" w:eastAsia="仿宋" w:cs="仿宋"/>
          <w:color w:val="auto"/>
          <w:kern w:val="0"/>
          <w:sz w:val="24"/>
          <w:szCs w:val="28"/>
          <w:highlight w:val="none"/>
          <w:lang w:val="zh-CN"/>
        </w:rPr>
        <w:t>设计文件</w:t>
      </w:r>
      <w:r>
        <w:rPr>
          <w:rFonts w:hint="eastAsia" w:ascii="仿宋" w:hAnsi="仿宋" w:eastAsia="仿宋" w:cs="仿宋"/>
          <w:color w:val="auto"/>
          <w:kern w:val="0"/>
          <w:sz w:val="24"/>
          <w:szCs w:val="28"/>
          <w:highlight w:val="none"/>
        </w:rPr>
        <w:t>中</w:t>
      </w:r>
      <w:r>
        <w:rPr>
          <w:rFonts w:hint="eastAsia" w:ascii="仿宋" w:hAnsi="仿宋" w:eastAsia="仿宋" w:cs="仿宋"/>
          <w:color w:val="auto"/>
          <w:kern w:val="0"/>
          <w:sz w:val="24"/>
          <w:szCs w:val="28"/>
          <w:highlight w:val="none"/>
          <w:lang w:val="zh-CN"/>
        </w:rPr>
        <w:t>对工程设备材料技术要求指向某一特定厂商品牌或指向某一具有独一性的材料设备。</w:t>
      </w:r>
    </w:p>
    <w:p w14:paraId="45F77216">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2.5  委托人</w:t>
      </w:r>
      <w:r>
        <w:rPr>
          <w:rFonts w:hint="eastAsia" w:ascii="仿宋" w:hAnsi="仿宋" w:eastAsia="仿宋" w:cs="仿宋"/>
          <w:color w:val="auto"/>
          <w:kern w:val="0"/>
          <w:sz w:val="24"/>
          <w:szCs w:val="28"/>
          <w:highlight w:val="none"/>
          <w:lang w:val="zh-CN"/>
        </w:rPr>
        <w:t>及其工作人员要秉公办事，不准营私舞弊，不得从事与</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有关的各种有偿中介活动</w:t>
      </w:r>
      <w:r>
        <w:rPr>
          <w:rFonts w:hint="eastAsia" w:ascii="仿宋" w:hAnsi="仿宋" w:eastAsia="仿宋" w:cs="仿宋"/>
          <w:color w:val="auto"/>
          <w:sz w:val="24"/>
          <w:szCs w:val="28"/>
          <w:highlight w:val="none"/>
        </w:rPr>
        <w:t>。</w:t>
      </w:r>
    </w:p>
    <w:p w14:paraId="4D5DADF2">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2.6  委托人</w:t>
      </w:r>
      <w:r>
        <w:rPr>
          <w:rFonts w:hint="eastAsia" w:ascii="仿宋" w:hAnsi="仿宋" w:eastAsia="仿宋" w:cs="仿宋"/>
          <w:color w:val="auto"/>
          <w:kern w:val="0"/>
          <w:sz w:val="24"/>
          <w:szCs w:val="28"/>
          <w:highlight w:val="none"/>
          <w:lang w:val="zh-CN"/>
        </w:rPr>
        <w:t>及其工作人员（含其配偶、子女）不得从事与</w:t>
      </w:r>
      <w:r>
        <w:rPr>
          <w:rFonts w:hint="eastAsia" w:ascii="仿宋" w:hAnsi="仿宋" w:eastAsia="仿宋" w:cs="仿宋"/>
          <w:color w:val="auto"/>
          <w:kern w:val="0"/>
          <w:sz w:val="24"/>
          <w:szCs w:val="28"/>
          <w:highlight w:val="none"/>
        </w:rPr>
        <w:t>项目</w:t>
      </w:r>
      <w:r>
        <w:rPr>
          <w:rFonts w:hint="eastAsia" w:ascii="仿宋" w:hAnsi="仿宋" w:eastAsia="仿宋" w:cs="仿宋"/>
          <w:color w:val="auto"/>
          <w:kern w:val="0"/>
          <w:sz w:val="24"/>
          <w:szCs w:val="28"/>
          <w:highlight w:val="none"/>
          <w:lang w:val="zh-CN"/>
        </w:rPr>
        <w:t>有关的材料和工程设备供应、工程分包、劳务等经济活动</w:t>
      </w:r>
      <w:r>
        <w:rPr>
          <w:rFonts w:hint="eastAsia" w:ascii="仿宋" w:hAnsi="仿宋" w:eastAsia="仿宋" w:cs="仿宋"/>
          <w:color w:val="auto"/>
          <w:sz w:val="24"/>
          <w:szCs w:val="28"/>
          <w:highlight w:val="none"/>
        </w:rPr>
        <w:t>。</w:t>
      </w:r>
    </w:p>
    <w:p w14:paraId="0A68AC51">
      <w:pPr>
        <w:spacing w:line="360" w:lineRule="auto"/>
        <w:ind w:firstLine="482" w:firstLineChars="200"/>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3  受托人义务</w:t>
      </w:r>
    </w:p>
    <w:p w14:paraId="2ECCE353">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3.1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不得以任何理由向委托人及其工作人员行贿或馈赠礼金、有价证券、贵重礼品。</w:t>
      </w:r>
    </w:p>
    <w:p w14:paraId="131BAE9B">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3.2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不得以任何名义为委托人及其工作人员报销应由委托人或工作人员个人支付的任何费用。</w:t>
      </w:r>
    </w:p>
    <w:p w14:paraId="6723F622">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3.3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不得以任何理由安排委托人及其工作人员参加宴请（工作餐除外）及娱乐活动。</w:t>
      </w:r>
    </w:p>
    <w:p w14:paraId="0CA9D767">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3.4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不得为委托人和个人购置或提供通讯工具、交通工具和高档办公用品等。</w:t>
      </w:r>
    </w:p>
    <w:p w14:paraId="6E950BCA">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3.5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kern w:val="0"/>
          <w:sz w:val="24"/>
          <w:szCs w:val="28"/>
          <w:highlight w:val="none"/>
          <w:lang w:val="zh-CN"/>
        </w:rPr>
        <w:t>不得为</w:t>
      </w:r>
      <w:r>
        <w:rPr>
          <w:rFonts w:hint="eastAsia" w:ascii="仿宋" w:hAnsi="仿宋" w:eastAsia="仿宋" w:cs="仿宋"/>
          <w:color w:val="auto"/>
          <w:sz w:val="24"/>
          <w:szCs w:val="28"/>
          <w:highlight w:val="none"/>
        </w:rPr>
        <w:t>委托人</w:t>
      </w:r>
      <w:r>
        <w:rPr>
          <w:rFonts w:hint="eastAsia" w:ascii="仿宋" w:hAnsi="仿宋" w:eastAsia="仿宋" w:cs="仿宋"/>
          <w:color w:val="auto"/>
          <w:kern w:val="0"/>
          <w:sz w:val="24"/>
          <w:szCs w:val="28"/>
          <w:highlight w:val="none"/>
          <w:lang w:val="zh-CN"/>
        </w:rPr>
        <w:t>及其工作人员的住房装修、婚丧嫁娶活动、配偶子女工作安排以及出国出境、旅游等提供方便。</w:t>
      </w:r>
    </w:p>
    <w:p w14:paraId="089EBACD">
      <w:pPr>
        <w:tabs>
          <w:tab w:val="left" w:pos="900"/>
        </w:tabs>
        <w:spacing w:line="360" w:lineRule="auto"/>
        <w:ind w:firstLine="482" w:firstLineChars="200"/>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4  违约责任</w:t>
      </w:r>
    </w:p>
    <w:p w14:paraId="03C87CEF">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4.1  委托人及其工作人员违反本协议第1条和第2条规定，应按照廉政有关规定给予处分；涉嫌犯罪的，移交司法机关追究刑事责任；给</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sz w:val="24"/>
          <w:szCs w:val="28"/>
          <w:highlight w:val="none"/>
        </w:rPr>
        <w:t>造成经济损失的，应予赔偿。</w:t>
      </w:r>
    </w:p>
    <w:p w14:paraId="542605CA">
      <w:pPr>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4.2  </w:t>
      </w:r>
      <w:r>
        <w:rPr>
          <w:rFonts w:hint="eastAsia" w:ascii="仿宋" w:hAnsi="仿宋" w:eastAsia="仿宋" w:cs="仿宋"/>
          <w:color w:val="auto"/>
          <w:kern w:val="0"/>
          <w:sz w:val="24"/>
          <w:szCs w:val="28"/>
          <w:highlight w:val="none"/>
        </w:rPr>
        <w:t>受托人</w:t>
      </w:r>
      <w:r>
        <w:rPr>
          <w:rFonts w:hint="eastAsia" w:ascii="仿宋" w:hAnsi="仿宋" w:eastAsia="仿宋" w:cs="仿宋"/>
          <w:color w:val="auto"/>
          <w:kern w:val="0"/>
          <w:sz w:val="24"/>
          <w:szCs w:val="28"/>
          <w:highlight w:val="none"/>
          <w:lang w:val="zh-CN"/>
        </w:rPr>
        <w:t>及其工作人员违反本</w:t>
      </w:r>
      <w:r>
        <w:rPr>
          <w:rFonts w:hint="eastAsia" w:ascii="仿宋" w:hAnsi="仿宋" w:eastAsia="仿宋" w:cs="仿宋"/>
          <w:color w:val="auto"/>
          <w:kern w:val="0"/>
          <w:sz w:val="24"/>
          <w:szCs w:val="28"/>
          <w:highlight w:val="none"/>
        </w:rPr>
        <w:t>协议</w:t>
      </w:r>
      <w:r>
        <w:rPr>
          <w:rFonts w:hint="eastAsia" w:ascii="仿宋" w:hAnsi="仿宋" w:eastAsia="仿宋" w:cs="仿宋"/>
          <w:color w:val="auto"/>
          <w:kern w:val="0"/>
          <w:sz w:val="24"/>
          <w:szCs w:val="28"/>
          <w:highlight w:val="none"/>
          <w:lang w:val="zh-CN"/>
        </w:rPr>
        <w:t>第</w:t>
      </w:r>
      <w:r>
        <w:rPr>
          <w:rFonts w:hint="eastAsia" w:ascii="仿宋" w:hAnsi="仿宋" w:eastAsia="仿宋" w:cs="仿宋"/>
          <w:color w:val="auto"/>
          <w:kern w:val="0"/>
          <w:sz w:val="24"/>
          <w:szCs w:val="28"/>
          <w:highlight w:val="none"/>
        </w:rPr>
        <w:t>1</w:t>
      </w:r>
      <w:r>
        <w:rPr>
          <w:rFonts w:hint="eastAsia" w:ascii="仿宋" w:hAnsi="仿宋" w:eastAsia="仿宋" w:cs="仿宋"/>
          <w:color w:val="auto"/>
          <w:kern w:val="0"/>
          <w:sz w:val="24"/>
          <w:szCs w:val="28"/>
          <w:highlight w:val="none"/>
          <w:lang w:val="zh-CN"/>
        </w:rPr>
        <w:t>条和第</w:t>
      </w:r>
      <w:r>
        <w:rPr>
          <w:rFonts w:hint="eastAsia" w:ascii="仿宋" w:hAnsi="仿宋" w:eastAsia="仿宋" w:cs="仿宋"/>
          <w:color w:val="auto"/>
          <w:kern w:val="0"/>
          <w:sz w:val="24"/>
          <w:szCs w:val="28"/>
          <w:highlight w:val="none"/>
        </w:rPr>
        <w:t>3</w:t>
      </w:r>
      <w:r>
        <w:rPr>
          <w:rFonts w:hint="eastAsia" w:ascii="仿宋" w:hAnsi="仿宋" w:eastAsia="仿宋" w:cs="仿宋"/>
          <w:color w:val="auto"/>
          <w:kern w:val="0"/>
          <w:sz w:val="24"/>
          <w:szCs w:val="28"/>
          <w:highlight w:val="none"/>
          <w:lang w:val="zh-CN"/>
        </w:rPr>
        <w:t>条规定，应</w:t>
      </w:r>
      <w:r>
        <w:rPr>
          <w:rFonts w:hint="eastAsia" w:ascii="仿宋" w:hAnsi="仿宋" w:eastAsia="仿宋" w:cs="仿宋"/>
          <w:color w:val="auto"/>
          <w:sz w:val="24"/>
          <w:szCs w:val="28"/>
          <w:highlight w:val="none"/>
        </w:rPr>
        <w:t>按照廉政有关规定</w:t>
      </w:r>
      <w:r>
        <w:rPr>
          <w:rFonts w:hint="eastAsia" w:ascii="仿宋" w:hAnsi="仿宋" w:eastAsia="仿宋" w:cs="仿宋"/>
          <w:color w:val="auto"/>
          <w:kern w:val="0"/>
          <w:sz w:val="24"/>
          <w:szCs w:val="28"/>
          <w:highlight w:val="none"/>
          <w:lang w:val="zh-CN"/>
        </w:rPr>
        <w:t>给予处分；涉嫌犯罪的，移交司法机关追究刑事责任；给</w:t>
      </w:r>
      <w:r>
        <w:rPr>
          <w:rFonts w:hint="eastAsia" w:ascii="仿宋" w:hAnsi="仿宋" w:eastAsia="仿宋" w:cs="仿宋"/>
          <w:color w:val="auto"/>
          <w:kern w:val="0"/>
          <w:sz w:val="24"/>
          <w:szCs w:val="28"/>
          <w:highlight w:val="none"/>
        </w:rPr>
        <w:t>委托人</w:t>
      </w:r>
      <w:r>
        <w:rPr>
          <w:rFonts w:hint="eastAsia" w:ascii="仿宋" w:hAnsi="仿宋" w:eastAsia="仿宋" w:cs="仿宋"/>
          <w:color w:val="auto"/>
          <w:kern w:val="0"/>
          <w:sz w:val="24"/>
          <w:szCs w:val="28"/>
          <w:highlight w:val="none"/>
          <w:lang w:val="zh-CN"/>
        </w:rPr>
        <w:t>造成损失的，应予赔偿。</w:t>
      </w:r>
    </w:p>
    <w:p w14:paraId="1C99DFF1">
      <w:pPr>
        <w:numPr>
          <w:ilvl w:val="0"/>
          <w:numId w:val="1"/>
        </w:numPr>
        <w:spacing w:line="360" w:lineRule="auto"/>
        <w:ind w:left="0" w:firstLine="482" w:firstLineChars="200"/>
        <w:rPr>
          <w:rFonts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双方约定</w:t>
      </w:r>
    </w:p>
    <w:p w14:paraId="3B2B910C">
      <w:pPr>
        <w:tabs>
          <w:tab w:val="left" w:pos="840"/>
        </w:tabs>
        <w:spacing w:line="360" w:lineRule="auto"/>
        <w:ind w:firstLine="480" w:firstLineChars="200"/>
        <w:rPr>
          <w:rFonts w:ascii="仿宋" w:hAnsi="仿宋" w:eastAsia="仿宋" w:cs="仿宋"/>
          <w:b/>
          <w:bCs/>
          <w:color w:val="auto"/>
          <w:sz w:val="24"/>
          <w:szCs w:val="28"/>
          <w:highlight w:val="none"/>
        </w:rPr>
      </w:pPr>
      <w:r>
        <w:rPr>
          <w:rFonts w:hint="eastAsia" w:ascii="仿宋" w:hAnsi="仿宋" w:eastAsia="仿宋" w:cs="仿宋"/>
          <w:color w:val="auto"/>
          <w:sz w:val="24"/>
          <w:szCs w:val="28"/>
          <w:highlight w:val="none"/>
        </w:rPr>
        <w:t>本协议由双方当事人或其上级部门负责监督执行，并由双方当事人或其上级部门相</w:t>
      </w:r>
      <w:r>
        <w:rPr>
          <w:rFonts w:hint="eastAsia" w:ascii="仿宋" w:hAnsi="仿宋" w:eastAsia="仿宋" w:cs="仿宋"/>
          <w:color w:val="auto"/>
          <w:kern w:val="0"/>
          <w:sz w:val="24"/>
          <w:szCs w:val="28"/>
          <w:highlight w:val="none"/>
          <w:lang w:val="zh-CN"/>
        </w:rPr>
        <w:t>互约请对本</w:t>
      </w:r>
      <w:r>
        <w:rPr>
          <w:rFonts w:hint="eastAsia" w:ascii="仿宋" w:hAnsi="仿宋" w:eastAsia="仿宋" w:cs="仿宋"/>
          <w:color w:val="auto"/>
          <w:kern w:val="0"/>
          <w:sz w:val="24"/>
          <w:szCs w:val="28"/>
          <w:highlight w:val="none"/>
        </w:rPr>
        <w:t>协议</w:t>
      </w:r>
      <w:r>
        <w:rPr>
          <w:rFonts w:hint="eastAsia" w:ascii="仿宋" w:hAnsi="仿宋" w:eastAsia="仿宋" w:cs="仿宋"/>
          <w:color w:val="auto"/>
          <w:kern w:val="0"/>
          <w:sz w:val="24"/>
          <w:szCs w:val="28"/>
          <w:highlight w:val="none"/>
          <w:lang w:val="zh-CN"/>
        </w:rPr>
        <w:t>执行情况进行检查</w:t>
      </w:r>
      <w:r>
        <w:rPr>
          <w:rFonts w:hint="eastAsia" w:ascii="仿宋" w:hAnsi="仿宋" w:eastAsia="仿宋" w:cs="仿宋"/>
          <w:color w:val="auto"/>
          <w:sz w:val="24"/>
          <w:szCs w:val="28"/>
          <w:highlight w:val="none"/>
        </w:rPr>
        <w:t>。</w:t>
      </w:r>
    </w:p>
    <w:p w14:paraId="3C947625">
      <w:pPr>
        <w:spacing w:line="360" w:lineRule="auto"/>
        <w:ind w:firstLine="480" w:firstLineChars="200"/>
        <w:rPr>
          <w:rFonts w:ascii="仿宋" w:hAnsi="仿宋" w:eastAsia="仿宋" w:cs="仿宋"/>
          <w:color w:val="auto"/>
          <w:sz w:val="24"/>
          <w:szCs w:val="28"/>
          <w:highlight w:val="none"/>
        </w:rPr>
      </w:pPr>
    </w:p>
    <w:p w14:paraId="0AF391CA">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br w:type="page"/>
      </w:r>
      <w:r>
        <w:rPr>
          <w:rFonts w:hint="eastAsia" w:ascii="仿宋" w:hAnsi="仿宋" w:eastAsia="仿宋" w:cs="仿宋"/>
          <w:color w:val="auto"/>
          <w:sz w:val="24"/>
          <w:szCs w:val="28"/>
          <w:highlight w:val="none"/>
        </w:rPr>
        <w:t xml:space="preserve">委托人：（盖章）                       </w:t>
      </w:r>
    </w:p>
    <w:p w14:paraId="0145AA2A">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法定代表人：                  </w:t>
      </w:r>
    </w:p>
    <w:p w14:paraId="79B910E8">
      <w:pPr>
        <w:spacing w:line="360" w:lineRule="auto"/>
        <w:ind w:firstLine="480" w:firstLineChars="200"/>
        <w:jc w:val="left"/>
        <w:rPr>
          <w:rFonts w:ascii="仿宋" w:hAnsi="仿宋" w:eastAsia="仿宋" w:cs="仿宋"/>
          <w:color w:val="auto"/>
          <w:sz w:val="24"/>
          <w:szCs w:val="28"/>
          <w:highlight w:val="none"/>
        </w:rPr>
      </w:pPr>
    </w:p>
    <w:p w14:paraId="5CE71C0D">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u w:val="single"/>
        </w:rPr>
        <w:t>2025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日           </w:t>
      </w:r>
    </w:p>
    <w:p w14:paraId="74D52BD8">
      <w:pPr>
        <w:spacing w:line="360" w:lineRule="auto"/>
        <w:ind w:firstLine="480" w:firstLineChars="200"/>
        <w:rPr>
          <w:rFonts w:ascii="仿宋" w:hAnsi="仿宋" w:eastAsia="仿宋" w:cs="仿宋"/>
          <w:color w:val="auto"/>
          <w:sz w:val="24"/>
          <w:szCs w:val="28"/>
          <w:highlight w:val="none"/>
        </w:rPr>
      </w:pPr>
      <w:r>
        <w:rPr>
          <w:rFonts w:hint="eastAsia"/>
          <w:color w:val="auto"/>
          <w:sz w:val="24"/>
          <w:highlight w:val="none"/>
        </w:rPr>
        <w:t xml:space="preserve"> </w:t>
      </w:r>
    </w:p>
    <w:p w14:paraId="4FA3EF71">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受托人：（盖章）                       </w:t>
      </w:r>
    </w:p>
    <w:p w14:paraId="31998B16">
      <w:pPr>
        <w:adjustRightInd w:val="0"/>
        <w:snapToGrid w:val="0"/>
        <w:spacing w:line="360" w:lineRule="auto"/>
        <w:ind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法定代表人：                    </w:t>
      </w:r>
    </w:p>
    <w:p w14:paraId="5CF9E888">
      <w:pPr>
        <w:spacing w:line="360" w:lineRule="auto"/>
        <w:ind w:firstLine="480" w:firstLineChars="200"/>
        <w:jc w:val="left"/>
        <w:rPr>
          <w:rFonts w:ascii="仿宋" w:hAnsi="仿宋" w:eastAsia="仿宋" w:cs="仿宋"/>
          <w:color w:val="auto"/>
          <w:sz w:val="24"/>
          <w:szCs w:val="28"/>
          <w:highlight w:val="none"/>
        </w:rPr>
      </w:pPr>
    </w:p>
    <w:p w14:paraId="014F24F0">
      <w:pPr>
        <w:ind w:firstLine="560"/>
        <w:rPr>
          <w:rFonts w:ascii="宋体" w:hAnsi="宋体" w:cs="宋体"/>
          <w:b/>
          <w:bCs/>
          <w:color w:val="auto"/>
          <w:sz w:val="28"/>
          <w:szCs w:val="28"/>
          <w:highlight w:val="none"/>
          <w:shd w:val="clear" w:color="auto" w:fill="FFFFFF"/>
        </w:rPr>
      </w:pPr>
      <w:r>
        <w:rPr>
          <w:rFonts w:hint="eastAsia" w:ascii="仿宋" w:hAnsi="仿宋" w:eastAsia="仿宋" w:cs="仿宋"/>
          <w:color w:val="auto"/>
          <w:sz w:val="24"/>
          <w:szCs w:val="28"/>
          <w:highlight w:val="none"/>
          <w:u w:val="single"/>
        </w:rPr>
        <w:t>2025</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 xml:space="preserve">日 </w:t>
      </w:r>
    </w:p>
    <w:p w14:paraId="577A8F9E">
      <w:pPr>
        <w:adjustRightInd w:val="0"/>
        <w:snapToGrid w:val="0"/>
        <w:spacing w:line="360" w:lineRule="auto"/>
        <w:ind w:firstLine="560" w:firstLineChars="200"/>
        <w:rPr>
          <w:rFonts w:ascii="仿宋" w:hAnsi="仿宋" w:eastAsia="仿宋" w:cs="仿宋"/>
          <w:color w:val="auto"/>
          <w:sz w:val="28"/>
          <w:szCs w:val="28"/>
          <w:highlight w:val="none"/>
        </w:rPr>
      </w:pPr>
    </w:p>
    <w:p w14:paraId="2D0623CE">
      <w:pPr>
        <w:adjustRightInd w:val="0"/>
        <w:snapToGrid w:val="0"/>
        <w:jc w:val="center"/>
        <w:rPr>
          <w:rFonts w:ascii="仿宋" w:hAnsi="仿宋" w:eastAsia="仿宋" w:cs="仿宋"/>
          <w:color w:val="auto"/>
          <w:sz w:val="28"/>
          <w:szCs w:val="28"/>
          <w:highlight w:val="none"/>
        </w:rPr>
      </w:pPr>
    </w:p>
    <w:sectPr>
      <w:headerReference r:id="rId16" w:type="first"/>
      <w:footerReference r:id="rId18" w:type="first"/>
      <w:headerReference r:id="rId15" w:type="default"/>
      <w:footerReference r:id="rId17"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C627">
    <w:pPr>
      <w:pStyle w:val="12"/>
    </w:pPr>
  </w:p>
  <w:p w14:paraId="5891DA1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1C2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CFE9">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230B">
    <w:pPr>
      <w:pStyle w:val="12"/>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9AC5CEC">
                          <w:pPr>
                            <w:pStyle w:val="12"/>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HoSj60JAgAAAQQAAA4AAAAAAAAAAQAgAAAAHwEAAGRy&#10;cy9lMm9Eb2MueG1sUEsFBgAAAAAGAAYAWQEAAJoFAAAAAA==&#10;">
              <v:fill on="f" focussize="0,0"/>
              <v:stroke on="f"/>
              <v:imagedata o:title=""/>
              <o:lock v:ext="edit" aspectratio="f"/>
              <v:textbox inset="0mm,0mm,0mm,0mm" style="mso-fit-shape-to-text:t;">
                <w:txbxContent>
                  <w:p w14:paraId="09AC5CEC">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B10F">
    <w:pPr>
      <w:pStyle w:val="12"/>
      <w:jc w:val="center"/>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F91750F">
                          <w:pPr>
                            <w:pStyle w:val="12"/>
                            <w:jc w:val="center"/>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LOvYDCgIAAAIEAAAOAAAAAAAAAAEAIAAAAB8BAABk&#10;cnMvZTJvRG9jLnhtbFBLBQYAAAAABgAGAFkBAACbBQAAAAA=&#10;">
              <v:fill on="f" focussize="0,0"/>
              <v:stroke on="f"/>
              <v:imagedata o:title=""/>
              <o:lock v:ext="edit" aspectratio="f"/>
              <v:textbox inset="0mm,0mm,0mm,0mm" style="mso-fit-shape-to-text:t;">
                <w:txbxContent>
                  <w:p w14:paraId="1F91750F">
                    <w:pPr>
                      <w:pStyle w:val="12"/>
                      <w:jc w:val="center"/>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C478">
    <w:pPr>
      <w:snapToGrid w:val="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14</w:t>
    </w:r>
    <w:r>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E6DF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E854651">
                          <w:pPr>
                            <w:pStyle w:val="12"/>
                            <w:rPr>
                              <w:rStyle w:val="23"/>
                            </w:rPr>
                          </w:pPr>
                          <w:r>
                            <w:fldChar w:fldCharType="begin"/>
                          </w:r>
                          <w:r>
                            <w:rPr>
                              <w:rStyle w:val="23"/>
                              <w:rFonts w:ascii="Times New Roman" w:hAnsi="Times New Roman"/>
                            </w:rPr>
                            <w:instrText xml:space="preserve">PAGE  </w:instrText>
                          </w:r>
                          <w:r>
                            <w:fldChar w:fldCharType="separate"/>
                          </w:r>
                          <w:r>
                            <w:rPr>
                              <w:rStyle w:val="23"/>
                              <w:rFonts w:ascii="Times New Roman" w:hAnsi="Times New Roman"/>
                            </w:rPr>
                            <w:t>35</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zFGKfQsCAAACBAAADgAAAAAAAAABACAAAAAfAQAA&#10;ZHJzL2Uyb0RvYy54bWxQSwUGAAAAAAYABgBZAQAAnAUAAAAA&#10;">
              <v:fill on="f" focussize="0,0"/>
              <v:stroke on="f"/>
              <v:imagedata o:title=""/>
              <o:lock v:ext="edit" aspectratio="f"/>
              <v:textbox inset="0mm,0mm,0mm,0mm" style="mso-fit-shape-to-text:t;">
                <w:txbxContent>
                  <w:p w14:paraId="7E854651">
                    <w:pPr>
                      <w:pStyle w:val="12"/>
                      <w:rPr>
                        <w:rStyle w:val="23"/>
                      </w:rPr>
                    </w:pPr>
                    <w:r>
                      <w:fldChar w:fldCharType="begin"/>
                    </w:r>
                    <w:r>
                      <w:rPr>
                        <w:rStyle w:val="23"/>
                        <w:rFonts w:ascii="Times New Roman" w:hAnsi="Times New Roman"/>
                      </w:rPr>
                      <w:instrText xml:space="preserve">PAGE  </w:instrText>
                    </w:r>
                    <w:r>
                      <w:fldChar w:fldCharType="separate"/>
                    </w:r>
                    <w:r>
                      <w:rPr>
                        <w:rStyle w:val="23"/>
                        <w:rFonts w:ascii="Times New Roman" w:hAnsi="Times New Roman"/>
                      </w:rP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77214">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06ACA811">
                          <w:pPr>
                            <w:pStyle w:val="12"/>
                            <w:jc w:val="center"/>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SvORsJ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I4s8JQww8/fxzufh9+&#10;fWfn0Z7O+YKybh3lhf4N9DE1SvXuBuRXzyxcN8Ju1BUidI0SFdGbxpfZg6cDjo8g6+49VFRHbAMk&#10;oL5GEwHJDUbo1Jr9qTWqD0zGktOzWf6KM0lX05cX53lqXSaK8bFDH94qMCwGJUfqfAIXuxsfIhlR&#10;jCmxloWVbtvU/db+dUCJ8SSRj3wH5qFf90cz1lDtSQbCMEz0lShoAL9x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NSvORsJAgAAAgQAAA4AAAAAAAAAAQAgAAAAHwEAAGRy&#10;cy9lMm9Eb2MueG1sUEsFBgAAAAAGAAYAWQEAAJoFAAAAAA==&#10;">
              <v:fill on="f" focussize="0,0"/>
              <v:stroke on="f"/>
              <v:imagedata o:title=""/>
              <o:lock v:ext="edit" aspectratio="f"/>
              <v:textbox inset="0mm,0mm,0mm,0mm" style="mso-fit-shape-to-text:t;">
                <w:txbxContent>
                  <w:p w14:paraId="06ACA811">
                    <w:pPr>
                      <w:pStyle w:val="12"/>
                      <w:jc w:val="center"/>
                    </w:pPr>
                    <w:r>
                      <w:fldChar w:fldCharType="begin"/>
                    </w:r>
                    <w:r>
                      <w:instrText xml:space="preserve"> PAGE   \* MERGEFORMAT </w:instrText>
                    </w:r>
                    <w:r>
                      <w:fldChar w:fldCharType="separate"/>
                    </w:r>
                    <w:r>
                      <w:t>20</w:t>
                    </w:r>
                    <w:r>
                      <w:fldChar w:fldCharType="end"/>
                    </w:r>
                  </w:p>
                </w:txbxContent>
              </v:textbox>
            </v:shape>
          </w:pict>
        </mc:Fallback>
      </mc:AlternateContent>
    </w:r>
  </w:p>
  <w:p w14:paraId="302597F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66CA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76C62">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F8EA">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7E29">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E188">
    <w:pPr>
      <w:pStyle w:val="1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A81A">
    <w:pPr>
      <w:pBdr>
        <w:bottom w:val="none" w:color="auto" w:sz="0" w:space="1"/>
      </w:pBdr>
      <w:snapToGrid w:val="0"/>
      <w:jc w:val="cent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225B">
    <w:pPr>
      <w:pStyle w:val="1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B12B">
    <w:pPr>
      <w:pBdr>
        <w:bottom w:val="none" w:color="auto" w:sz="0" w:space="1"/>
      </w:pBdr>
      <w:snapToGrid w:val="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C603E"/>
    <w:multiLevelType w:val="multilevel"/>
    <w:tmpl w:val="66BC603E"/>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ThkZjNhNTJmNDdjMjE5OTczMmE2YjY2YWFmM2MifQ=="/>
  </w:docVars>
  <w:rsids>
    <w:rsidRoot w:val="00476A9A"/>
    <w:rsid w:val="00117BE5"/>
    <w:rsid w:val="001426F0"/>
    <w:rsid w:val="001C0B42"/>
    <w:rsid w:val="00271037"/>
    <w:rsid w:val="002A6172"/>
    <w:rsid w:val="002F4E66"/>
    <w:rsid w:val="00331784"/>
    <w:rsid w:val="00350787"/>
    <w:rsid w:val="00476A9A"/>
    <w:rsid w:val="00504233"/>
    <w:rsid w:val="005F6613"/>
    <w:rsid w:val="00690DA6"/>
    <w:rsid w:val="007579C6"/>
    <w:rsid w:val="007F6A85"/>
    <w:rsid w:val="008D4D7B"/>
    <w:rsid w:val="008E5AB9"/>
    <w:rsid w:val="00A24B5C"/>
    <w:rsid w:val="00A3283D"/>
    <w:rsid w:val="00A5308C"/>
    <w:rsid w:val="00AE04B5"/>
    <w:rsid w:val="00B17B64"/>
    <w:rsid w:val="00B4174D"/>
    <w:rsid w:val="00B70A47"/>
    <w:rsid w:val="00B70C39"/>
    <w:rsid w:val="00B95600"/>
    <w:rsid w:val="00DD2BC9"/>
    <w:rsid w:val="00DF4D37"/>
    <w:rsid w:val="00EE2924"/>
    <w:rsid w:val="00F140AB"/>
    <w:rsid w:val="00F901EE"/>
    <w:rsid w:val="00FD17E2"/>
    <w:rsid w:val="06AF1A69"/>
    <w:rsid w:val="08C3104E"/>
    <w:rsid w:val="0FCF53B3"/>
    <w:rsid w:val="19EC1A9B"/>
    <w:rsid w:val="1E1C2275"/>
    <w:rsid w:val="22AB6644"/>
    <w:rsid w:val="34D2362F"/>
    <w:rsid w:val="36080427"/>
    <w:rsid w:val="3B35794B"/>
    <w:rsid w:val="527F1E37"/>
    <w:rsid w:val="64887FC0"/>
    <w:rsid w:val="77C53D47"/>
    <w:rsid w:val="77FF6B25"/>
    <w:rsid w:val="7B731E0B"/>
    <w:rsid w:val="7CE7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40" w:after="120" w:line="360" w:lineRule="auto"/>
      <w:jc w:val="center"/>
      <w:outlineLvl w:val="1"/>
    </w:pPr>
    <w:rPr>
      <w:rFonts w:ascii="Cambria" w:hAnsi="Cambria" w:cs="Cambria"/>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pPr>
    <w:rPr>
      <w:kern w:val="0"/>
      <w:sz w:val="20"/>
      <w:szCs w:val="20"/>
    </w:rPr>
  </w:style>
  <w:style w:type="paragraph" w:styleId="3">
    <w:name w:val="Body Text"/>
    <w:basedOn w:val="1"/>
    <w:next w:val="4"/>
    <w:qFormat/>
    <w:uiPriority w:val="0"/>
    <w:rPr>
      <w:sz w:val="28"/>
      <w:szCs w:val="28"/>
    </w:rPr>
  </w:style>
  <w:style w:type="paragraph" w:styleId="4">
    <w:name w:val="toc 5"/>
    <w:basedOn w:val="1"/>
    <w:next w:val="1"/>
    <w:qFormat/>
    <w:uiPriority w:val="0"/>
    <w:pPr>
      <w:ind w:left="1680" w:leftChars="800"/>
    </w:pPr>
  </w:style>
  <w:style w:type="paragraph" w:styleId="7">
    <w:name w:val="annotation text"/>
    <w:link w:val="37"/>
    <w:qFormat/>
    <w:uiPriority w:val="0"/>
    <w:pPr>
      <w:widowControl w:val="0"/>
    </w:pPr>
    <w:rPr>
      <w:rFonts w:ascii="Calibri" w:hAnsi="Calibri" w:eastAsia="宋体" w:cs="Times New Roman"/>
      <w:kern w:val="2"/>
      <w:sz w:val="21"/>
      <w:szCs w:val="22"/>
      <w:lang w:val="en-US" w:eastAsia="zh-CN" w:bidi="ar-SA"/>
    </w:rPr>
  </w:style>
  <w:style w:type="paragraph" w:styleId="8">
    <w:name w:val="Body Text Indent"/>
    <w:basedOn w:val="1"/>
    <w:qFormat/>
    <w:uiPriority w:val="0"/>
    <w:pPr>
      <w:ind w:firstLine="630"/>
    </w:pPr>
    <w:rPr>
      <w:rFonts w:ascii="宋体"/>
      <w:kern w:val="0"/>
      <w:sz w:val="32"/>
      <w:szCs w:val="20"/>
    </w:rPr>
  </w:style>
  <w:style w:type="paragraph" w:styleId="9">
    <w:name w:val="Block Text"/>
    <w:qFormat/>
    <w:uiPriority w:val="0"/>
    <w:pPr>
      <w:widowControl w:val="0"/>
      <w:spacing w:line="440" w:lineRule="exact"/>
      <w:ind w:left="-540" w:leftChars="-257" w:right="-334" w:rightChars="-159" w:firstLine="1140"/>
      <w:jc w:val="both"/>
    </w:pPr>
    <w:rPr>
      <w:rFonts w:ascii="Times New Roman" w:hAnsi="Times New Roman" w:eastAsia="宋体" w:cs="Times New Roman"/>
      <w:kern w:val="2"/>
      <w:sz w:val="24"/>
      <w:lang w:val="en-US" w:eastAsia="zh-CN" w:bidi="ar-SA"/>
    </w:rPr>
  </w:style>
  <w:style w:type="paragraph" w:styleId="10">
    <w:name w:val="Plain Text"/>
    <w:basedOn w:val="1"/>
    <w:next w:val="1"/>
    <w:qFormat/>
    <w:uiPriority w:val="0"/>
    <w:rPr>
      <w:rFonts w:ascii="宋体" w:hAnsi="Courier New" w:cs="宋体"/>
      <w:szCs w:val="21"/>
    </w:rPr>
  </w:style>
  <w:style w:type="paragraph" w:styleId="11">
    <w:name w:val="Balloon Text"/>
    <w:basedOn w:val="1"/>
    <w:link w:val="3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14">
    <w:name w:val="toc 1"/>
    <w:next w:val="1"/>
    <w:qFormat/>
    <w:uiPriority w:val="0"/>
    <w:pPr>
      <w:widowControl w:val="0"/>
      <w:jc w:val="both"/>
    </w:pPr>
    <w:rPr>
      <w:rFonts w:ascii="Calibri" w:hAnsi="Calibri" w:eastAsia="宋体" w:cs="Times New Roman"/>
      <w:kern w:val="2"/>
      <w:sz w:val="21"/>
      <w:szCs w:val="22"/>
      <w:lang w:val="en-US" w:eastAsia="zh-CN" w:bidi="ar-SA"/>
    </w:rPr>
  </w:style>
  <w:style w:type="paragraph" w:styleId="15">
    <w:name w:val="index heading"/>
    <w:next w:val="16"/>
    <w:qFormat/>
    <w:uiPriority w:val="0"/>
    <w:pPr>
      <w:widowControl w:val="0"/>
      <w:jc w:val="both"/>
    </w:pPr>
    <w:rPr>
      <w:rFonts w:ascii="Calibri" w:hAnsi="Calibri" w:eastAsia="宋体" w:cs="Times New Roman"/>
      <w:kern w:val="2"/>
      <w:sz w:val="21"/>
      <w:szCs w:val="24"/>
      <w:lang w:val="en-US" w:eastAsia="zh-CN" w:bidi="ar-SA"/>
    </w:rPr>
  </w:style>
  <w:style w:type="paragraph" w:styleId="16">
    <w:name w:val="index 1"/>
    <w:next w:val="1"/>
    <w:qFormat/>
    <w:uiPriority w:val="0"/>
    <w:pPr>
      <w:widowControl w:val="0"/>
      <w:jc w:val="both"/>
    </w:pPr>
    <w:rPr>
      <w:rFonts w:ascii="Calibri" w:hAnsi="Calibri" w:eastAsia="宋体" w:cs="Times New Roman"/>
      <w:kern w:val="2"/>
      <w:sz w:val="21"/>
      <w:szCs w:val="22"/>
      <w:lang w:val="en-US" w:eastAsia="zh-CN" w:bidi="ar-SA"/>
    </w:rPr>
  </w:style>
  <w:style w:type="paragraph" w:styleId="17">
    <w:name w:val="toc 2"/>
    <w:basedOn w:val="1"/>
    <w:next w:val="1"/>
    <w:qFormat/>
    <w:uiPriority w:val="0"/>
    <w:pPr>
      <w:ind w:left="420" w:leftChars="200"/>
    </w:pPr>
    <w:rPr>
      <w:rFonts w:ascii="Times New Roman" w:hAnsi="Times New Roman"/>
      <w:szCs w:val="21"/>
    </w:rPr>
  </w:style>
  <w:style w:type="paragraph" w:styleId="18">
    <w:name w:val="Title"/>
    <w:basedOn w:val="1"/>
    <w:next w:val="1"/>
    <w:qFormat/>
    <w:uiPriority w:val="0"/>
    <w:pPr>
      <w:spacing w:before="240" w:after="60"/>
      <w:jc w:val="center"/>
      <w:outlineLvl w:val="0"/>
    </w:pPr>
    <w:rPr>
      <w:rFonts w:ascii="Calibri Light" w:hAnsi="Calibri Light"/>
      <w:b/>
      <w:sz w:val="32"/>
      <w:szCs w:val="32"/>
    </w:rPr>
  </w:style>
  <w:style w:type="paragraph" w:styleId="19">
    <w:name w:val="annotation subject"/>
    <w:basedOn w:val="7"/>
    <w:next w:val="7"/>
    <w:link w:val="38"/>
    <w:qFormat/>
    <w:uiPriority w:val="0"/>
    <w:rPr>
      <w:b/>
      <w:bCs/>
    </w:rPr>
  </w:style>
  <w:style w:type="character" w:styleId="22">
    <w:name w:val="Strong"/>
    <w:qFormat/>
    <w:uiPriority w:val="22"/>
    <w:rPr>
      <w:b/>
    </w:rPr>
  </w:style>
  <w:style w:type="character" w:styleId="23">
    <w:name w:val="page number"/>
    <w:qFormat/>
    <w:uiPriority w:val="0"/>
  </w:style>
  <w:style w:type="character" w:styleId="24">
    <w:name w:val="Hyperlink"/>
    <w:qFormat/>
    <w:uiPriority w:val="0"/>
    <w:rPr>
      <w:color w:val="337AB7"/>
      <w:u w:val="none"/>
    </w:rPr>
  </w:style>
  <w:style w:type="character" w:styleId="25">
    <w:name w:val="annotation reference"/>
    <w:basedOn w:val="21"/>
    <w:qFormat/>
    <w:uiPriority w:val="0"/>
    <w:rPr>
      <w:sz w:val="21"/>
      <w:szCs w:val="21"/>
    </w:rPr>
  </w:style>
  <w:style w:type="paragraph" w:customStyle="1" w:styleId="2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默认格式"/>
    <w:next w:val="1"/>
    <w:qFormat/>
    <w:uiPriority w:val="0"/>
    <w:pPr>
      <w:widowControl w:val="0"/>
      <w:adjustRightInd w:val="0"/>
      <w:snapToGrid w:val="0"/>
      <w:spacing w:line="360" w:lineRule="auto"/>
      <w:jc w:val="center"/>
    </w:pPr>
    <w:rPr>
      <w:rFonts w:ascii="Calibri" w:hAnsi="Calibri" w:eastAsia="宋体" w:cs="Times New Roman"/>
      <w:kern w:val="2"/>
      <w:sz w:val="24"/>
      <w:szCs w:val="22"/>
      <w:lang w:val="en-US" w:eastAsia="zh-CN" w:bidi="ar-SA"/>
    </w:rPr>
  </w:style>
  <w:style w:type="paragraph" w:customStyle="1" w:styleId="28">
    <w:name w:val="Char Char Char Char Char Char Char Char1 Char Char Char Char"/>
    <w:qFormat/>
    <w:uiPriority w:val="0"/>
    <w:pPr>
      <w:spacing w:after="160" w:line="240" w:lineRule="exact"/>
    </w:pPr>
    <w:rPr>
      <w:rFonts w:ascii="Verdana" w:hAnsi="Verdana" w:eastAsia="宋体" w:cs="Times New Roman"/>
      <w:lang w:val="en-US" w:eastAsia="en-US" w:bidi="ar-SA"/>
    </w:rPr>
  </w:style>
  <w:style w:type="paragraph" w:customStyle="1" w:styleId="29">
    <w:name w:val="纯文本1"/>
    <w:qFormat/>
    <w:uiPriority w:val="0"/>
    <w:pPr>
      <w:widowControl w:val="0"/>
      <w:jc w:val="both"/>
    </w:pPr>
    <w:rPr>
      <w:rFonts w:ascii="宋体" w:hAnsi="Courier New" w:eastAsia="Times New Roman" w:cs="Times New Roman"/>
      <w:kern w:val="2"/>
      <w:sz w:val="21"/>
      <w:szCs w:val="22"/>
      <w:lang w:val="en-US" w:eastAsia="zh-CN" w:bidi="ar-SA"/>
    </w:rPr>
  </w:style>
  <w:style w:type="paragraph" w:customStyle="1" w:styleId="30">
    <w:name w:val="_Style 1"/>
    <w:basedOn w:val="1"/>
    <w:qFormat/>
    <w:uiPriority w:val="0"/>
    <w:pPr>
      <w:ind w:firstLine="420" w:firstLineChars="200"/>
    </w:pPr>
  </w:style>
  <w:style w:type="paragraph" w:customStyle="1" w:styleId="31">
    <w:name w:val="_Style 5"/>
    <w:next w:val="1"/>
    <w:qFormat/>
    <w:uiPriority w:val="0"/>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32">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2"/>
      <w:lang w:val="en-US" w:eastAsia="zh-CN" w:bidi="ar-SA"/>
    </w:rPr>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35">
    <w:name w:val="正文缩进1"/>
    <w:qFormat/>
    <w:uiPriority w:val="0"/>
    <w:pPr>
      <w:widowControl w:val="0"/>
      <w:ind w:firstLine="420" w:firstLineChars="200"/>
      <w:jc w:val="both"/>
    </w:pPr>
    <w:rPr>
      <w:rFonts w:ascii="Times New Roman" w:hAnsi="Times New Roman" w:eastAsia="楷体_GB2312" w:cs="Times New Roman"/>
      <w:kern w:val="2"/>
      <w:sz w:val="21"/>
      <w:lang w:val="en-US" w:eastAsia="zh-CN" w:bidi="ar-SA"/>
    </w:rPr>
  </w:style>
  <w:style w:type="character" w:customStyle="1" w:styleId="36">
    <w:name w:val="批注框文本 Char"/>
    <w:basedOn w:val="21"/>
    <w:link w:val="11"/>
    <w:qFormat/>
    <w:uiPriority w:val="0"/>
    <w:rPr>
      <w:rFonts w:ascii="Calibri" w:hAnsi="Calibri"/>
      <w:kern w:val="2"/>
      <w:sz w:val="18"/>
      <w:szCs w:val="18"/>
    </w:rPr>
  </w:style>
  <w:style w:type="character" w:customStyle="1" w:styleId="37">
    <w:name w:val="批注文字 Char"/>
    <w:basedOn w:val="21"/>
    <w:link w:val="7"/>
    <w:qFormat/>
    <w:uiPriority w:val="0"/>
    <w:rPr>
      <w:rFonts w:ascii="Calibri" w:hAnsi="Calibri"/>
      <w:kern w:val="2"/>
      <w:sz w:val="21"/>
      <w:szCs w:val="22"/>
      <w:lang w:val="en-US" w:eastAsia="zh-CN" w:bidi="ar-SA"/>
    </w:rPr>
  </w:style>
  <w:style w:type="character" w:customStyle="1" w:styleId="38">
    <w:name w:val="批注主题 Char"/>
    <w:basedOn w:val="37"/>
    <w:link w:val="19"/>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9497</Words>
  <Characters>10065</Characters>
  <Lines>146</Lines>
  <Paragraphs>41</Paragraphs>
  <TotalTime>0</TotalTime>
  <ScaleCrop>false</ScaleCrop>
  <LinksUpToDate>false</LinksUpToDate>
  <CharactersWithSpaces>10873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2025-03-25T04:13:00Z</dcterms:created>
  <dc:creator>路人甲</dc:creator>
  <cp:lastModifiedBy>JUN</cp:lastModifiedBy>
  <cp:lastPrinted>2024-02-28T17:05:00Z</cp:lastPrinted>
  <dcterms:modified xsi:type="dcterms:W3CDTF">2025-05-19T09:52:25Z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5E5E4025591A4ACFAD9C41C020850F94_13</vt:lpwstr>
  </property>
  <property fmtid="{D5CDD505-2E9C-101B-9397-08002B2CF9AE}" pid="4" name="KSOTemplateDocerSaveRecord">
    <vt:lpwstr>eyJoZGlkIjoiMDdmYThkZjNhNTJmNDdjMjE5OTczMmE2YjY2YWFmM2MiLCJ1c2VySWQiOiI3MzcyNTgxNTEifQ==</vt:lpwstr>
  </property>
</Properties>
</file>