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1C671">
      <w:pPr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  <w:shd w:val="clear" w:color="auto" w:fill="FFFFFF"/>
        </w:rPr>
        <w:t>评审办法</w:t>
      </w:r>
    </w:p>
    <w:p w14:paraId="63E82DB2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1.本次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询比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采用综合评分法。首先审查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单位的资格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符合性条件，通过资格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符合性审查的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报价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单位的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报价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文件将进入下一环节的评分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（详见《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报价文件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提交资料一览表》★条款）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。</w:t>
      </w:r>
    </w:p>
    <w:p w14:paraId="7E1759BB">
      <w:pPr>
        <w:pStyle w:val="11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2.对满足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询比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文件实质性要求的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报价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文件，按照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询比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文件规定的评分标准进行打分，评审过程中如发现存在不满足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询比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文件实质性要求的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报价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文件不予评分。</w:t>
      </w:r>
    </w:p>
    <w:p w14:paraId="11FEFD9E">
      <w:pPr>
        <w:pStyle w:val="11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3.评分按照各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报价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单位总得分从高到低排列先后次序。若两家或以上的单位总得分相同时，则商务部分得分高的排前；若商务部分得分相同，则技术部分得分高的排前；若商务部分、技术部分得分都相同，采用评委随机摇珠的方式排序。</w:t>
      </w:r>
    </w:p>
    <w:p w14:paraId="1167D793">
      <w:pPr>
        <w:pStyle w:val="11"/>
        <w:spacing w:line="360" w:lineRule="auto"/>
        <w:ind w:firstLine="560" w:firstLineChars="200"/>
        <w:jc w:val="left"/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4.若本项目满足资格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符合性审查合格条件的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报价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单位人不足1家或经评审有效的不足1家，则本次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询比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失败，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询比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单位将视情况重新组织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询比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。</w:t>
      </w:r>
    </w:p>
    <w:p w14:paraId="5AE5EFD6">
      <w:pPr>
        <w:jc w:val="center"/>
        <w:rPr>
          <w:rFonts w:hint="eastAsia" w:ascii="仿宋" w:hAnsi="仿宋" w:eastAsia="仿宋" w:cs="仿宋"/>
          <w:b/>
          <w:bCs/>
          <w:color w:val="auto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</w:pPr>
    </w:p>
    <w:p w14:paraId="30787603">
      <w:pPr>
        <w:jc w:val="center"/>
        <w:rPr>
          <w:rFonts w:hint="eastAsia" w:ascii="仿宋" w:hAnsi="仿宋" w:eastAsia="仿宋" w:cs="仿宋"/>
          <w:b/>
          <w:bCs/>
          <w:color w:val="auto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</w:pPr>
    </w:p>
    <w:p w14:paraId="086DDF10">
      <w:pPr>
        <w:jc w:val="center"/>
        <w:rPr>
          <w:rFonts w:hint="eastAsia" w:ascii="仿宋" w:hAnsi="仿宋" w:eastAsia="仿宋" w:cs="仿宋"/>
          <w:b/>
          <w:bCs/>
          <w:color w:val="auto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</w:pPr>
    </w:p>
    <w:p w14:paraId="1AD2B06B">
      <w:pPr>
        <w:jc w:val="center"/>
        <w:rPr>
          <w:rFonts w:hint="eastAsia" w:ascii="仿宋" w:hAnsi="仿宋" w:eastAsia="仿宋" w:cs="仿宋"/>
          <w:b/>
          <w:bCs/>
          <w:color w:val="auto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</w:pPr>
    </w:p>
    <w:p w14:paraId="72076A6B">
      <w:pPr>
        <w:jc w:val="center"/>
        <w:rPr>
          <w:rFonts w:hint="eastAsia" w:ascii="仿宋" w:hAnsi="仿宋" w:eastAsia="仿宋" w:cs="仿宋"/>
          <w:b/>
          <w:bCs/>
          <w:color w:val="auto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</w:pPr>
    </w:p>
    <w:p w14:paraId="0BF944C5">
      <w:pPr>
        <w:pStyle w:val="5"/>
        <w:rPr>
          <w:rFonts w:hint="eastAsia" w:ascii="仿宋" w:hAnsi="仿宋" w:eastAsia="仿宋" w:cs="仿宋"/>
          <w:b/>
          <w:bCs/>
          <w:color w:val="auto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</w:pPr>
    </w:p>
    <w:p w14:paraId="1CD55F29">
      <w:pPr>
        <w:rPr>
          <w:rFonts w:hint="eastAsia" w:ascii="仿宋" w:hAnsi="仿宋" w:eastAsia="仿宋" w:cs="仿宋"/>
          <w:b/>
          <w:bCs/>
          <w:color w:val="auto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</w:pPr>
    </w:p>
    <w:p w14:paraId="19FA2057">
      <w:pPr>
        <w:rPr>
          <w:rFonts w:hint="eastAsia" w:ascii="仿宋" w:hAnsi="仿宋" w:eastAsia="仿宋" w:cs="仿宋"/>
          <w:b/>
          <w:bCs/>
          <w:color w:val="auto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</w:pPr>
    </w:p>
    <w:p w14:paraId="333CDD30"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综合评分表</w:t>
      </w:r>
    </w:p>
    <w:p w14:paraId="1F00E7F0">
      <w:pPr>
        <w:spacing w:line="240" w:lineRule="auto"/>
        <w:ind w:left="1050" w:hanging="1050" w:hangingChars="500"/>
        <w:rPr>
          <w:rFonts w:hint="eastAsia" w:ascii="宋体" w:hAnsi="宋体" w:eastAsia="宋体" w:cs="宋体"/>
          <w:color w:val="auto"/>
          <w:szCs w:val="21"/>
          <w:u w:val="single"/>
        </w:rPr>
      </w:pPr>
      <w:r>
        <w:rPr>
          <w:rFonts w:hint="eastAsia" w:ascii="宋体" w:hAnsi="宋体" w:eastAsia="宋体" w:cs="宋体"/>
          <w:color w:val="auto"/>
          <w:kern w:val="0"/>
        </w:rPr>
        <w:t>项目名称：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桥中街颐和片区微改造（颐和、长安、坦尾社区）项目</w:t>
      </w:r>
      <w:r>
        <w:rPr>
          <w:rFonts w:hint="eastAsia" w:ascii="宋体" w:hAnsi="宋体" w:eastAsia="宋体" w:cs="宋体"/>
          <w:color w:val="auto"/>
          <w:szCs w:val="21"/>
          <w:u w:val="single"/>
        </w:rPr>
        <w:t>房屋鉴定</w:t>
      </w:r>
      <w:r>
        <w:rPr>
          <w:rFonts w:hint="eastAsia" w:ascii="宋体" w:hAnsi="宋体" w:eastAsia="宋体" w:cs="宋体"/>
          <w:color w:val="auto"/>
          <w:szCs w:val="21"/>
          <w:u w:val="single"/>
          <w:lang w:eastAsia="zh-CN"/>
        </w:rPr>
        <w:t>服务</w:t>
      </w:r>
      <w:r>
        <w:rPr>
          <w:rFonts w:hint="eastAsia" w:ascii="宋体" w:hAnsi="宋体" w:eastAsia="宋体" w:cs="宋体"/>
          <w:color w:val="auto"/>
          <w:szCs w:val="21"/>
          <w:u w:val="single"/>
        </w:rPr>
        <w:t xml:space="preserve"> </w:t>
      </w:r>
    </w:p>
    <w:tbl>
      <w:tblPr>
        <w:tblStyle w:val="9"/>
        <w:tblW w:w="8968" w:type="dxa"/>
        <w:tblInd w:w="-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262"/>
        <w:gridCol w:w="6988"/>
      </w:tblGrid>
      <w:tr w14:paraId="031F4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tblHeader/>
        </w:trPr>
        <w:tc>
          <w:tcPr>
            <w:tcW w:w="7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65C36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评分项目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44DD84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评分因素（权重）</w:t>
            </w:r>
          </w:p>
        </w:tc>
        <w:tc>
          <w:tcPr>
            <w:tcW w:w="6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7D7D7"/>
            <w:noWrap w:val="0"/>
            <w:vAlign w:val="center"/>
          </w:tcPr>
          <w:p w14:paraId="35F2AC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评分标准</w:t>
            </w:r>
          </w:p>
        </w:tc>
      </w:tr>
      <w:tr w14:paraId="3EC5F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</w:trPr>
        <w:tc>
          <w:tcPr>
            <w:tcW w:w="718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103E8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商务部分（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分）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4C4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bidi="ar"/>
              </w:rPr>
              <w:t>项</w:t>
            </w:r>
            <w:r>
              <w:rPr>
                <w:rFonts w:hint="eastAsia" w:ascii="宋体" w:hAnsi="宋体" w:eastAsia="宋体" w:cs="宋体"/>
                <w:color w:val="auto"/>
              </w:rPr>
              <w:t>目业绩（10分）</w:t>
            </w:r>
          </w:p>
        </w:tc>
        <w:tc>
          <w:tcPr>
            <w:tcW w:w="698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98CA8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bidi="ar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bidi="ar"/>
              </w:rPr>
              <w:t>年至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 w:bidi="ar"/>
              </w:rPr>
              <w:t>今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bidi="ar"/>
              </w:rPr>
              <w:t>，承接过的类似房屋安全鉴定项目业绩的，每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提供一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bidi="ar"/>
              </w:rPr>
              <w:t>项得</w:t>
            </w:r>
            <w:r>
              <w:rPr>
                <w:rFonts w:hint="eastAsia" w:ascii="宋体" w:hAnsi="宋体" w:cs="宋体"/>
                <w:color w:val="auto"/>
                <w:kern w:val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bidi="ar"/>
              </w:rPr>
              <w:t>分，最高得</w:t>
            </w:r>
            <w:r>
              <w:rPr>
                <w:rFonts w:hint="eastAsia" w:ascii="宋体" w:hAnsi="宋体" w:cs="宋体"/>
                <w:color w:val="auto"/>
                <w:kern w:val="0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bidi="ar"/>
              </w:rPr>
              <w:t>分。</w:t>
            </w:r>
          </w:p>
          <w:p w14:paraId="1D90CA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 w:bidi="ar"/>
              </w:rPr>
              <w:t>注：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需提供合同或协议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复印件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，以合同或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协议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书的签订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时间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为准。</w:t>
            </w:r>
          </w:p>
        </w:tc>
      </w:tr>
      <w:tr w14:paraId="7F3B2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4" w:hRule="atLeast"/>
        </w:trPr>
        <w:tc>
          <w:tcPr>
            <w:tcW w:w="71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D9295C6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070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企业荣誉（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</w:rPr>
              <w:t>分）</w:t>
            </w:r>
          </w:p>
        </w:tc>
        <w:tc>
          <w:tcPr>
            <w:tcW w:w="698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AEA446D">
            <w:pPr>
              <w:pStyle w:val="6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2020年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bidi="ar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今，获得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省、市级或以上房屋鉴定相关行业协会颁发的“房屋安全鉴定工作优秀单位”</w:t>
            </w:r>
            <w:r>
              <w:rPr>
                <w:rFonts w:hint="eastAsia" w:ascii="宋体" w:hAnsi="宋体" w:eastAsia="宋体" w:cs="宋体"/>
                <w:color w:val="auto"/>
                <w:szCs w:val="22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连续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年获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得，得</w:t>
            </w:r>
            <w:r>
              <w:rPr>
                <w:rFonts w:hint="eastAsia" w:ascii="宋体" w:hAnsi="宋体" w:cs="宋体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分，连续</w:t>
            </w: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年获得，得</w:t>
            </w:r>
            <w:r>
              <w:rPr>
                <w:rFonts w:hint="eastAsia" w:ascii="宋体" w:hAnsi="宋体" w:cs="宋体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分，</w:t>
            </w:r>
            <w:r>
              <w:rPr>
                <w:rFonts w:hint="eastAsia" w:ascii="宋体" w:hAnsi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年获得，得</w:t>
            </w: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分。</w:t>
            </w:r>
            <w:r>
              <w:rPr>
                <w:rFonts w:hint="eastAsia" w:ascii="宋体" w:hAnsi="宋体" w:eastAsia="宋体" w:cs="宋体"/>
                <w:color w:val="auto"/>
                <w:szCs w:val="22"/>
              </w:rPr>
              <w:t>没有获得不得分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。</w:t>
            </w:r>
          </w:p>
          <w:p w14:paraId="34B5E7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</w:rPr>
            </w:pPr>
          </w:p>
          <w:p w14:paraId="27870C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</w:rPr>
              <w:t>注：需提供有效证明材料的复印件</w:t>
            </w:r>
            <w:r>
              <w:rPr>
                <w:rFonts w:hint="eastAsia" w:ascii="宋体" w:hAnsi="宋体" w:cs="宋体"/>
                <w:b/>
                <w:color w:val="auto"/>
                <w:szCs w:val="21"/>
                <w:lang w:eastAsia="zh-CN"/>
              </w:rPr>
              <w:t>。</w:t>
            </w:r>
          </w:p>
        </w:tc>
      </w:tr>
      <w:tr w14:paraId="0ECE6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</w:trPr>
        <w:tc>
          <w:tcPr>
            <w:tcW w:w="71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6059E5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67F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管理体系认证（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</w:rPr>
              <w:t>分）</w:t>
            </w:r>
          </w:p>
        </w:tc>
        <w:tc>
          <w:tcPr>
            <w:tcW w:w="6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6FEEAC">
            <w:pPr>
              <w:spacing w:after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bidi="ar"/>
              </w:rPr>
              <w:t>具有有效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eastAsia="zh-CN" w:bidi="ar"/>
              </w:rPr>
              <w:t>期内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bidi="ar"/>
              </w:rPr>
              <w:t>的</w:t>
            </w:r>
            <w:r>
              <w:rPr>
                <w:rFonts w:hint="eastAsia" w:ascii="宋体" w:hAnsi="宋体" w:cs="宋体"/>
                <w:color w:val="auto"/>
                <w:kern w:val="0"/>
                <w:lang w:eastAsia="zh-CN" w:bidi="ar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lang w:bidi="ar"/>
              </w:rPr>
              <w:t>环境管理体系、职业健康安全管理体系、质量管理体系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4"/>
                <w:lang w:val="en-US" w:eastAsia="zh-CN" w:bidi="ar"/>
              </w:rPr>
              <w:t>测量管理体系认证、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lang w:val="en-US" w:eastAsia="zh-CN" w:bidi="ar"/>
              </w:rPr>
              <w:t>企业诚信管理体系</w:t>
            </w:r>
            <w:r>
              <w:rPr>
                <w:rFonts w:hint="eastAsia" w:ascii="宋体" w:hAnsi="宋体" w:cs="宋体"/>
                <w:color w:val="auto"/>
                <w:kern w:val="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bidi="ar"/>
              </w:rPr>
              <w:t>企业知识产权管理体系认证</w:t>
            </w:r>
            <w:r>
              <w:rPr>
                <w:rFonts w:hint="eastAsia" w:ascii="宋体" w:hAnsi="宋体" w:cs="宋体"/>
                <w:color w:val="auto"/>
                <w:kern w:val="0"/>
                <w:lang w:eastAsia="zh-CN" w:bidi="ar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eastAsia="zh-CN" w:bidi="ar"/>
              </w:rPr>
              <w:t>的，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lang w:bidi="ar"/>
              </w:rPr>
              <w:t>同时具有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4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lang w:bidi="ar"/>
              </w:rPr>
              <w:t>项且在有效期内的，得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4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lang w:bidi="ar"/>
              </w:rPr>
              <w:t>分；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lang w:val="en-US" w:eastAsia="zh-CN" w:bidi="ar"/>
              </w:rPr>
              <w:t>同时具备其中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4"/>
                <w:lang w:val="en-US" w:eastAsia="zh-CN" w:bidi="ar"/>
              </w:rPr>
              <w:t>4-5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lang w:val="en-US" w:eastAsia="zh-CN" w:bidi="ar"/>
              </w:rPr>
              <w:t>项且在有效期内的，得4分；同时具备其中1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4"/>
                <w:lang w:val="en-US" w:eastAsia="zh-CN" w:bidi="ar"/>
              </w:rPr>
              <w:t>-3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lang w:val="en-US" w:eastAsia="zh-CN" w:bidi="ar"/>
              </w:rPr>
              <w:t>项且在有效期内的，得1分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lang w:bidi="ar"/>
              </w:rPr>
              <w:t>；本项最多得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4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lang w:bidi="ar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lang w:val="en-US" w:eastAsia="zh-CN" w:bidi="ar"/>
              </w:rPr>
              <w:t>不提供不得分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lang w:bidi="ar"/>
              </w:rPr>
              <w:t>。</w:t>
            </w:r>
          </w:p>
          <w:p w14:paraId="6D30D3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</w:rPr>
              <w:t>注：</w:t>
            </w:r>
            <w:r>
              <w:rPr>
                <w:rFonts w:hint="eastAsia" w:ascii="宋体" w:hAnsi="宋体" w:cs="宋体"/>
                <w:b/>
                <w:color w:val="auto"/>
                <w:szCs w:val="21"/>
              </w:rPr>
              <w:t>提供有效期内的认证证书扫描件及全国认证认可信息公共服务平台(http://www.cnca.gov.cn)上查询到的在有效期的官网截图打印盖章作为证明材料，不提供不得分。</w:t>
            </w:r>
          </w:p>
        </w:tc>
      </w:tr>
      <w:tr w14:paraId="60FEF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</w:trPr>
        <w:tc>
          <w:tcPr>
            <w:tcW w:w="718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647D8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技术部分（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分）</w:t>
            </w: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387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技术人员配备（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分）</w:t>
            </w:r>
          </w:p>
        </w:tc>
        <w:tc>
          <w:tcPr>
            <w:tcW w:w="6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86E3CE">
            <w:pPr>
              <w:pStyle w:val="13"/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jc w:val="left"/>
              <w:rPr>
                <w:rFonts w:hint="eastAsia" w:ascii="宋体" w:hAnsi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项目负责人：</w:t>
            </w:r>
          </w:p>
          <w:p w14:paraId="1EC4085E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 w:bidi="ar"/>
              </w:rPr>
              <w:t>）具备建筑工程类专业高级或以上工程师职称，得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 w:bidi="ar"/>
              </w:rPr>
              <w:t>分；</w:t>
            </w:r>
          </w:p>
          <w:p w14:paraId="0EBC4272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 w:bidi="ar"/>
              </w:rPr>
              <w:t>）具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有房屋安全鉴定员注册证书的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 w:bidi="ar"/>
              </w:rPr>
              <w:t xml:space="preserve">，得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 w:bidi="ar"/>
              </w:rPr>
              <w:t xml:space="preserve"> 分；</w:t>
            </w:r>
          </w:p>
          <w:p w14:paraId="2020DE97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受过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 w:bidi="ar"/>
              </w:rPr>
              <w:t>行政主管部门或行业协会（学会）表彰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 w:bidi="ar"/>
              </w:rPr>
              <w:t>，得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 w:bidi="ar"/>
              </w:rPr>
              <w:t>分。</w:t>
            </w:r>
          </w:p>
          <w:p w14:paraId="130B83AA">
            <w:pPr>
              <w:pStyle w:val="13"/>
              <w:spacing w:line="288" w:lineRule="auto"/>
              <w:ind w:left="0" w:leftChars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eastAsia="zh-CN" w:bidi="ar"/>
              </w:rPr>
              <w:t xml:space="preserve"> 注：</w:t>
            </w: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本小项最高得8分。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eastAsia="zh-CN" w:bidi="ar"/>
              </w:rPr>
              <w:t>须提供以下相关证明资料并加盖公章：①职称证书、房屋安全鉴定员注册证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eastAsia="zh-CN" w:bidi="ar"/>
              </w:rPr>
              <w:t>复印件、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表彰证明文件等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eastAsia="zh-CN" w:bidi="ar"/>
              </w:rPr>
              <w:t>；②投标供应商为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 w:bidi="ar"/>
              </w:rPr>
              <w:t>其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eastAsia="zh-CN" w:bidi="ar"/>
              </w:rPr>
              <w:t>购买社保证明[本项目投标截止日近三个月（含投标截止日当月）中任意一个月的社保证明]复印件。不提供或提供的资料不符合要求的不得分。</w:t>
            </w:r>
          </w:p>
        </w:tc>
      </w:tr>
      <w:tr w14:paraId="4E5A3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5" w:hRule="atLeast"/>
        </w:trPr>
        <w:tc>
          <w:tcPr>
            <w:tcW w:w="71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9C64C45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313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265779D">
            <w:pPr>
              <w:rPr>
                <w:rFonts w:hint="eastAsia" w:ascii="宋体" w:hAnsi="宋体" w:eastAsia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bidi="ar"/>
              </w:rPr>
              <w:t>技术负责人：</w:t>
            </w:r>
          </w:p>
          <w:p w14:paraId="3D22002B">
            <w:pPr>
              <w:rPr>
                <w:rFonts w:hint="eastAsia" w:ascii="宋体" w:hAnsi="宋体" w:eastAsia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（1）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具有建筑或结构类专业中级（或以上）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bidi="ar"/>
              </w:rPr>
              <w:t>的得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bidi="ar"/>
              </w:rPr>
              <w:t>分。</w:t>
            </w:r>
          </w:p>
          <w:p w14:paraId="3DAAAAD6">
            <w:pPr>
              <w:rPr>
                <w:rFonts w:hint="eastAsia" w:ascii="宋体" w:hAnsi="宋体" w:eastAsia="宋体" w:cs="宋体"/>
                <w:color w:val="auto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（2）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bidi="ar"/>
              </w:rPr>
              <w:t>具备一级注册结构工程师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的，得3分。</w:t>
            </w:r>
          </w:p>
          <w:p w14:paraId="6D07871A"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bidi="ar"/>
              </w:rPr>
              <w:t>）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具有房屋安全鉴定员注册证书的</w:t>
            </w:r>
            <w:r>
              <w:rPr>
                <w:rFonts w:hint="eastAsia" w:ascii="宋体" w:hAnsi="宋体" w:cs="宋体"/>
                <w:color w:val="auto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得2分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bidi="ar"/>
              </w:rPr>
              <w:t>。</w:t>
            </w:r>
          </w:p>
          <w:p w14:paraId="4BB1F314">
            <w:pPr>
              <w:rPr>
                <w:rFonts w:hint="eastAsi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bidi="ar"/>
              </w:rPr>
              <w:t>注：</w:t>
            </w: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本小项最高得7分。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bidi="ar"/>
              </w:rPr>
              <w:t>须提供以下相关证明资料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eastAsia="zh-CN" w:bidi="ar"/>
              </w:rPr>
              <w:t>并加盖公章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bidi="ar"/>
              </w:rPr>
              <w:t>：①职称证书、房屋安全鉴定员注册证书、一级注册结构工程师执业资格证书复印件；②投标供应商为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 w:bidi="ar"/>
              </w:rPr>
              <w:t>其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bidi="ar"/>
              </w:rPr>
              <w:t>购买社保证明[本项目投标截止日近三个月中任意一个月的社保证明]复印件。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eastAsia="zh-CN" w:bidi="ar"/>
              </w:rPr>
              <w:t>不提供或提供的资料不符合要求的不得分。</w:t>
            </w:r>
          </w:p>
        </w:tc>
      </w:tr>
      <w:tr w14:paraId="45101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3" w:hRule="atLeast"/>
        </w:trPr>
        <w:tc>
          <w:tcPr>
            <w:tcW w:w="71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B7219F1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2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CE5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6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2A2A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拟投入本项目的鉴定人员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项目负责人、技术负责人除外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</w:rPr>
              <w:t>：</w:t>
            </w:r>
          </w:p>
          <w:p w14:paraId="5E08D3DD">
            <w:pPr>
              <w:pStyle w:val="1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88" w:lineRule="auto"/>
              <w:ind w:left="100" w:lef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（1）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eastAsia="zh-CN" w:bidi="ar-SA"/>
              </w:rPr>
              <w:t>拟投入本项目的鉴定人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eastAsia="zh-CN" w:bidi="ar-SA"/>
              </w:rPr>
              <w:t>具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有房屋安全鉴定员注册证书的人数：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eastAsia="zh-CN" w:bidi="ar-SA"/>
              </w:rPr>
              <w:t>（含）以上的得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eastAsia="zh-CN" w:bidi="ar-SA"/>
              </w:rPr>
              <w:t>分；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5-9人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eastAsia="zh-CN" w:bidi="ar-SA"/>
              </w:rPr>
              <w:t>的得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eastAsia="zh-CN" w:bidi="ar-SA"/>
              </w:rPr>
              <w:t>分；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1-5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eastAsia="zh-CN" w:bidi="ar-SA"/>
              </w:rPr>
              <w:t>人的得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eastAsia="zh-CN" w:bidi="ar-SA"/>
              </w:rPr>
              <w:t>分；</w:t>
            </w:r>
          </w:p>
          <w:p w14:paraId="7F332A5F">
            <w:pPr>
              <w:pStyle w:val="1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88" w:lineRule="auto"/>
              <w:ind w:left="100" w:lef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（2）上述人员，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eastAsia="zh-CN" w:bidi="ar-SA"/>
              </w:rPr>
              <w:t>具有工程类相关专业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中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eastAsia="zh-CN" w:bidi="ar-SA"/>
              </w:rPr>
              <w:t>级或以上工程师职称的，每人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得1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eastAsia="zh-CN" w:bidi="ar-SA"/>
              </w:rPr>
              <w:t>分，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最高得5分，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没有的不得分。</w:t>
            </w:r>
          </w:p>
          <w:p w14:paraId="1EB9DFBF">
            <w:pPr>
              <w:widowControl/>
              <w:spacing w:before="0" w:after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4"/>
              </w:rPr>
              <w:t>注：</w:t>
            </w:r>
            <w:r>
              <w:rPr>
                <w:rFonts w:hint="eastAsia" w:ascii="宋体" w:hAnsi="宋体" w:cs="宋体"/>
                <w:b/>
                <w:bCs/>
                <w:color w:val="auto"/>
              </w:rPr>
              <w:t>本小项最高得15分。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bidi="ar"/>
              </w:rPr>
              <w:t>须提供以下相关证明资料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eastAsia="zh-CN" w:bidi="ar"/>
              </w:rPr>
              <w:t>并加盖公章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bidi="ar"/>
              </w:rPr>
              <w:t>：①职称证书、房屋安全鉴定员注册证书；②投标供应商为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 w:bidi="ar"/>
              </w:rPr>
              <w:t>其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bidi="ar"/>
              </w:rPr>
              <w:t>购买社保证明[本项目投标截止日近三个月中任意一个月的社保证明]复印件。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eastAsia="zh-CN" w:bidi="ar"/>
              </w:rPr>
              <w:t>不提供或提供的资料不符合要求的不得分。</w:t>
            </w:r>
          </w:p>
        </w:tc>
      </w:tr>
      <w:tr w14:paraId="0B00A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1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A7EB4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2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252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Hans"/>
              </w:rPr>
              <w:t>服务项目组织实施方案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/>
              </w:rPr>
              <w:t>（30分）</w:t>
            </w:r>
          </w:p>
        </w:tc>
        <w:tc>
          <w:tcPr>
            <w:tcW w:w="6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68BEC8">
            <w:pPr>
              <w:widowControl/>
              <w:tabs>
                <w:tab w:val="left" w:pos="720"/>
              </w:tabs>
              <w:snapToGrid w:val="0"/>
              <w:spacing w:line="400" w:lineRule="exact"/>
              <w:ind w:left="63" w:leftChars="30" w:right="63" w:rightChars="3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4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4"/>
                <w:highlight w:val="none"/>
                <w:lang w:bidi="ar-SA"/>
              </w:rPr>
              <w:t>优：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4"/>
                <w:highlight w:val="none"/>
                <w:lang w:val="en-US" w:eastAsia="zh-CN" w:bidi="ar-SA"/>
              </w:rPr>
              <w:t>房屋鉴定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4"/>
                <w:highlight w:val="none"/>
                <w:lang w:bidi="ar-SA"/>
              </w:rPr>
              <w:t>方案详细、具体，内容齐全，方法合理可行，能满足本工程提出的所有项目，有合理可行的保证通过相关验收、满足工程进度、质量和安全确保措施，得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4"/>
                <w:highlight w:val="none"/>
                <w:lang w:val="en-US" w:eastAsia="zh-CN" w:bidi="ar-SA"/>
              </w:rPr>
              <w:t>20-30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4"/>
                <w:highlight w:val="none"/>
                <w:lang w:bidi="ar-SA"/>
              </w:rPr>
              <w:t>分；</w:t>
            </w:r>
          </w:p>
          <w:p w14:paraId="1DE21E6F">
            <w:pPr>
              <w:widowControl/>
              <w:tabs>
                <w:tab w:val="left" w:pos="720"/>
              </w:tabs>
              <w:snapToGrid w:val="0"/>
              <w:spacing w:line="400" w:lineRule="exact"/>
              <w:ind w:left="63" w:leftChars="30" w:right="63" w:rightChars="3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4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4"/>
                <w:highlight w:val="none"/>
                <w:lang w:bidi="ar-SA"/>
              </w:rPr>
              <w:t>良：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4"/>
                <w:highlight w:val="none"/>
                <w:lang w:val="en-US" w:eastAsia="zh-CN" w:bidi="ar-SA"/>
              </w:rPr>
              <w:t>房屋鉴定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4"/>
                <w:highlight w:val="none"/>
                <w:lang w:bidi="ar-SA"/>
              </w:rPr>
              <w:t>方案较详细、较具体，内容较齐全，方法较合理可行，有比较可行的保证通过相关验收、满足工程进度、质量和安全确保措施，得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4"/>
                <w:highlight w:val="none"/>
                <w:lang w:val="en-US" w:eastAsia="zh-CN" w:bidi="ar-SA"/>
              </w:rPr>
              <w:t>10-19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4"/>
                <w:highlight w:val="none"/>
                <w:lang w:bidi="ar-SA"/>
              </w:rPr>
              <w:t>分；</w:t>
            </w:r>
          </w:p>
          <w:p w14:paraId="24CC104B">
            <w:pPr>
              <w:widowControl/>
              <w:tabs>
                <w:tab w:val="left" w:pos="720"/>
              </w:tabs>
              <w:snapToGrid w:val="0"/>
              <w:spacing w:line="400" w:lineRule="exact"/>
              <w:ind w:left="63" w:leftChars="30" w:right="63" w:rightChars="3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4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4"/>
                <w:highlight w:val="none"/>
                <w:lang w:bidi="ar-SA"/>
              </w:rPr>
              <w:t>中：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4"/>
                <w:highlight w:val="none"/>
                <w:lang w:val="en-US" w:eastAsia="zh-CN" w:bidi="ar-SA"/>
              </w:rPr>
              <w:t>房屋鉴定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4"/>
                <w:highlight w:val="none"/>
                <w:lang w:bidi="ar-SA"/>
              </w:rPr>
              <w:t>方案基本内容满足要求，方法基本符合规范要求，有基本能通过相关验收、满足工程进度、质量和安全的确保措施，得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4"/>
                <w:highlight w:val="none"/>
                <w:lang w:val="en-US" w:eastAsia="zh-CN" w:bidi="ar-SA"/>
              </w:rPr>
              <w:t>5-9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4"/>
                <w:highlight w:val="none"/>
                <w:lang w:bidi="ar-SA"/>
              </w:rPr>
              <w:t>分；</w:t>
            </w:r>
          </w:p>
          <w:p w14:paraId="17B339F7">
            <w:pPr>
              <w:widowControl/>
              <w:tabs>
                <w:tab w:val="left" w:pos="720"/>
              </w:tabs>
              <w:snapToGrid w:val="0"/>
              <w:spacing w:line="400" w:lineRule="exact"/>
              <w:ind w:left="63" w:leftChars="30" w:right="63" w:rightChars="30"/>
              <w:jc w:val="left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4"/>
                <w:highlight w:val="none"/>
                <w:lang w:bidi="ar-SA"/>
              </w:rPr>
              <w:t>差：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4"/>
                <w:highlight w:val="none"/>
                <w:lang w:val="en-US" w:eastAsia="zh-CN" w:bidi="ar-SA"/>
              </w:rPr>
              <w:t>房屋鉴定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4"/>
                <w:highlight w:val="none"/>
                <w:lang w:bidi="ar-SA"/>
              </w:rPr>
              <w:t>方案基本内容阐述缺项，方法基本不能满足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4"/>
                <w:highlight w:val="none"/>
                <w:lang w:val="en-US" w:eastAsia="zh-CN" w:bidi="ar-SA"/>
              </w:rPr>
              <w:t>鉴定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4"/>
                <w:highlight w:val="none"/>
                <w:lang w:bidi="ar-SA"/>
              </w:rPr>
              <w:t>、要求，得0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4"/>
                <w:highlight w:val="none"/>
                <w:lang w:val="en-US" w:eastAsia="zh-CN" w:bidi="ar-SA"/>
              </w:rPr>
              <w:t>-4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4"/>
                <w:highlight w:val="none"/>
                <w:lang w:bidi="ar-SA"/>
              </w:rPr>
              <w:t>分。</w:t>
            </w:r>
          </w:p>
          <w:p w14:paraId="5C3407D1">
            <w:pPr>
              <w:widowControl/>
              <w:spacing w:before="0" w:after="0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4"/>
                <w:highlight w:val="none"/>
                <w:lang w:bidi="ar-SA"/>
              </w:rPr>
              <w:t>注：本项最多得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4"/>
                <w:highlight w:val="none"/>
                <w:lang w:val="en-US" w:eastAsia="zh-CN" w:bidi="ar-SA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4"/>
                <w:highlight w:val="none"/>
                <w:lang w:bidi="ar-SA"/>
              </w:rPr>
              <w:t>分。</w:t>
            </w:r>
          </w:p>
        </w:tc>
      </w:tr>
      <w:tr w14:paraId="57366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9" w:hRule="atLeast"/>
        </w:trPr>
        <w:tc>
          <w:tcPr>
            <w:tcW w:w="7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4EF46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报价部分（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分）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B7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报价</w:t>
            </w:r>
          </w:p>
          <w:p w14:paraId="17C810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分）</w:t>
            </w:r>
          </w:p>
        </w:tc>
        <w:tc>
          <w:tcPr>
            <w:tcW w:w="6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3C4D75C">
            <w:pPr>
              <w:keepNext w:val="0"/>
              <w:keepLines w:val="0"/>
              <w:widowControl/>
              <w:suppressLineNumbers w:val="0"/>
              <w:tabs>
                <w:tab w:val="left" w:pos="720"/>
              </w:tabs>
              <w:snapToGrid w:val="0"/>
              <w:spacing w:before="0" w:beforeAutospacing="0" w:after="0" w:afterAutospacing="0" w:line="400" w:lineRule="exact"/>
              <w:ind w:left="63" w:leftChars="30" w:right="63" w:rightChars="30"/>
              <w:jc w:val="left"/>
              <w:rPr>
                <w:rFonts w:hint="eastAsia" w:ascii="宋体" w:hAnsi="宋体" w:eastAsia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highlight w:val="none"/>
              </w:rPr>
              <w:t>当有效报价等于报价基准价时，报价得分为</w:t>
            </w:r>
            <w:r>
              <w:rPr>
                <w:rFonts w:hint="eastAsia" w:ascii="宋体" w:hAnsi="宋体" w:cs="宋体"/>
                <w:color w:val="auto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Cs w:val="24"/>
                <w:highlight w:val="none"/>
              </w:rPr>
              <w:t>分，报价每高于报价基准价1%，扣</w:t>
            </w:r>
            <w:r>
              <w:rPr>
                <w:rFonts w:hint="eastAsia" w:ascii="宋体" w:hAnsi="宋体" w:cs="宋体"/>
                <w:color w:val="auto"/>
                <w:szCs w:val="24"/>
                <w:highlight w:val="none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color w:val="auto"/>
                <w:szCs w:val="24"/>
                <w:highlight w:val="none"/>
              </w:rPr>
              <w:t>分，每低于</w:t>
            </w:r>
            <w:r>
              <w:rPr>
                <w:rFonts w:hint="eastAsia" w:ascii="宋体" w:hAnsi="宋体" w:eastAsia="宋体" w:cs="宋体"/>
                <w:color w:val="auto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Cs w:val="24"/>
                <w:highlight w:val="none"/>
              </w:rPr>
              <w:t>%，扣</w:t>
            </w:r>
            <w:r>
              <w:rPr>
                <w:rFonts w:hint="eastAsia" w:ascii="宋体" w:hAnsi="宋体" w:cs="宋体"/>
                <w:color w:val="auto"/>
                <w:szCs w:val="24"/>
                <w:highlight w:val="none"/>
                <w:lang w:val="en-US" w:eastAsia="zh-CN"/>
              </w:rPr>
              <w:t>0.3</w:t>
            </w:r>
            <w:r>
              <w:rPr>
                <w:rFonts w:hint="eastAsia" w:ascii="宋体" w:hAnsi="宋体" w:eastAsia="宋体" w:cs="宋体"/>
                <w:color w:val="auto"/>
                <w:szCs w:val="24"/>
                <w:highlight w:val="none"/>
              </w:rPr>
              <w:t>分，扣至0分为止，计算出报价得分，精确到小数点后两位。</w:t>
            </w:r>
          </w:p>
          <w:p w14:paraId="3FB8C341">
            <w:pPr>
              <w:keepNext w:val="0"/>
              <w:keepLines w:val="0"/>
              <w:widowControl/>
              <w:suppressLineNumbers w:val="0"/>
              <w:tabs>
                <w:tab w:val="left" w:pos="720"/>
              </w:tabs>
              <w:snapToGrid w:val="0"/>
              <w:spacing w:before="0" w:beforeAutospacing="0" w:after="0" w:afterAutospacing="0" w:line="400" w:lineRule="exact"/>
              <w:ind w:left="63" w:leftChars="30" w:right="63" w:rightChars="30"/>
              <w:jc w:val="left"/>
              <w:rPr>
                <w:rFonts w:hint="eastAsia" w:ascii="宋体" w:hAnsi="宋体" w:eastAsia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highlight w:val="none"/>
              </w:rPr>
              <w:t>注：</w:t>
            </w:r>
          </w:p>
          <w:p w14:paraId="028DAF3E">
            <w:pPr>
              <w:keepNext w:val="0"/>
              <w:keepLines w:val="0"/>
              <w:widowControl/>
              <w:suppressLineNumbers w:val="0"/>
              <w:tabs>
                <w:tab w:val="left" w:pos="720"/>
              </w:tabs>
              <w:snapToGrid w:val="0"/>
              <w:spacing w:before="0" w:beforeAutospacing="0" w:after="0" w:afterAutospacing="0" w:line="400" w:lineRule="exact"/>
              <w:ind w:left="63" w:leftChars="30" w:right="63" w:rightChars="30"/>
              <w:jc w:val="left"/>
              <w:rPr>
                <w:rFonts w:hint="eastAsia" w:ascii="宋体"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4"/>
                <w:highlight w:val="none"/>
                <w:lang w:val="en-US" w:eastAsia="zh-CN"/>
              </w:rPr>
              <w:t>有效报价：</w:t>
            </w: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投标报价的下浮率范围</w:t>
            </w:r>
            <w:r>
              <w:rPr>
                <w:rFonts w:hint="eastAsia" w:ascii="宋体" w:hAnsi="宋体" w:cs="宋体"/>
                <w:color w:val="auto"/>
                <w:szCs w:val="24"/>
                <w:highlight w:val="none"/>
                <w:lang w:val="en-US" w:eastAsia="zh-CN"/>
              </w:rPr>
              <w:t>应</w:t>
            </w: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为【0%-20%】。如下浮率超过20%，投标人</w:t>
            </w:r>
            <w:r>
              <w:rPr>
                <w:rFonts w:hint="eastAsia" w:ascii="宋体" w:hAnsi="宋体" w:cs="宋体"/>
                <w:color w:val="auto"/>
                <w:szCs w:val="24"/>
                <w:highlight w:val="none"/>
                <w:lang w:val="en-US" w:eastAsia="zh-CN"/>
              </w:rPr>
              <w:t>需</w:t>
            </w: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提供成本</w:t>
            </w:r>
            <w:r>
              <w:rPr>
                <w:rFonts w:hint="eastAsia" w:ascii="宋体" w:hAnsi="宋体" w:cs="宋体"/>
                <w:color w:val="auto"/>
                <w:szCs w:val="24"/>
                <w:highlight w:val="none"/>
                <w:lang w:val="en-US" w:eastAsia="zh-CN"/>
              </w:rPr>
              <w:t>分析</w:t>
            </w: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报告，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4"/>
                <w:highlight w:val="none"/>
              </w:rPr>
              <w:t>投标人不能合理说明或者不能提供相应证明材料的，评标委员会应当认定该投标人以低于成本报价竞标，并否决其投标</w:t>
            </w: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。</w:t>
            </w:r>
          </w:p>
          <w:p w14:paraId="3814C636">
            <w:pPr>
              <w:keepNext w:val="0"/>
              <w:keepLines w:val="0"/>
              <w:widowControl/>
              <w:suppressLineNumbers w:val="0"/>
              <w:tabs>
                <w:tab w:val="left" w:pos="720"/>
              </w:tabs>
              <w:snapToGrid w:val="0"/>
              <w:spacing w:before="0" w:beforeAutospacing="0" w:after="0" w:afterAutospacing="0" w:line="400" w:lineRule="exact"/>
              <w:ind w:left="63" w:leftChars="30" w:right="63" w:rightChars="30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highlight w:val="none"/>
              </w:rPr>
              <w:t>当有效报价人大于或等于5家时，去掉一个最高价和一个最低价，取余下有效报价的算术平均值作为报价基准价。当有效报价人小于5家时，取所有入围有效报价的算术平均值作为报价基准价</w:t>
            </w:r>
            <w:r>
              <w:rPr>
                <w:rFonts w:hint="eastAsia" w:ascii="宋体" w:hAnsi="宋体" w:eastAsia="宋体" w:cs="宋体"/>
                <w:color w:val="auto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Cs w:val="24"/>
                <w:highlight w:val="none"/>
              </w:rPr>
              <w:t>（保留小数点后二位，第三位小数四舍五入）</w:t>
            </w:r>
            <w:r>
              <w:rPr>
                <w:rFonts w:hint="eastAsia" w:ascii="宋体" w:hAnsi="宋体" w:eastAsia="宋体" w:cs="宋体"/>
                <w:color w:val="auto"/>
                <w:kern w:val="2"/>
                <w:szCs w:val="24"/>
                <w:highlight w:val="none"/>
                <w:lang w:bidi="ar-SA"/>
              </w:rPr>
              <w:t>。</w:t>
            </w:r>
          </w:p>
        </w:tc>
      </w:tr>
      <w:tr w14:paraId="50071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7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47903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总分</w:t>
            </w:r>
          </w:p>
        </w:tc>
        <w:tc>
          <w:tcPr>
            <w:tcW w:w="8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A9F47A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100</w:t>
            </w:r>
          </w:p>
        </w:tc>
      </w:tr>
    </w:tbl>
    <w:p w14:paraId="61544A53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77E11"/>
    <w:rsid w:val="061819E4"/>
    <w:rsid w:val="0BCB02B0"/>
    <w:rsid w:val="0C7026A8"/>
    <w:rsid w:val="0D330DAA"/>
    <w:rsid w:val="0D8642AB"/>
    <w:rsid w:val="0FB87E4F"/>
    <w:rsid w:val="14B77E11"/>
    <w:rsid w:val="16B2532E"/>
    <w:rsid w:val="18C25071"/>
    <w:rsid w:val="1C350EA6"/>
    <w:rsid w:val="1E693AAB"/>
    <w:rsid w:val="26847979"/>
    <w:rsid w:val="279F76C3"/>
    <w:rsid w:val="28CA52F9"/>
    <w:rsid w:val="2E9D2C1F"/>
    <w:rsid w:val="30E8191D"/>
    <w:rsid w:val="36212BDE"/>
    <w:rsid w:val="3CBE7B12"/>
    <w:rsid w:val="46677850"/>
    <w:rsid w:val="486F472D"/>
    <w:rsid w:val="4D70480A"/>
    <w:rsid w:val="51A14AAC"/>
    <w:rsid w:val="5372432A"/>
    <w:rsid w:val="56BA15D9"/>
    <w:rsid w:val="5E6D67E0"/>
    <w:rsid w:val="5F2126CE"/>
    <w:rsid w:val="62D37E0F"/>
    <w:rsid w:val="67974E7A"/>
    <w:rsid w:val="68197A7F"/>
    <w:rsid w:val="7B6F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9"/>
    <w:pPr>
      <w:widowControl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  <w:spacing w:before="120" w:after="120" w:line="360" w:lineRule="auto"/>
    </w:pPr>
    <w:rPr>
      <w:rFonts w:ascii="Arial" w:hAnsi="Arial" w:cs="Times New Roman"/>
      <w:sz w:val="24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1"/>
    <w:qFormat/>
    <w:uiPriority w:val="0"/>
    <w:pPr>
      <w:spacing w:after="120"/>
    </w:pPr>
    <w:rPr>
      <w:szCs w:val="20"/>
    </w:rPr>
  </w:style>
  <w:style w:type="paragraph" w:styleId="8">
    <w:name w:val="Body Text First Indent"/>
    <w:basedOn w:val="7"/>
    <w:next w:val="2"/>
    <w:qFormat/>
    <w:uiPriority w:val="0"/>
    <w:pPr>
      <w:widowControl w:val="0"/>
      <w:spacing w:line="240" w:lineRule="auto"/>
      <w:ind w:firstLine="420"/>
      <w:jc w:val="both"/>
    </w:pPr>
    <w:rPr>
      <w:rFonts w:eastAsia="宋体"/>
      <w:color w:val="auto"/>
      <w:kern w:val="0"/>
      <w:sz w:val="20"/>
      <w:szCs w:val="20"/>
    </w:rPr>
  </w:style>
  <w:style w:type="paragraph" w:customStyle="1" w:styleId="11">
    <w:name w:val="Plain Text"/>
    <w:basedOn w:val="1"/>
    <w:qFormat/>
    <w:uiPriority w:val="0"/>
    <w:rPr>
      <w:rFonts w:ascii="宋体" w:hAnsi="Courier New" w:eastAsia="Times New Roman"/>
      <w:kern w:val="2"/>
      <w:sz w:val="21"/>
    </w:rPr>
  </w:style>
  <w:style w:type="paragraph" w:customStyle="1" w:styleId="12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2005</Words>
  <Characters>2087</Characters>
  <Lines>0</Lines>
  <Paragraphs>0</Paragraphs>
  <TotalTime>17</TotalTime>
  <ScaleCrop>false</ScaleCrop>
  <LinksUpToDate>false</LinksUpToDate>
  <CharactersWithSpaces>2091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2025-04-27T02:29:00Z</dcterms:created>
  <dc:creator>Administrator</dc:creator>
  <cp:lastModifiedBy>WPS_1679653748</cp:lastModifiedBy>
  <cp:lastPrinted>2025-05-14T03:11:00Z</cp:lastPrinted>
  <dcterms:modified xsi:type="dcterms:W3CDTF">2025-05-30T02:18:03Z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B4D0D89096A845418EB68FF35398A819_13</vt:lpwstr>
  </property>
  <property fmtid="{D5CDD505-2E9C-101B-9397-08002B2CF9AE}" pid="4" name="KSOTemplateDocerSaveRecord">
    <vt:lpwstr>eyJoZGlkIjoiMWQzMTk3OTNjYWY5ZTFkNDRhMThlZGVmOWMzNmFhZDIiLCJ1c2VySWQiOiIxNDgxOTY0ODc1In0=</vt:lpwstr>
  </property>
</Properties>
</file>