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2"/>
          <w:szCs w:val="22"/>
          <w:highlight w:val="none"/>
          <w:lang w:val="zh-CN" w:eastAsia="zh-CN" w:bidi="zh-CN"/>
        </w:rPr>
      </w:pPr>
      <w:bookmarkStart w:id="0" w:name="_GoBack"/>
      <w:bookmarkEnd w:id="0"/>
    </w:p>
    <w:p>
      <w:pPr>
        <w:pStyle w:val="5"/>
        <w:spacing w:before="67"/>
        <w:ind w:left="0" w:leftChars="0" w:right="1218" w:firstLine="0" w:firstLineChars="0"/>
        <w:jc w:val="center"/>
        <w:rPr>
          <w:rFonts w:hint="eastAsia" w:ascii="宋体" w:hAnsi="宋体" w:eastAsia="宋体" w:cs="宋体"/>
          <w:color w:val="auto"/>
          <w:highlight w:val="none"/>
        </w:rPr>
      </w:pPr>
      <w:r>
        <w:rPr>
          <w:rFonts w:hint="eastAsia" w:cs="宋体"/>
          <w:color w:val="auto"/>
          <w:highlight w:val="none"/>
          <w:lang w:val="en-US" w:eastAsia="zh-CN"/>
        </w:rPr>
        <w:t>附件2：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评审办法</w:t>
      </w:r>
    </w:p>
    <w:p>
      <w:pPr>
        <w:rPr>
          <w:rFonts w:hint="eastAsia"/>
        </w:rPr>
      </w:pPr>
    </w:p>
    <w:p>
      <w:pPr>
        <w:rPr>
          <w:rFonts w:hint="eastAsia"/>
        </w:rPr>
      </w:pPr>
    </w:p>
    <w:p>
      <w:pPr>
        <w:spacing w:before="4"/>
        <w:ind w:left="920" w:right="8413"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一、评审办法</w:t>
      </w:r>
    </w:p>
    <w:p>
      <w:pPr>
        <w:pStyle w:val="21"/>
        <w:numPr>
          <w:ilvl w:val="0"/>
          <w:numId w:val="1"/>
        </w:numPr>
        <w:tabs>
          <w:tab w:val="left" w:pos="1661"/>
        </w:tabs>
        <w:spacing w:before="161" w:after="0" w:line="362" w:lineRule="auto"/>
        <w:ind w:left="940" w:right="1240" w:firstLine="480"/>
        <w:jc w:val="both"/>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本次评审采用综合评分法。询比单位首先审查报价单位的资格性和符合性条件，通过资格性和符合性审查的报价单位的报价文件将进入下一环节的评分</w:t>
      </w:r>
      <w:r>
        <w:rPr>
          <w:rFonts w:hint="eastAsia" w:ascii="宋体" w:hAnsi="宋体" w:eastAsia="宋体" w:cs="宋体"/>
          <w:color w:val="auto"/>
          <w:sz w:val="24"/>
          <w:highlight w:val="none"/>
        </w:rPr>
        <w:t>（</w:t>
      </w:r>
      <w:r>
        <w:rPr>
          <w:rFonts w:hint="eastAsia" w:ascii="宋体" w:hAnsi="宋体" w:eastAsia="宋体" w:cs="宋体"/>
          <w:color w:val="auto"/>
          <w:spacing w:val="-9"/>
          <w:sz w:val="24"/>
          <w:highlight w:val="none"/>
        </w:rPr>
        <w:t>详见</w:t>
      </w:r>
      <w:r>
        <w:rPr>
          <w:rFonts w:hint="eastAsia" w:ascii="宋体" w:hAnsi="宋体" w:eastAsia="宋体" w:cs="宋体"/>
          <w:color w:val="auto"/>
          <w:sz w:val="24"/>
          <w:highlight w:val="none"/>
        </w:rPr>
        <w:t>附件一：资格性和符合性审查表）。</w:t>
      </w:r>
    </w:p>
    <w:p>
      <w:pPr>
        <w:pStyle w:val="21"/>
        <w:numPr>
          <w:ilvl w:val="0"/>
          <w:numId w:val="1"/>
        </w:numPr>
        <w:tabs>
          <w:tab w:val="left" w:pos="1661"/>
        </w:tabs>
        <w:spacing w:before="161" w:after="0" w:line="362" w:lineRule="auto"/>
        <w:ind w:left="940" w:right="1240" w:firstLine="480"/>
        <w:jc w:val="both"/>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询比单位对满足询比文件实质性要求的报价文件，按照询比文件规定的评分标准进行打分，评审过程中如发现存在不满足询比文件实质性要求的报价文件不予</w:t>
      </w:r>
      <w:r>
        <w:rPr>
          <w:rFonts w:hint="eastAsia" w:ascii="宋体" w:hAnsi="宋体" w:eastAsia="宋体" w:cs="宋体"/>
          <w:color w:val="auto"/>
          <w:sz w:val="24"/>
          <w:highlight w:val="none"/>
        </w:rPr>
        <w:t>评分。</w:t>
      </w:r>
    </w:p>
    <w:p>
      <w:pPr>
        <w:pStyle w:val="21"/>
        <w:numPr>
          <w:ilvl w:val="0"/>
          <w:numId w:val="1"/>
        </w:numPr>
        <w:tabs>
          <w:tab w:val="left" w:pos="1661"/>
        </w:tabs>
        <w:spacing w:before="161" w:after="0" w:line="362" w:lineRule="auto"/>
        <w:ind w:left="940" w:right="1240" w:firstLine="480"/>
        <w:jc w:val="both"/>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评分按照各报价人总得分从高到低排列先后次序。若两家或以上的报价人总得分相同时，则报价部分得分高的排前；若报价部分得分相同，则由询比单位抽签决定（详见附件</w:t>
      </w:r>
      <w:r>
        <w:rPr>
          <w:rFonts w:hint="eastAsia" w:ascii="宋体" w:hAnsi="宋体" w:eastAsia="宋体" w:cs="宋体"/>
          <w:color w:val="auto"/>
          <w:spacing w:val="-2"/>
          <w:sz w:val="24"/>
          <w:highlight w:val="none"/>
          <w:lang w:val="en-US" w:eastAsia="zh-CN"/>
        </w:rPr>
        <w:t>二</w:t>
      </w:r>
      <w:r>
        <w:rPr>
          <w:rFonts w:hint="eastAsia" w:ascii="宋体" w:hAnsi="宋体" w:eastAsia="宋体" w:cs="宋体"/>
          <w:color w:val="auto"/>
          <w:spacing w:val="-2"/>
          <w:sz w:val="24"/>
          <w:highlight w:val="none"/>
        </w:rPr>
        <w:t>：综合评分表）。</w:t>
      </w:r>
    </w:p>
    <w:p>
      <w:pPr>
        <w:pStyle w:val="21"/>
        <w:numPr>
          <w:ilvl w:val="0"/>
          <w:numId w:val="1"/>
        </w:numPr>
        <w:tabs>
          <w:tab w:val="left" w:pos="1661"/>
        </w:tabs>
        <w:spacing w:before="161" w:after="0" w:line="362" w:lineRule="auto"/>
        <w:ind w:left="940" w:right="1240" w:firstLine="480"/>
        <w:jc w:val="both"/>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若本项目满足资格性和符合性审查合格条件的各包号报价人不足</w:t>
      </w:r>
      <w:r>
        <w:rPr>
          <w:rFonts w:hint="eastAsia" w:ascii="宋体" w:hAnsi="宋体" w:eastAsia="宋体" w:cs="宋体"/>
          <w:color w:val="auto"/>
          <w:spacing w:val="-2"/>
          <w:sz w:val="24"/>
          <w:highlight w:val="none"/>
          <w:lang w:val="en-US" w:eastAsia="zh-CN"/>
        </w:rPr>
        <w:t>3</w:t>
      </w:r>
      <w:r>
        <w:rPr>
          <w:rFonts w:hint="eastAsia" w:ascii="宋体" w:hAnsi="宋体" w:eastAsia="宋体" w:cs="宋体"/>
          <w:color w:val="auto"/>
          <w:spacing w:val="-2"/>
          <w:sz w:val="24"/>
          <w:highlight w:val="none"/>
        </w:rPr>
        <w:t>家或经评审有效的报价人不足</w:t>
      </w:r>
      <w:r>
        <w:rPr>
          <w:rFonts w:hint="eastAsia" w:ascii="宋体" w:hAnsi="宋体" w:eastAsia="宋体" w:cs="宋体"/>
          <w:color w:val="auto"/>
          <w:spacing w:val="-2"/>
          <w:sz w:val="24"/>
          <w:highlight w:val="none"/>
          <w:lang w:val="en-US" w:eastAsia="zh-CN"/>
        </w:rPr>
        <w:t>3</w:t>
      </w:r>
      <w:r>
        <w:rPr>
          <w:rFonts w:hint="eastAsia" w:ascii="宋体" w:hAnsi="宋体" w:eastAsia="宋体" w:cs="宋体"/>
          <w:color w:val="auto"/>
          <w:spacing w:val="-2"/>
          <w:sz w:val="24"/>
          <w:highlight w:val="none"/>
        </w:rPr>
        <w:t>家，则本次询比失败，询比单位将视情况重新组织询比。</w:t>
      </w:r>
    </w:p>
    <w:p>
      <w:pPr>
        <w:pStyle w:val="21"/>
        <w:numPr>
          <w:ilvl w:val="0"/>
          <w:numId w:val="1"/>
        </w:numPr>
        <w:tabs>
          <w:tab w:val="left" w:pos="1661"/>
        </w:tabs>
        <w:spacing w:before="161" w:after="0" w:line="362" w:lineRule="auto"/>
        <w:ind w:left="940" w:right="1240" w:firstLine="480"/>
        <w:jc w:val="both"/>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zh-CN" w:eastAsia="zh-CN"/>
        </w:rPr>
        <w:t>评标委员会的组成由</w:t>
      </w:r>
      <w:r>
        <w:rPr>
          <w:rFonts w:hint="eastAsia" w:ascii="宋体" w:hAnsi="宋体" w:eastAsia="宋体" w:cs="宋体"/>
          <w:color w:val="auto"/>
          <w:spacing w:val="3"/>
          <w:sz w:val="24"/>
          <w:szCs w:val="22"/>
          <w:highlight w:val="none"/>
          <w:lang w:val="zh-CN" w:eastAsia="zh-CN" w:bidi="zh-CN"/>
        </w:rPr>
        <w:t>询比单位</w:t>
      </w:r>
      <w:r>
        <w:rPr>
          <w:rFonts w:hint="eastAsia" w:ascii="宋体" w:hAnsi="宋体" w:eastAsia="宋体" w:cs="宋体"/>
          <w:color w:val="auto"/>
          <w:spacing w:val="-2"/>
          <w:sz w:val="24"/>
          <w:highlight w:val="none"/>
          <w:lang w:val="zh-CN" w:eastAsia="zh-CN"/>
        </w:rPr>
        <w:t>或</w:t>
      </w:r>
      <w:r>
        <w:rPr>
          <w:rFonts w:hint="eastAsia" w:ascii="宋体" w:hAnsi="宋体" w:eastAsia="宋体" w:cs="宋体"/>
          <w:color w:val="auto"/>
          <w:spacing w:val="3"/>
          <w:sz w:val="24"/>
          <w:szCs w:val="22"/>
          <w:highlight w:val="none"/>
          <w:lang w:val="zh-CN" w:eastAsia="zh-CN" w:bidi="zh-CN"/>
        </w:rPr>
        <w:t>询比代理单位</w:t>
      </w:r>
      <w:r>
        <w:rPr>
          <w:rFonts w:hint="eastAsia" w:ascii="宋体" w:hAnsi="宋体" w:eastAsia="宋体" w:cs="宋体"/>
          <w:color w:val="auto"/>
          <w:spacing w:val="-2"/>
          <w:sz w:val="24"/>
          <w:highlight w:val="none"/>
          <w:lang w:val="zh-CN" w:eastAsia="zh-CN"/>
        </w:rPr>
        <w:t>依照政府采购法律、法规、规章、政策的规定，组建的评标委员会负责。评标委员会成员由技术、经济等方面的评审专家组成，专家人数及专业构成按政府采购规定确定。评标委员会成员依法抽取</w:t>
      </w:r>
      <w:r>
        <w:rPr>
          <w:rFonts w:hint="eastAsia" w:ascii="宋体" w:hAnsi="宋体" w:eastAsia="宋体" w:cs="宋体"/>
          <w:color w:val="auto"/>
          <w:spacing w:val="-2"/>
          <w:sz w:val="24"/>
          <w:highlight w:val="none"/>
          <w:lang w:val="en-US" w:eastAsia="zh-CN"/>
        </w:rPr>
        <w:t>3人</w:t>
      </w:r>
      <w:r>
        <w:rPr>
          <w:rFonts w:hint="eastAsia" w:ascii="宋体" w:hAnsi="宋体" w:eastAsia="宋体" w:cs="宋体"/>
          <w:color w:val="auto"/>
          <w:spacing w:val="-2"/>
          <w:sz w:val="24"/>
          <w:highlight w:val="none"/>
          <w:lang w:val="zh-CN" w:eastAsia="zh-CN"/>
        </w:rPr>
        <w:t>。</w:t>
      </w:r>
    </w:p>
    <w:p>
      <w:pPr>
        <w:pStyle w:val="21"/>
        <w:keepNext w:val="0"/>
        <w:keepLines w:val="0"/>
        <w:pageBreakBefore w:val="0"/>
        <w:widowControl w:val="0"/>
        <w:numPr>
          <w:ilvl w:val="0"/>
          <w:numId w:val="1"/>
        </w:numPr>
        <w:tabs>
          <w:tab w:val="left" w:pos="1661"/>
        </w:tabs>
        <w:kinsoku/>
        <w:wordWrap/>
        <w:overflowPunct/>
        <w:topLinePunct w:val="0"/>
        <w:autoSpaceDE w:val="0"/>
        <w:autoSpaceDN w:val="0"/>
        <w:bidi w:val="0"/>
        <w:adjustRightInd/>
        <w:snapToGrid w:val="0"/>
        <w:spacing w:before="0" w:after="0" w:line="363" w:lineRule="auto"/>
        <w:ind w:left="940" w:right="1242" w:firstLine="48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本项目由中选人支付招标代理服务费。招标代理服务费按如下标准和规定交纳：</w:t>
      </w:r>
    </w:p>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（1）招标代理服务费以本项目采购预算金额作为计算基数，按以下《招标代理服务费收费标准》规定的“货物类”差额累进收费标准计算。</w:t>
      </w:r>
    </w:p>
    <w:p>
      <w:pPr>
        <w:tabs>
          <w:tab w:val="left" w:pos="709"/>
        </w:tabs>
        <w:spacing w:before="72" w:beforeAutospacing="0" w:after="72" w:afterAutospacing="0" w:line="360" w:lineRule="auto"/>
        <w:ind w:left="629"/>
        <w:jc w:val="center"/>
        <w:rPr>
          <w:rFonts w:hint="eastAsia" w:ascii="宋体" w:hAnsi="宋体" w:eastAsia="宋体" w:cs="宋体"/>
          <w:b/>
          <w:bCs/>
          <w:color w:val="auto"/>
          <w:kern w:val="0"/>
          <w:sz w:val="26"/>
          <w:szCs w:val="26"/>
          <w:highlight w:val="none"/>
        </w:rPr>
      </w:pPr>
      <w:r>
        <w:rPr>
          <w:rFonts w:hint="eastAsia" w:ascii="宋体" w:hAnsi="宋体" w:eastAsia="宋体" w:cs="宋体"/>
          <w:b/>
          <w:bCs/>
          <w:color w:val="auto"/>
          <w:kern w:val="0"/>
          <w:sz w:val="26"/>
          <w:szCs w:val="26"/>
          <w:highlight w:val="none"/>
        </w:rPr>
        <w:t>招标代理服务费收费标准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6"/>
        <w:gridCol w:w="1247"/>
        <w:gridCol w:w="1576"/>
        <w:gridCol w:w="15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restart"/>
            <w:shd w:val="clear" w:color="auto" w:fill="D7D7D7"/>
            <w:noWrap w:val="0"/>
            <w:vAlign w:val="center"/>
          </w:tcPr>
          <w:p>
            <w:pPr>
              <w:widowControl/>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674370</wp:posOffset>
                      </wp:positionH>
                      <wp:positionV relativeFrom="paragraph">
                        <wp:posOffset>-635</wp:posOffset>
                      </wp:positionV>
                      <wp:extent cx="1809750" cy="876300"/>
                      <wp:effectExtent l="1905" t="4445" r="17145" b="14605"/>
                      <wp:wrapNone/>
                      <wp:docPr id="5" name="直接箭头连接符 5"/>
                      <wp:cNvGraphicFramePr/>
                      <a:graphic xmlns:a="http://schemas.openxmlformats.org/drawingml/2006/main">
                        <a:graphicData uri="http://schemas.microsoft.com/office/word/2010/wordprocessingShape">
                          <wps:wsp>
                            <wps:cNvCnPr/>
                            <wps:spPr>
                              <a:xfrm flipH="1" flipV="1">
                                <a:off x="0" y="0"/>
                                <a:ext cx="1809750" cy="8763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3.1pt;margin-top:-0.05pt;height:69pt;width:142.5pt;z-index:251659264;mso-width-relative:page;mso-height-relative:page;" filled="f" stroked="t" coordsize="21600,21600" o:gfxdata="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1x4n3YAAAACQEAAA8AAAAA&#10;AAAAAQAgAAAAIgAAAGRycy9kb3ducmV2LnhtbFBLAQIUABQAAAAIAIdO4kAizZ4KFAIAABMEAAAO&#10;AAAAAAAAAAEAIAAAACcBAABkcnMvZTJvRG9jLnhtbFBLBQYAAAAABgAGAFkBAACtBQAAAAA=&#10;">
                      <v:fill on="f" focussize="0,0"/>
                      <v:stroke color="#000000" joinstyle="round"/>
                      <v:imagedata o:title=""/>
                      <o:lock v:ext="edit" aspectratio="f"/>
                    </v:shape>
                  </w:pict>
                </mc:Fallback>
              </mc:AlternateContent>
            </w:r>
            <w:r>
              <w:rPr>
                <w:rFonts w:hint="eastAsia" w:ascii="宋体" w:hAnsi="宋体" w:eastAsia="宋体" w:cs="宋体"/>
                <w:b/>
                <w:bCs/>
                <w:color w:val="auto"/>
                <w:kern w:val="0"/>
                <w:sz w:val="24"/>
                <w:highlight w:val="none"/>
              </w:rPr>
              <w:t xml:space="preserve">                       服务类型</w:t>
            </w:r>
          </w:p>
          <w:p>
            <w:pPr>
              <w:widowControl/>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112395</wp:posOffset>
                      </wp:positionV>
                      <wp:extent cx="2562225" cy="570865"/>
                      <wp:effectExtent l="1270" t="4445" r="8255" b="15240"/>
                      <wp:wrapNone/>
                      <wp:docPr id="6" name="直接箭头连接符 6"/>
                      <wp:cNvGraphicFramePr/>
                      <a:graphic xmlns:a="http://schemas.openxmlformats.org/drawingml/2006/main">
                        <a:graphicData uri="http://schemas.microsoft.com/office/word/2010/wordprocessingShape">
                          <wps:wsp>
                            <wps:cNvCnPr/>
                            <wps:spPr>
                              <a:xfrm flipH="1" flipV="1">
                                <a:off x="0" y="0"/>
                                <a:ext cx="256222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9pt;margin-top:8.85pt;height:44.95pt;width:201.75pt;z-index:251660288;mso-width-relative:page;mso-height-relative:page;" filled="f" stroked="t" coordsize="21600,21600" o:gfxdata="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b1QO2QAAAAoBAAAPAAAAAAAA&#10;AAEAIAAAACIAAABkcnMvZG93bnJldi54bWxQSwECFAAUAAAACACHTuJAJVTKQBECAAATBAAADgAA&#10;AAAAAAABACAAAAAoAQAAZHJzL2Uyb0RvYy54bWxQSwUGAAAAAAYABgBZAQAAqwUAAAAA&#10;">
                      <v:fill on="f" focussize="0,0"/>
                      <v:stroke color="#000000" joinstyle="round"/>
                      <v:imagedata o:title=""/>
                      <o:lock v:ext="edit" aspectratio="f"/>
                    </v:shape>
                  </w:pict>
                </mc:Fallback>
              </mc:AlternateContent>
            </w:r>
            <w:r>
              <w:rPr>
                <w:rFonts w:hint="eastAsia" w:ascii="宋体" w:hAnsi="宋体" w:eastAsia="宋体" w:cs="宋体"/>
                <w:b/>
                <w:bCs/>
                <w:color w:val="auto"/>
                <w:kern w:val="0"/>
                <w:sz w:val="24"/>
                <w:highlight w:val="none"/>
              </w:rPr>
              <w:t xml:space="preserve">        费率</w:t>
            </w:r>
          </w:p>
          <w:p>
            <w:pPr>
              <w:widowControl/>
              <w:jc w:val="left"/>
              <w:rPr>
                <w:rFonts w:hint="eastAsia" w:ascii="宋体" w:hAnsi="宋体" w:eastAsia="宋体" w:cs="宋体"/>
                <w:b/>
                <w:bCs/>
                <w:color w:val="auto"/>
                <w:kern w:val="0"/>
                <w:sz w:val="24"/>
                <w:highlight w:val="none"/>
              </w:rPr>
            </w:pPr>
          </w:p>
          <w:p>
            <w:pPr>
              <w:widowControl/>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金额</w:t>
            </w:r>
          </w:p>
        </w:tc>
        <w:tc>
          <w:tcPr>
            <w:tcW w:w="1247" w:type="dxa"/>
            <w:vMerge w:val="restart"/>
            <w:shd w:val="clear" w:color="auto" w:fill="D7D7D7"/>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货物招标</w:t>
            </w:r>
          </w:p>
        </w:tc>
        <w:tc>
          <w:tcPr>
            <w:tcW w:w="1576" w:type="dxa"/>
            <w:vMerge w:val="restart"/>
            <w:shd w:val="clear" w:color="auto" w:fill="D7D7D7"/>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服务招标</w:t>
            </w:r>
          </w:p>
        </w:tc>
        <w:tc>
          <w:tcPr>
            <w:tcW w:w="1536" w:type="dxa"/>
            <w:vMerge w:val="restart"/>
            <w:shd w:val="clear" w:color="auto" w:fill="D7D7D7"/>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247"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57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53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247"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57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c>
          <w:tcPr>
            <w:tcW w:w="1536" w:type="dxa"/>
            <w:vMerge w:val="continue"/>
            <w:shd w:val="clear" w:color="auto" w:fill="D7D7D7"/>
            <w:noWrap w:val="0"/>
            <w:vAlign w:val="center"/>
          </w:tcPr>
          <w:p>
            <w:pPr>
              <w:widowControl/>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100万元以下</w:t>
            </w:r>
          </w:p>
        </w:tc>
        <w:tc>
          <w:tcPr>
            <w:tcW w:w="1247"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57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53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100-500万元</w:t>
            </w:r>
          </w:p>
        </w:tc>
        <w:tc>
          <w:tcPr>
            <w:tcW w:w="1247"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57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0.8%</w:t>
            </w:r>
          </w:p>
        </w:tc>
        <w:tc>
          <w:tcPr>
            <w:tcW w:w="153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500-1000万元</w:t>
            </w:r>
          </w:p>
        </w:tc>
        <w:tc>
          <w:tcPr>
            <w:tcW w:w="1247"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0.8%</w:t>
            </w:r>
          </w:p>
        </w:tc>
        <w:tc>
          <w:tcPr>
            <w:tcW w:w="157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0.45%</w:t>
            </w:r>
          </w:p>
        </w:tc>
        <w:tc>
          <w:tcPr>
            <w:tcW w:w="153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1000-5000万元</w:t>
            </w:r>
          </w:p>
        </w:tc>
        <w:tc>
          <w:tcPr>
            <w:tcW w:w="1247"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0.5%</w:t>
            </w:r>
          </w:p>
        </w:tc>
        <w:tc>
          <w:tcPr>
            <w:tcW w:w="157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0.25%</w:t>
            </w:r>
          </w:p>
        </w:tc>
        <w:tc>
          <w:tcPr>
            <w:tcW w:w="1536" w:type="dxa"/>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0.35%</w:t>
            </w:r>
          </w:p>
        </w:tc>
      </w:tr>
    </w:tbl>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（2）招标代理服务费的交纳形式：采用现金或转账付款方式。</w:t>
      </w:r>
    </w:p>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（3）招标代理服务费付至：</w:t>
      </w:r>
    </w:p>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收款人名称：广东鼎信招标采购有限公司</w:t>
      </w:r>
    </w:p>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开户银行：中国建设银行股份有限公司广州石牌支行</w:t>
      </w:r>
    </w:p>
    <w:p>
      <w:pPr>
        <w:pStyle w:val="21"/>
        <w:keepNext w:val="0"/>
        <w:keepLines w:val="0"/>
        <w:pageBreakBefore w:val="0"/>
        <w:widowControl w:val="0"/>
        <w:numPr>
          <w:ilvl w:val="0"/>
          <w:numId w:val="0"/>
        </w:numPr>
        <w:tabs>
          <w:tab w:val="left" w:pos="1661"/>
        </w:tabs>
        <w:kinsoku/>
        <w:wordWrap/>
        <w:overflowPunct/>
        <w:topLinePunct w:val="0"/>
        <w:autoSpaceDE w:val="0"/>
        <w:autoSpaceDN w:val="0"/>
        <w:bidi w:val="0"/>
        <w:adjustRightInd/>
        <w:snapToGrid w:val="0"/>
        <w:spacing w:before="0" w:after="0" w:line="363" w:lineRule="auto"/>
        <w:ind w:left="895" w:leftChars="407" w:right="1242" w:rightChars="0" w:firstLine="643" w:firstLineChars="0"/>
        <w:jc w:val="both"/>
        <w:textAlignment w:val="auto"/>
        <w:rPr>
          <w:rFonts w:hint="eastAsia" w:ascii="宋体" w:hAnsi="宋体" w:eastAsia="宋体" w:cs="宋体"/>
          <w:color w:val="auto"/>
          <w:highlight w:val="none"/>
          <w:lang w:val="en-US" w:eastAsia="zh-CN"/>
        </w:rPr>
        <w:sectPr>
          <w:footerReference r:id="rId5" w:type="default"/>
          <w:pgSz w:w="12240" w:h="15840"/>
          <w:pgMar w:top="1400" w:right="560" w:bottom="280" w:left="860" w:header="720" w:footer="720" w:gutter="0"/>
          <w:pgNumType w:fmt="decimal"/>
          <w:cols w:space="720" w:num="1"/>
        </w:sectPr>
      </w:pPr>
      <w:r>
        <w:rPr>
          <w:rFonts w:hint="eastAsia" w:ascii="宋体" w:hAnsi="宋体" w:eastAsia="宋体" w:cs="宋体"/>
          <w:color w:val="auto"/>
          <w:spacing w:val="-2"/>
          <w:sz w:val="24"/>
          <w:highlight w:val="none"/>
          <w:lang w:val="en-US" w:eastAsia="zh-CN"/>
        </w:rPr>
        <w:t>账    号：44050158050200000686</w:t>
      </w:r>
    </w:p>
    <w:p>
      <w:pPr>
        <w:rPr>
          <w:rFonts w:hint="eastAsia" w:ascii="宋体" w:hAnsi="宋体" w:eastAsia="宋体" w:cs="宋体"/>
          <w:color w:val="auto"/>
          <w:highlight w:val="none"/>
        </w:rPr>
      </w:pPr>
    </w:p>
    <w:sectPr>
      <w:pgSz w:w="11910" w:h="16840"/>
      <w:pgMar w:top="1580" w:right="1220" w:bottom="280" w:left="14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pPr>
        <w:ind w:left="940"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928" w:hanging="241"/>
      </w:pPr>
      <w:rPr>
        <w:rFonts w:hint="default"/>
        <w:lang w:val="zh-CN" w:eastAsia="zh-CN" w:bidi="zh-CN"/>
      </w:rPr>
    </w:lvl>
    <w:lvl w:ilvl="2" w:tentative="0">
      <w:start w:val="0"/>
      <w:numFmt w:val="bullet"/>
      <w:lvlText w:val="•"/>
      <w:lvlJc w:val="left"/>
      <w:pPr>
        <w:ind w:left="2916" w:hanging="241"/>
      </w:pPr>
      <w:rPr>
        <w:rFonts w:hint="default"/>
        <w:lang w:val="zh-CN" w:eastAsia="zh-CN" w:bidi="zh-CN"/>
      </w:rPr>
    </w:lvl>
    <w:lvl w:ilvl="3" w:tentative="0">
      <w:start w:val="0"/>
      <w:numFmt w:val="bullet"/>
      <w:lvlText w:val="•"/>
      <w:lvlJc w:val="left"/>
      <w:pPr>
        <w:ind w:left="3904" w:hanging="241"/>
      </w:pPr>
      <w:rPr>
        <w:rFonts w:hint="default"/>
        <w:lang w:val="zh-CN" w:eastAsia="zh-CN" w:bidi="zh-CN"/>
      </w:rPr>
    </w:lvl>
    <w:lvl w:ilvl="4" w:tentative="0">
      <w:start w:val="0"/>
      <w:numFmt w:val="bullet"/>
      <w:lvlText w:val="•"/>
      <w:lvlJc w:val="left"/>
      <w:pPr>
        <w:ind w:left="4892" w:hanging="241"/>
      </w:pPr>
      <w:rPr>
        <w:rFonts w:hint="default"/>
        <w:lang w:val="zh-CN" w:eastAsia="zh-CN" w:bidi="zh-CN"/>
      </w:rPr>
    </w:lvl>
    <w:lvl w:ilvl="5" w:tentative="0">
      <w:start w:val="0"/>
      <w:numFmt w:val="bullet"/>
      <w:lvlText w:val="•"/>
      <w:lvlJc w:val="left"/>
      <w:pPr>
        <w:ind w:left="5880" w:hanging="241"/>
      </w:pPr>
      <w:rPr>
        <w:rFonts w:hint="default"/>
        <w:lang w:val="zh-CN" w:eastAsia="zh-CN" w:bidi="zh-CN"/>
      </w:rPr>
    </w:lvl>
    <w:lvl w:ilvl="6" w:tentative="0">
      <w:start w:val="0"/>
      <w:numFmt w:val="bullet"/>
      <w:lvlText w:val="•"/>
      <w:lvlJc w:val="left"/>
      <w:pPr>
        <w:ind w:left="6868" w:hanging="241"/>
      </w:pPr>
      <w:rPr>
        <w:rFonts w:hint="default"/>
        <w:lang w:val="zh-CN" w:eastAsia="zh-CN" w:bidi="zh-CN"/>
      </w:rPr>
    </w:lvl>
    <w:lvl w:ilvl="7" w:tentative="0">
      <w:start w:val="0"/>
      <w:numFmt w:val="bullet"/>
      <w:lvlText w:val="•"/>
      <w:lvlJc w:val="left"/>
      <w:pPr>
        <w:ind w:left="7856" w:hanging="241"/>
      </w:pPr>
      <w:rPr>
        <w:rFonts w:hint="default"/>
        <w:lang w:val="zh-CN" w:eastAsia="zh-CN" w:bidi="zh-CN"/>
      </w:rPr>
    </w:lvl>
    <w:lvl w:ilvl="8" w:tentative="0">
      <w:start w:val="0"/>
      <w:numFmt w:val="bullet"/>
      <w:lvlText w:val="•"/>
      <w:lvlJc w:val="left"/>
      <w:pPr>
        <w:ind w:left="8844"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FlYWVjZjg0NTVkMjQ1NWZmY2VhYWRlZDQ5NWIifQ=="/>
  </w:docVars>
  <w:rsids>
    <w:rsidRoot w:val="00000000"/>
    <w:rsid w:val="00247D20"/>
    <w:rsid w:val="003F20C8"/>
    <w:rsid w:val="00B006AC"/>
    <w:rsid w:val="00FE7B18"/>
    <w:rsid w:val="013B1372"/>
    <w:rsid w:val="01466994"/>
    <w:rsid w:val="019710C2"/>
    <w:rsid w:val="024B6554"/>
    <w:rsid w:val="02AE374F"/>
    <w:rsid w:val="0306685F"/>
    <w:rsid w:val="034C28E2"/>
    <w:rsid w:val="040901C5"/>
    <w:rsid w:val="04287DD0"/>
    <w:rsid w:val="04346662"/>
    <w:rsid w:val="046A6E3B"/>
    <w:rsid w:val="04A7196A"/>
    <w:rsid w:val="04D351E9"/>
    <w:rsid w:val="04E24636"/>
    <w:rsid w:val="05062204"/>
    <w:rsid w:val="053F716F"/>
    <w:rsid w:val="05667A7A"/>
    <w:rsid w:val="05F26BBC"/>
    <w:rsid w:val="06081C53"/>
    <w:rsid w:val="0616269F"/>
    <w:rsid w:val="06965CA6"/>
    <w:rsid w:val="06D80D53"/>
    <w:rsid w:val="06E467F4"/>
    <w:rsid w:val="08095981"/>
    <w:rsid w:val="092C3269"/>
    <w:rsid w:val="09FE06EF"/>
    <w:rsid w:val="0ABA1A45"/>
    <w:rsid w:val="0B270B75"/>
    <w:rsid w:val="0BAE21B6"/>
    <w:rsid w:val="0BF639FA"/>
    <w:rsid w:val="0C932DC4"/>
    <w:rsid w:val="0D157EEA"/>
    <w:rsid w:val="0D30226E"/>
    <w:rsid w:val="0DDE5B69"/>
    <w:rsid w:val="0DFE4222"/>
    <w:rsid w:val="0EA46D0E"/>
    <w:rsid w:val="0FBF75D2"/>
    <w:rsid w:val="104C3A09"/>
    <w:rsid w:val="107C42FA"/>
    <w:rsid w:val="109D5F29"/>
    <w:rsid w:val="111D76F9"/>
    <w:rsid w:val="125E1F79"/>
    <w:rsid w:val="13DD7AB0"/>
    <w:rsid w:val="13FC76A0"/>
    <w:rsid w:val="154C5452"/>
    <w:rsid w:val="15BB5FC6"/>
    <w:rsid w:val="15D42723"/>
    <w:rsid w:val="161D0227"/>
    <w:rsid w:val="165B2ABE"/>
    <w:rsid w:val="16CB0CE7"/>
    <w:rsid w:val="175E077B"/>
    <w:rsid w:val="17853F8D"/>
    <w:rsid w:val="17897522"/>
    <w:rsid w:val="17B56468"/>
    <w:rsid w:val="18062DF3"/>
    <w:rsid w:val="184E18A1"/>
    <w:rsid w:val="18F17E81"/>
    <w:rsid w:val="19B11B52"/>
    <w:rsid w:val="1A9E7E47"/>
    <w:rsid w:val="1C3157B6"/>
    <w:rsid w:val="1D507571"/>
    <w:rsid w:val="1DA52E2D"/>
    <w:rsid w:val="1E8721DB"/>
    <w:rsid w:val="1F2760B0"/>
    <w:rsid w:val="1FF11952"/>
    <w:rsid w:val="20080084"/>
    <w:rsid w:val="200F677F"/>
    <w:rsid w:val="21EB7868"/>
    <w:rsid w:val="238C6112"/>
    <w:rsid w:val="24D67FF9"/>
    <w:rsid w:val="25AD710F"/>
    <w:rsid w:val="26677A76"/>
    <w:rsid w:val="26C3146C"/>
    <w:rsid w:val="27623821"/>
    <w:rsid w:val="27B464A7"/>
    <w:rsid w:val="27DF15AC"/>
    <w:rsid w:val="27E26C33"/>
    <w:rsid w:val="28073008"/>
    <w:rsid w:val="29064FC2"/>
    <w:rsid w:val="29735E00"/>
    <w:rsid w:val="2A705E3D"/>
    <w:rsid w:val="2AFF5F75"/>
    <w:rsid w:val="2B184464"/>
    <w:rsid w:val="2B9C7618"/>
    <w:rsid w:val="2C021CB6"/>
    <w:rsid w:val="2D171148"/>
    <w:rsid w:val="2D920836"/>
    <w:rsid w:val="2DD1025A"/>
    <w:rsid w:val="2F2378FC"/>
    <w:rsid w:val="2F511653"/>
    <w:rsid w:val="2F776CB1"/>
    <w:rsid w:val="30377CEA"/>
    <w:rsid w:val="30914294"/>
    <w:rsid w:val="30D21EA7"/>
    <w:rsid w:val="33D64231"/>
    <w:rsid w:val="3433303F"/>
    <w:rsid w:val="345D63A4"/>
    <w:rsid w:val="35170C89"/>
    <w:rsid w:val="35607A8B"/>
    <w:rsid w:val="3622104E"/>
    <w:rsid w:val="36C44A39"/>
    <w:rsid w:val="36C7044C"/>
    <w:rsid w:val="36D1699A"/>
    <w:rsid w:val="37B33D5B"/>
    <w:rsid w:val="39930ABA"/>
    <w:rsid w:val="39DD7972"/>
    <w:rsid w:val="3C5A6E1F"/>
    <w:rsid w:val="3C9B3F0D"/>
    <w:rsid w:val="3CB843CC"/>
    <w:rsid w:val="3D390148"/>
    <w:rsid w:val="3F271CC2"/>
    <w:rsid w:val="3F3E6432"/>
    <w:rsid w:val="3F985F5F"/>
    <w:rsid w:val="40154198"/>
    <w:rsid w:val="402571E9"/>
    <w:rsid w:val="407F0EB7"/>
    <w:rsid w:val="40C81049"/>
    <w:rsid w:val="42101B6E"/>
    <w:rsid w:val="426532C0"/>
    <w:rsid w:val="42DF2C5E"/>
    <w:rsid w:val="43704997"/>
    <w:rsid w:val="43F43D44"/>
    <w:rsid w:val="44174D1F"/>
    <w:rsid w:val="44614744"/>
    <w:rsid w:val="4505518E"/>
    <w:rsid w:val="45787973"/>
    <w:rsid w:val="4592396B"/>
    <w:rsid w:val="45C2032F"/>
    <w:rsid w:val="465630AA"/>
    <w:rsid w:val="46CC73B9"/>
    <w:rsid w:val="46D43012"/>
    <w:rsid w:val="4708434F"/>
    <w:rsid w:val="47C77212"/>
    <w:rsid w:val="487234F4"/>
    <w:rsid w:val="48DE57B6"/>
    <w:rsid w:val="495A5150"/>
    <w:rsid w:val="4A8C51EA"/>
    <w:rsid w:val="4AC126E3"/>
    <w:rsid w:val="4B0735C9"/>
    <w:rsid w:val="4B2E5D06"/>
    <w:rsid w:val="4B9F6E4A"/>
    <w:rsid w:val="4D0F77EC"/>
    <w:rsid w:val="4D3E535C"/>
    <w:rsid w:val="4E946F82"/>
    <w:rsid w:val="5216405E"/>
    <w:rsid w:val="5240651C"/>
    <w:rsid w:val="52931B90"/>
    <w:rsid w:val="530055E7"/>
    <w:rsid w:val="53971483"/>
    <w:rsid w:val="53F24A7F"/>
    <w:rsid w:val="54065CB8"/>
    <w:rsid w:val="54901DD0"/>
    <w:rsid w:val="54FE2E33"/>
    <w:rsid w:val="553F0AF1"/>
    <w:rsid w:val="56BC27BD"/>
    <w:rsid w:val="572B1EDA"/>
    <w:rsid w:val="58495894"/>
    <w:rsid w:val="584F1EB7"/>
    <w:rsid w:val="58AF1ED7"/>
    <w:rsid w:val="58BF28DA"/>
    <w:rsid w:val="5A092A00"/>
    <w:rsid w:val="5A10019E"/>
    <w:rsid w:val="5AF0557E"/>
    <w:rsid w:val="5BBE2039"/>
    <w:rsid w:val="5C55184A"/>
    <w:rsid w:val="5CEA406B"/>
    <w:rsid w:val="5E526DBA"/>
    <w:rsid w:val="5F0029C0"/>
    <w:rsid w:val="5F7E120A"/>
    <w:rsid w:val="5FA52090"/>
    <w:rsid w:val="6061401E"/>
    <w:rsid w:val="611A204A"/>
    <w:rsid w:val="62AE39CA"/>
    <w:rsid w:val="62B841A4"/>
    <w:rsid w:val="637C7048"/>
    <w:rsid w:val="63A91064"/>
    <w:rsid w:val="63BF4B8F"/>
    <w:rsid w:val="667D6465"/>
    <w:rsid w:val="66C46B4F"/>
    <w:rsid w:val="66EC7A82"/>
    <w:rsid w:val="67543302"/>
    <w:rsid w:val="68C652EC"/>
    <w:rsid w:val="693266DD"/>
    <w:rsid w:val="6A3106EB"/>
    <w:rsid w:val="6A705326"/>
    <w:rsid w:val="6AF97F4F"/>
    <w:rsid w:val="6C415C5B"/>
    <w:rsid w:val="6D262A5B"/>
    <w:rsid w:val="6D2E6C31"/>
    <w:rsid w:val="6DDF3332"/>
    <w:rsid w:val="6E496D4B"/>
    <w:rsid w:val="6EA34A17"/>
    <w:rsid w:val="6EB71F5E"/>
    <w:rsid w:val="6F490CF7"/>
    <w:rsid w:val="6FEC0DC6"/>
    <w:rsid w:val="70D72A5F"/>
    <w:rsid w:val="71184E25"/>
    <w:rsid w:val="72670308"/>
    <w:rsid w:val="74F55E56"/>
    <w:rsid w:val="75A0508F"/>
    <w:rsid w:val="771A09AC"/>
    <w:rsid w:val="778523F8"/>
    <w:rsid w:val="77F610C4"/>
    <w:rsid w:val="798959D8"/>
    <w:rsid w:val="7A0B50BC"/>
    <w:rsid w:val="7AD63D87"/>
    <w:rsid w:val="7E383293"/>
    <w:rsid w:val="7E5F7042"/>
    <w:rsid w:val="7F9A1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92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32"/>
      <w:ind w:left="108"/>
      <w:outlineLvl w:val="2"/>
    </w:pPr>
    <w:rPr>
      <w:rFonts w:ascii="宋体" w:hAnsi="宋体" w:eastAsia="宋体" w:cs="宋体"/>
      <w:sz w:val="28"/>
      <w:szCs w:val="28"/>
      <w:lang w:val="zh-CN" w:eastAsia="zh-CN" w:bidi="zh-CN"/>
    </w:rPr>
  </w:style>
  <w:style w:type="paragraph" w:styleId="5">
    <w:name w:val="heading 3"/>
    <w:basedOn w:val="1"/>
    <w:next w:val="1"/>
    <w:autoRedefine/>
    <w:qFormat/>
    <w:uiPriority w:val="1"/>
    <w:pPr>
      <w:ind w:left="920"/>
      <w:outlineLvl w:val="3"/>
    </w:pPr>
    <w:rPr>
      <w:rFonts w:ascii="宋体" w:hAnsi="宋体" w:eastAsia="宋体" w:cs="宋体"/>
      <w:b/>
      <w:bCs/>
      <w:sz w:val="24"/>
      <w:szCs w:val="24"/>
      <w:lang w:val="zh-CN" w:eastAsia="zh-CN" w:bidi="zh-CN"/>
    </w:rPr>
  </w:style>
  <w:style w:type="character" w:default="1" w:styleId="16">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4"/>
      <w:szCs w:val="24"/>
      <w:lang w:val="zh-CN" w:eastAsia="zh-CN" w:bidi="zh-CN"/>
    </w:rPr>
  </w:style>
  <w:style w:type="paragraph" w:styleId="9">
    <w:name w:val="Block Text"/>
    <w:basedOn w:val="1"/>
    <w:autoRedefine/>
    <w:unhideWhenUsed/>
    <w:qFormat/>
    <w:uiPriority w:val="99"/>
    <w:pPr>
      <w:spacing w:after="120"/>
      <w:ind w:left="1440" w:leftChars="700" w:right="1440" w:rightChars="7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autoRedefine/>
    <w:qFormat/>
    <w:uiPriority w:val="0"/>
    <w:pPr>
      <w:spacing w:line="360" w:lineRule="auto"/>
      <w:ind w:firstLine="200" w:firstLineChars="200"/>
    </w:pPr>
    <w:rPr>
      <w:rFonts w:ascii="Times New Roman" w:hAnsi="Times New Roman" w:cs="Times New Roman"/>
      <w:kern w:val="0"/>
      <w:sz w:val="20"/>
      <w:szCs w:val="20"/>
    </w:rPr>
  </w:style>
  <w:style w:type="paragraph" w:styleId="13">
    <w:name w:val="Body Text First Indent"/>
    <w:basedOn w:val="8"/>
    <w:next w:val="1"/>
    <w:autoRedefine/>
    <w:qFormat/>
    <w:uiPriority w:val="0"/>
    <w:pPr>
      <w:tabs>
        <w:tab w:val="left" w:pos="864"/>
      </w:tabs>
      <w:ind w:firstLine="420" w:firstLineChars="100"/>
    </w:pPr>
    <w:rPr>
      <w:kern w:val="0"/>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目录 41"/>
    <w:basedOn w:val="1"/>
    <w:next w:val="1"/>
    <w:autoRedefine/>
    <w:qFormat/>
    <w:uiPriority w:val="0"/>
    <w:pPr>
      <w:spacing w:before="100" w:beforeAutospacing="1" w:after="100" w:afterAutospacing="1"/>
      <w:ind w:left="630"/>
    </w:pPr>
    <w:rPr>
      <w:sz w:val="18"/>
      <w:szCs w:val="18"/>
    </w:rPr>
  </w:style>
  <w:style w:type="paragraph" w:customStyle="1" w:styleId="18">
    <w:name w:val="正文正"/>
    <w:basedOn w:val="1"/>
    <w:autoRedefine/>
    <w:qFormat/>
    <w:uiPriority w:val="0"/>
    <w:pPr>
      <w:spacing w:line="560" w:lineRule="exact"/>
      <w:ind w:firstLine="561"/>
    </w:pPr>
    <w:rPr>
      <w:rFonts w:eastAsia="仿宋_GB2312"/>
      <w:sz w:val="28"/>
      <w:szCs w:val="24"/>
    </w:rPr>
  </w:style>
  <w:style w:type="paragraph" w:customStyle="1" w:styleId="19">
    <w:name w:val="_Style 3"/>
    <w:next w:val="12"/>
    <w:autoRedefine/>
    <w:qFormat/>
    <w:uiPriority w:val="99"/>
    <w:pPr>
      <w:widowControl w:val="0"/>
      <w:jc w:val="both"/>
    </w:pPr>
    <w:rPr>
      <w:rFonts w:ascii="Calibri" w:hAnsi="Calibri" w:eastAsia="宋体" w:cs="Calibri"/>
      <w:kern w:val="2"/>
      <w:sz w:val="21"/>
      <w:szCs w:val="21"/>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ind w:left="940"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5">
    <w:name w:val="No Spacing"/>
    <w:basedOn w:val="1"/>
    <w:autoRedefine/>
    <w:qFormat/>
    <w:uiPriority w:val="1"/>
    <w:pPr>
      <w:widowControl w:val="0"/>
      <w:jc w:val="both"/>
    </w:pPr>
    <w:rPr>
      <w:rFonts w:ascii="Calibri" w:hAnsi="Calibri"/>
      <w:kern w:val="2"/>
      <w:sz w:val="21"/>
      <w:szCs w:val="22"/>
      <w:lang w:val="en-US" w:eastAsia="zh-CN" w:bidi="ar-SA"/>
    </w:rPr>
  </w:style>
  <w:style w:type="character" w:customStyle="1" w:styleId="26">
    <w:name w:val="font41"/>
    <w:basedOn w:val="16"/>
    <w:autoRedefine/>
    <w:qFormat/>
    <w:uiPriority w:val="0"/>
    <w:rPr>
      <w:rFonts w:hint="eastAsia" w:ascii="宋体" w:hAnsi="宋体" w:eastAsia="宋体" w:cs="宋体"/>
      <w:color w:val="000000"/>
      <w:sz w:val="18"/>
      <w:szCs w:val="18"/>
      <w:u w:val="none"/>
    </w:rPr>
  </w:style>
  <w:style w:type="character" w:customStyle="1" w:styleId="27">
    <w:name w:val="font51"/>
    <w:basedOn w:val="16"/>
    <w:autoRedefine/>
    <w:qFormat/>
    <w:uiPriority w:val="0"/>
    <w:rPr>
      <w:rFonts w:hint="eastAsia" w:ascii="宋体" w:hAnsi="宋体" w:eastAsia="宋体" w:cs="宋体"/>
      <w:color w:val="000000"/>
      <w:sz w:val="20"/>
      <w:szCs w:val="20"/>
      <w:u w:val="none"/>
    </w:rPr>
  </w:style>
  <w:style w:type="character" w:customStyle="1" w:styleId="28">
    <w:name w:val="font61"/>
    <w:basedOn w:val="16"/>
    <w:autoRedefine/>
    <w:qFormat/>
    <w:uiPriority w:val="0"/>
    <w:rPr>
      <w:rFonts w:hint="default" w:ascii="Times New Roman" w:hAnsi="Times New Roman" w:cs="Times New Roman"/>
      <w:color w:val="000000"/>
      <w:sz w:val="20"/>
      <w:szCs w:val="20"/>
      <w:u w:val="none"/>
    </w:rPr>
  </w:style>
  <w:style w:type="character" w:customStyle="1" w:styleId="29">
    <w:name w:val="font31"/>
    <w:basedOn w:val="16"/>
    <w:autoRedefine/>
    <w:qFormat/>
    <w:uiPriority w:val="0"/>
    <w:rPr>
      <w:rFonts w:hint="eastAsia" w:ascii="宋体" w:hAnsi="宋体" w:eastAsia="宋体" w:cs="宋体"/>
      <w:color w:val="000000"/>
      <w:sz w:val="18"/>
      <w:szCs w:val="18"/>
      <w:u w:val="none"/>
    </w:rPr>
  </w:style>
  <w:style w:type="character" w:customStyle="1" w:styleId="30">
    <w:name w:val="font21"/>
    <w:basedOn w:val="16"/>
    <w:autoRedefine/>
    <w:qFormat/>
    <w:uiPriority w:val="0"/>
    <w:rPr>
      <w:rFonts w:hint="eastAsia" w:ascii="宋体" w:hAnsi="宋体" w:eastAsia="宋体" w:cs="宋体"/>
      <w:color w:val="000000"/>
      <w:sz w:val="20"/>
      <w:szCs w:val="20"/>
      <w:u w:val="none"/>
    </w:rPr>
  </w:style>
  <w:style w:type="character" w:customStyle="1" w:styleId="31">
    <w:name w:val="font71"/>
    <w:basedOn w:val="16"/>
    <w:autoRedefine/>
    <w:qFormat/>
    <w:uiPriority w:val="0"/>
    <w:rPr>
      <w:rFonts w:hint="default" w:ascii="Calibri" w:hAnsi="Calibri" w:cs="Calibri"/>
      <w:color w:val="000000"/>
      <w:sz w:val="20"/>
      <w:szCs w:val="20"/>
      <w:u w:val="none"/>
    </w:rPr>
  </w:style>
  <w:style w:type="character" w:customStyle="1" w:styleId="32">
    <w:name w:val="font11"/>
    <w:basedOn w:val="16"/>
    <w:autoRedefine/>
    <w:qFormat/>
    <w:uiPriority w:val="0"/>
    <w:rPr>
      <w:rFonts w:hint="eastAsia" w:ascii="宋体" w:hAnsi="宋体" w:eastAsia="宋体" w:cs="宋体"/>
      <w:color w:val="000000"/>
      <w:sz w:val="24"/>
      <w:szCs w:val="24"/>
      <w:u w:val="none"/>
    </w:rPr>
  </w:style>
  <w:style w:type="paragraph" w:customStyle="1" w:styleId="33">
    <w:name w:val="普通正文"/>
    <w:autoRedefine/>
    <w:qFormat/>
    <w:uiPriority w:val="0"/>
    <w:pPr>
      <w:spacing w:line="360" w:lineRule="atLeast"/>
      <w:ind w:firstLine="425"/>
      <w:jc w:val="both"/>
    </w:pPr>
    <w:rPr>
      <w:rFonts w:ascii="宋体" w:hAnsi="华文宋体" w:eastAsia="宋体" w:cs="Times New Roman"/>
      <w:kern w:val="21"/>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673</Words>
  <Characters>753</Characters>
  <TotalTime>4</TotalTime>
  <ScaleCrop>false</ScaleCrop>
  <LinksUpToDate>false</LinksUpToDate>
  <CharactersWithSpaces>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2022-08-08T10:55:00Z</dcterms:created>
  <dc:creator>小严</dc:creator>
  <cp:lastModifiedBy>A-Pan</cp:lastModifiedBy>
  <cp:lastPrinted>2024-03-18T02:43:00Z</cp:lastPrinted>
  <dcterms:modified xsi:type="dcterms:W3CDTF">2024-08-08T02:41:51Z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WPS 文字</vt:lpwstr>
  </property>
  <property fmtid="{D5CDD505-2E9C-101B-9397-08002B2CF9AE}" pid="4" name="LastSaved">
    <vt:filetime>2022-08-08T00:00:00Z</vt:filetime>
  </property>
  <property fmtid="{D5CDD505-2E9C-101B-9397-08002B2CF9AE}" pid="5" name="KSOProductBuildVer">
    <vt:lpwstr>2052-12.1.0.16929</vt:lpwstr>
  </property>
  <property fmtid="{D5CDD505-2E9C-101B-9397-08002B2CF9AE}" pid="6" name="ICV">
    <vt:lpwstr>DEA944A6AC8A4F25A525CBA4EB27ECD1_13</vt:lpwstr>
  </property>
</Properties>
</file>