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44"/>
          <w:szCs w:val="44"/>
          <w:highlight w:val="none"/>
          <w:u w:val="none"/>
          <w:lang w:eastAsia="zh-CN"/>
        </w:rPr>
        <w:t>花地街民治社区微改造项目代建服务</w:t>
      </w: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pStyle w:val="3"/>
        <w:rPr>
          <w:rFonts w:hint="eastAsia" w:ascii="仿宋" w:hAnsi="仿宋" w:eastAsia="仿宋" w:cs="仿宋"/>
          <w:b/>
          <w:bCs/>
          <w:color w:val="auto"/>
          <w:sz w:val="44"/>
          <w:highlight w:val="none"/>
        </w:rPr>
      </w:pPr>
    </w:p>
    <w:p>
      <w:pPr>
        <w:pStyle w:val="3"/>
        <w:rPr>
          <w:rFonts w:hint="eastAsia" w:ascii="仿宋" w:hAnsi="仿宋" w:eastAsia="仿宋" w:cs="仿宋"/>
          <w:b/>
          <w:bCs/>
          <w:color w:val="auto"/>
          <w:sz w:val="44"/>
          <w:highlight w:val="none"/>
        </w:rPr>
      </w:pPr>
    </w:p>
    <w:p>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询比文件</w:t>
      </w: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rPr>
          <w:rFonts w:hint="eastAsia" w:ascii="仿宋" w:hAnsi="仿宋" w:eastAsia="仿宋" w:cs="仿宋"/>
          <w:b/>
          <w:bCs/>
          <w:color w:val="auto"/>
          <w:sz w:val="44"/>
          <w:highlight w:val="none"/>
        </w:rPr>
      </w:pPr>
    </w:p>
    <w:p>
      <w:pPr>
        <w:jc w:val="both"/>
        <w:rPr>
          <w:rFonts w:hint="eastAsia" w:ascii="仿宋" w:hAnsi="仿宋" w:eastAsia="仿宋" w:cs="仿宋"/>
          <w:b/>
          <w:bCs/>
          <w:color w:val="auto"/>
          <w:sz w:val="32"/>
          <w:highlight w:val="none"/>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sz w:val="32"/>
          <w:highlight w:val="none"/>
          <w:lang w:eastAsia="zh-CN"/>
        </w:rPr>
      </w:pPr>
      <w:r>
        <w:rPr>
          <w:rFonts w:hint="eastAsia" w:ascii="仿宋" w:hAnsi="仿宋" w:eastAsia="仿宋" w:cs="仿宋"/>
          <w:b/>
          <w:bCs/>
          <w:color w:val="auto"/>
          <w:sz w:val="32"/>
          <w:highlight w:val="none"/>
        </w:rPr>
        <w:t>询比单位：</w:t>
      </w:r>
      <w:r>
        <w:rPr>
          <w:rFonts w:hint="eastAsia" w:ascii="仿宋" w:hAnsi="仿宋" w:eastAsia="仿宋" w:cs="仿宋"/>
          <w:b/>
          <w:bCs/>
          <w:color w:val="auto"/>
          <w:sz w:val="32"/>
          <w:highlight w:val="none"/>
          <w:lang w:eastAsia="zh-CN"/>
        </w:rPr>
        <w:t>广州市荔湾区人民政府花地街道办事处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auto"/>
          <w:sz w:val="32"/>
          <w:highlight w:val="none"/>
          <w:lang w:eastAsia="zh-CN"/>
        </w:rPr>
      </w:pPr>
      <w:r>
        <w:rPr>
          <w:rFonts w:hint="eastAsia" w:ascii="仿宋" w:hAnsi="仿宋" w:eastAsia="仿宋" w:cs="仿宋"/>
          <w:b/>
          <w:bCs/>
          <w:color w:val="auto"/>
          <w:sz w:val="32"/>
          <w:highlight w:val="none"/>
        </w:rPr>
        <w:t>询比代理单位：</w:t>
      </w:r>
      <w:r>
        <w:rPr>
          <w:rFonts w:hint="eastAsia" w:ascii="仿宋" w:hAnsi="仿宋" w:eastAsia="仿宋" w:cs="仿宋"/>
          <w:b/>
          <w:bCs/>
          <w:color w:val="auto"/>
          <w:sz w:val="32"/>
          <w:highlight w:val="none"/>
          <w:lang w:eastAsia="zh-CN"/>
        </w:rPr>
        <w:t>广东逸源工程顾问管理有限公司</w:t>
      </w:r>
    </w:p>
    <w:p>
      <w:pPr>
        <w:jc w:val="center"/>
        <w:rPr>
          <w:rFonts w:hint="eastAsia" w:ascii="仿宋" w:hAnsi="仿宋" w:eastAsia="仿宋" w:cs="仿宋"/>
          <w:b/>
          <w:bCs/>
          <w:color w:val="auto"/>
          <w:sz w:val="44"/>
          <w:highlight w:val="none"/>
        </w:rPr>
      </w:pPr>
      <w:r>
        <w:rPr>
          <w:rFonts w:hint="eastAsia" w:ascii="仿宋" w:hAnsi="仿宋" w:eastAsia="仿宋" w:cs="仿宋"/>
          <w:b/>
          <w:color w:val="auto"/>
          <w:sz w:val="32"/>
          <w:szCs w:val="32"/>
          <w:highlight w:val="none"/>
          <w:lang w:eastAsia="zh-CN"/>
        </w:rPr>
        <w:t>二〇</w:t>
      </w: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月</w:t>
      </w:r>
    </w:p>
    <w:p>
      <w:pPr>
        <w:spacing w:line="360" w:lineRule="auto"/>
        <w:ind w:firstLine="643" w:firstLineChars="200"/>
        <w:jc w:val="center"/>
        <w:textAlignment w:val="top"/>
        <w:rPr>
          <w:rFonts w:hint="eastAsia" w:ascii="仿宋" w:hAnsi="仿宋" w:eastAsia="仿宋" w:cs="仿宋"/>
          <w:b/>
          <w:bCs/>
          <w:color w:val="auto"/>
          <w:sz w:val="32"/>
          <w:szCs w:val="32"/>
          <w:highlight w:val="none"/>
          <w:shd w:val="clear" w:color="auto" w:fill="FFFFFF"/>
        </w:rPr>
      </w:pPr>
    </w:p>
    <w:p>
      <w:pPr>
        <w:spacing w:line="360" w:lineRule="auto"/>
        <w:ind w:firstLine="643" w:firstLineChars="200"/>
        <w:jc w:val="center"/>
        <w:textAlignment w:val="top"/>
        <w:rPr>
          <w:rFonts w:hint="eastAsia" w:ascii="仿宋" w:hAnsi="仿宋" w:eastAsia="仿宋" w:cs="仿宋"/>
          <w:b/>
          <w:bCs/>
          <w:color w:val="auto"/>
          <w:sz w:val="32"/>
          <w:szCs w:val="32"/>
          <w:highlight w:val="none"/>
          <w:shd w:val="clear" w:color="auto" w:fill="FFFFFF"/>
        </w:rPr>
      </w:pPr>
    </w:p>
    <w:p>
      <w:pPr>
        <w:spacing w:line="360" w:lineRule="auto"/>
        <w:ind w:firstLine="643" w:firstLineChars="200"/>
        <w:jc w:val="center"/>
        <w:textAlignment w:val="top"/>
        <w:rPr>
          <w:rFonts w:hint="eastAsia" w:ascii="仿宋" w:hAnsi="仿宋" w:eastAsia="仿宋" w:cs="仿宋"/>
          <w:b/>
          <w:bCs/>
          <w:color w:val="auto"/>
          <w:sz w:val="32"/>
          <w:szCs w:val="32"/>
          <w:highlight w:val="none"/>
          <w:shd w:val="clear" w:color="auto" w:fill="FFFFFF"/>
        </w:rPr>
        <w:sectPr>
          <w:footerReference r:id="rId3" w:type="default"/>
          <w:pgSz w:w="11906" w:h="16838"/>
          <w:pgMar w:top="1440" w:right="1417" w:bottom="1440" w:left="1417" w:header="851" w:footer="992" w:gutter="0"/>
          <w:pgNumType w:start="1"/>
          <w:cols w:space="720" w:num="1"/>
          <w:docGrid w:type="lines" w:linePitch="312" w:charSpace="0"/>
        </w:sectPr>
      </w:pPr>
    </w:p>
    <w:p>
      <w:pPr>
        <w:spacing w:line="360" w:lineRule="auto"/>
        <w:ind w:firstLine="643" w:firstLineChars="200"/>
        <w:jc w:val="center"/>
        <w:textAlignment w:val="top"/>
        <w:rPr>
          <w:rFonts w:hint="eastAsia" w:ascii="仿宋" w:hAnsi="仿宋" w:eastAsia="仿宋" w:cs="仿宋"/>
          <w:b/>
          <w:bCs/>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rPr>
        <w:t>第一章  询比公告</w:t>
      </w:r>
    </w:p>
    <w:p>
      <w:pPr>
        <w:spacing w:line="360" w:lineRule="auto"/>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    为更好地择优选取</w:t>
      </w:r>
      <w:r>
        <w:rPr>
          <w:rFonts w:hint="eastAsia" w:ascii="仿宋" w:hAnsi="仿宋" w:eastAsia="仿宋" w:cs="仿宋"/>
          <w:color w:val="auto"/>
          <w:sz w:val="24"/>
          <w:szCs w:val="24"/>
          <w:highlight w:val="none"/>
          <w:u w:val="single"/>
          <w:lang w:eastAsia="zh-CN"/>
        </w:rPr>
        <w:t>花地街民治社区微改造项目代建服务</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shd w:val="clear" w:color="auto" w:fill="FFFFFF"/>
        </w:rPr>
        <w:t>单位，现</w:t>
      </w:r>
      <w:r>
        <w:rPr>
          <w:rFonts w:hint="eastAsia" w:ascii="仿宋" w:hAnsi="仿宋" w:eastAsia="仿宋" w:cs="仿宋"/>
          <w:color w:val="auto"/>
          <w:sz w:val="24"/>
          <w:szCs w:val="24"/>
          <w:highlight w:val="none"/>
          <w:shd w:val="clear" w:color="auto" w:fill="FFFFFF"/>
          <w:lang w:eastAsia="zh-CN"/>
        </w:rPr>
        <w:t>广州市荔湾区人民政府花地街道办事处</w:t>
      </w:r>
      <w:r>
        <w:rPr>
          <w:rFonts w:hint="eastAsia" w:ascii="仿宋" w:hAnsi="仿宋" w:eastAsia="仿宋" w:cs="仿宋"/>
          <w:color w:val="auto"/>
          <w:sz w:val="24"/>
          <w:szCs w:val="24"/>
          <w:highlight w:val="none"/>
          <w:shd w:val="clear" w:color="auto" w:fill="FFFFFF"/>
        </w:rPr>
        <w:t>进行公开询比，在报名并符合要求的企业内选取一家承办单位，</w:t>
      </w:r>
      <w:bookmarkStart w:id="0" w:name="EBf5670e6d291445918fbaeeb8f3e1df8e"/>
      <w:r>
        <w:rPr>
          <w:rFonts w:hint="eastAsia" w:ascii="仿宋" w:hAnsi="仿宋" w:eastAsia="仿宋" w:cs="仿宋"/>
          <w:color w:val="auto"/>
          <w:sz w:val="24"/>
          <w:szCs w:val="24"/>
          <w:highlight w:val="none"/>
          <w:shd w:val="clear" w:color="auto" w:fill="FFFFFF"/>
        </w:rPr>
        <w:t>欢迎符合资格条件的意向人报名参加。</w:t>
      </w:r>
      <w:bookmarkEnd w:id="0"/>
    </w:p>
    <w:p>
      <w:pPr>
        <w:spacing w:line="360" w:lineRule="auto"/>
        <w:jc w:val="left"/>
        <w:textAlignment w:val="top"/>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一、项目概况</w:t>
      </w:r>
    </w:p>
    <w:p>
      <w:pPr>
        <w:spacing w:line="360" w:lineRule="auto"/>
        <w:ind w:firstLine="480" w:firstLineChars="200"/>
        <w:jc w:val="left"/>
        <w:textAlignment w:val="top"/>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1.询比单位：</w:t>
      </w:r>
      <w:r>
        <w:rPr>
          <w:rFonts w:hint="eastAsia" w:ascii="仿宋" w:hAnsi="仿宋" w:eastAsia="仿宋" w:cs="仿宋"/>
          <w:color w:val="auto"/>
          <w:sz w:val="24"/>
          <w:szCs w:val="24"/>
          <w:highlight w:val="none"/>
          <w:shd w:val="clear" w:color="auto" w:fill="FFFFFF"/>
          <w:lang w:eastAsia="zh-CN"/>
        </w:rPr>
        <w:t>广州市荔湾区人民政府花地街道办事处</w:t>
      </w:r>
      <w:r>
        <w:rPr>
          <w:rFonts w:hint="eastAsia" w:ascii="仿宋" w:hAnsi="仿宋" w:eastAsia="仿宋" w:cs="仿宋"/>
          <w:color w:val="auto"/>
          <w:sz w:val="24"/>
          <w:szCs w:val="24"/>
          <w:highlight w:val="none"/>
          <w:shd w:val="clear" w:color="auto" w:fill="FFFFFF"/>
        </w:rPr>
        <w:t>。</w:t>
      </w:r>
    </w:p>
    <w:p>
      <w:pPr>
        <w:spacing w:line="360" w:lineRule="auto"/>
        <w:ind w:firstLine="480" w:firstLineChars="200"/>
        <w:jc w:val="left"/>
        <w:textAlignment w:val="top"/>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2.建设地点：</w:t>
      </w:r>
      <w:r>
        <w:rPr>
          <w:rFonts w:hint="eastAsia" w:ascii="仿宋" w:hAnsi="仿宋" w:eastAsia="仿宋" w:cs="仿宋"/>
          <w:color w:val="auto"/>
          <w:sz w:val="24"/>
          <w:szCs w:val="24"/>
          <w:highlight w:val="none"/>
          <w:u w:val="none"/>
          <w:lang w:val="en-US" w:eastAsia="zh-CN"/>
        </w:rPr>
        <w:t>广州市荔湾区，东南起花蕾路、北至芳村大道中，东与中市社区相邻、西靠花地大道北。</w:t>
      </w:r>
    </w:p>
    <w:p>
      <w:pPr>
        <w:spacing w:line="360" w:lineRule="auto"/>
        <w:ind w:firstLine="480" w:firstLineChars="200"/>
        <w:jc w:val="left"/>
        <w:textAlignment w:val="top"/>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3.项目概况：项目位于荔湾区，</w:t>
      </w:r>
      <w:r>
        <w:rPr>
          <w:rFonts w:hint="eastAsia" w:ascii="仿宋" w:hAnsi="仿宋" w:eastAsia="仿宋" w:cs="仿宋"/>
          <w:color w:val="auto"/>
          <w:sz w:val="24"/>
          <w:szCs w:val="24"/>
          <w:highlight w:val="none"/>
          <w:shd w:val="clear" w:color="auto" w:fill="FFFFFF"/>
          <w:lang w:val="en-US" w:eastAsia="zh-CN"/>
        </w:rPr>
        <w:t>图斑</w:t>
      </w:r>
      <w:r>
        <w:rPr>
          <w:rFonts w:hint="eastAsia" w:ascii="仿宋" w:hAnsi="仿宋" w:eastAsia="仿宋" w:cs="仿宋"/>
          <w:color w:val="auto"/>
          <w:sz w:val="24"/>
          <w:szCs w:val="24"/>
          <w:highlight w:val="none"/>
          <w:shd w:val="clear" w:color="auto" w:fill="FFFFFF"/>
        </w:rPr>
        <w:t>面积</w:t>
      </w:r>
      <w:r>
        <w:rPr>
          <w:rFonts w:hint="eastAsia" w:ascii="仿宋" w:hAnsi="仿宋" w:eastAsia="仿宋" w:cs="仿宋"/>
          <w:color w:val="auto"/>
          <w:sz w:val="24"/>
          <w:szCs w:val="24"/>
          <w:highlight w:val="none"/>
          <w:shd w:val="clear" w:color="auto" w:fill="FFFFFF"/>
          <w:lang w:val="en-US" w:eastAsia="zh-CN"/>
        </w:rPr>
        <w:t>14.80</w:t>
      </w:r>
      <w:r>
        <w:rPr>
          <w:rFonts w:hint="eastAsia" w:ascii="仿宋" w:hAnsi="仿宋" w:eastAsia="仿宋" w:cs="仿宋"/>
          <w:color w:val="auto"/>
          <w:sz w:val="24"/>
          <w:szCs w:val="24"/>
          <w:highlight w:val="none"/>
          <w:shd w:val="clear" w:color="auto" w:fill="FFFFFF"/>
        </w:rPr>
        <w:t>公顷，位于南起花蕾路、北至芳村大道中，东与中市社区相邻、</w:t>
      </w:r>
      <w:r>
        <w:rPr>
          <w:rFonts w:hint="eastAsia" w:ascii="仿宋" w:hAnsi="仿宋" w:eastAsia="仿宋" w:cs="仿宋"/>
          <w:color w:val="auto"/>
          <w:sz w:val="24"/>
          <w:szCs w:val="24"/>
          <w:highlight w:val="none"/>
          <w:shd w:val="clear" w:color="auto" w:fill="FFFFFF"/>
          <w:lang w:eastAsia="zh-CN"/>
        </w:rPr>
        <w:t>建筑面积</w:t>
      </w:r>
      <w:r>
        <w:rPr>
          <w:rFonts w:hint="eastAsia" w:ascii="仿宋" w:hAnsi="仿宋" w:eastAsia="仿宋" w:cs="仿宋"/>
          <w:color w:val="auto"/>
          <w:sz w:val="24"/>
          <w:szCs w:val="24"/>
          <w:highlight w:val="none"/>
          <w:shd w:val="clear" w:color="auto" w:fill="FFFFFF"/>
          <w:lang w:val="en-US" w:eastAsia="zh-CN"/>
        </w:rPr>
        <w:t>19万平方米，</w:t>
      </w:r>
      <w:r>
        <w:rPr>
          <w:rFonts w:hint="eastAsia" w:ascii="仿宋" w:hAnsi="仿宋" w:eastAsia="仿宋" w:cs="仿宋"/>
          <w:color w:val="auto"/>
          <w:sz w:val="24"/>
          <w:szCs w:val="24"/>
          <w:highlight w:val="none"/>
          <w:shd w:val="clear" w:color="auto" w:fill="FFFFFF"/>
          <w:lang w:eastAsia="zh-CN"/>
        </w:rPr>
        <w:t>建筑栋数</w:t>
      </w:r>
      <w:r>
        <w:rPr>
          <w:rFonts w:hint="eastAsia" w:ascii="仿宋" w:hAnsi="仿宋" w:eastAsia="仿宋" w:cs="仿宋"/>
          <w:color w:val="auto"/>
          <w:sz w:val="24"/>
          <w:szCs w:val="24"/>
          <w:highlight w:val="none"/>
          <w:shd w:val="clear" w:color="auto" w:fill="FFFFFF"/>
          <w:lang w:val="en-US" w:eastAsia="zh-CN"/>
        </w:rPr>
        <w:t>856栋</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具体实施范围以最终相关部门批复为准。</w:t>
      </w:r>
    </w:p>
    <w:p>
      <w:pPr>
        <w:spacing w:line="360" w:lineRule="auto"/>
        <w:ind w:firstLine="480" w:firstLineChars="200"/>
        <w:jc w:val="left"/>
        <w:textAlignment w:val="top"/>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4.本项目总投资</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3500</w:t>
      </w:r>
      <w:r>
        <w:rPr>
          <w:rFonts w:hint="eastAsia" w:ascii="仿宋" w:hAnsi="仿宋" w:eastAsia="仿宋" w:cs="仿宋"/>
          <w:color w:val="auto"/>
          <w:sz w:val="24"/>
          <w:szCs w:val="24"/>
          <w:highlight w:val="none"/>
          <w:shd w:val="clear" w:color="auto" w:fill="FFFFFF"/>
        </w:rPr>
        <w:t>万元。</w:t>
      </w:r>
    </w:p>
    <w:p>
      <w:pPr>
        <w:spacing w:line="360" w:lineRule="auto"/>
        <w:ind w:firstLine="480" w:firstLineChars="200"/>
        <w:jc w:val="left"/>
        <w:textAlignment w:val="top"/>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5.资金来源：财政资金。</w:t>
      </w:r>
    </w:p>
    <w:p>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二、服务内容</w:t>
      </w:r>
      <w:r>
        <w:rPr>
          <w:rFonts w:hint="eastAsia" w:ascii="仿宋" w:hAnsi="仿宋" w:eastAsia="仿宋" w:cs="仿宋"/>
          <w:b/>
          <w:bCs/>
          <w:color w:val="auto"/>
          <w:sz w:val="24"/>
          <w:highlight w:val="none"/>
          <w:lang w:val="en-US" w:eastAsia="zh-CN"/>
        </w:rPr>
        <w:t>、成果要求及其他要求</w:t>
      </w:r>
    </w:p>
    <w:p>
      <w:pPr>
        <w:spacing w:line="336" w:lineRule="auto"/>
        <w:ind w:firstLine="480" w:firstLineChars="200"/>
        <w:rPr>
          <w:rFonts w:hint="eastAsia" w:ascii="仿宋" w:hAnsi="仿宋" w:eastAsia="仿宋" w:cs="仿宋"/>
          <w:color w:val="auto"/>
          <w:sz w:val="24"/>
          <w:szCs w:val="24"/>
          <w:highlight w:val="none"/>
        </w:rPr>
      </w:pPr>
      <w:r>
        <w:rPr>
          <w:rStyle w:val="10"/>
          <w:rFonts w:hint="eastAsia" w:ascii="仿宋" w:hAnsi="仿宋" w:eastAsia="仿宋" w:cs="仿宋"/>
          <w:color w:val="auto"/>
          <w:sz w:val="24"/>
          <w:szCs w:val="24"/>
          <w:highlight w:val="none"/>
          <w:lang w:val="en-US" w:eastAsia="zh-CN"/>
        </w:rPr>
        <w:t>1、</w:t>
      </w:r>
      <w:r>
        <w:rPr>
          <w:rStyle w:val="10"/>
          <w:rFonts w:hint="eastAsia" w:ascii="仿宋" w:hAnsi="仿宋" w:eastAsia="仿宋" w:cs="仿宋"/>
          <w:color w:val="auto"/>
          <w:sz w:val="24"/>
          <w:szCs w:val="24"/>
          <w:highlight w:val="none"/>
        </w:rPr>
        <w:t>对项目建设的全过程进行建设管理，包括但不限于以下内容：项目的设计、监理、施工、验收、移交、保修等项目实施过程管理及项目管理过程中有关手续的报审工作。从项目立项完成开始至项目竣工结算结束之日止的建设全过程项目统筹管理，包括项目设计管理工作，工程、货物、服务的所有管理工作，施工建设管理工作，投资控制和竣工验收等工作，并对工程项目进行质量、安全、进度、投资、合同、信息、档案等方面的有效统筹管理和控制，直到办理竣工验收手续和竣工结算、移交使用单位等实施过程的建设管理工作及各种手续的报审管理工作</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 xml:space="preserve">                               </w:t>
      </w:r>
    </w:p>
    <w:p>
      <w:pPr>
        <w:spacing w:line="336" w:lineRule="auto"/>
        <w:ind w:firstLine="480" w:firstLineChars="200"/>
        <w:rPr>
          <w:rStyle w:val="1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highlight w:val="none"/>
          <w:u w:val="none"/>
        </w:rPr>
        <w:t>自中标人取得中标通知书开始，直到项目竣工验收、竣工决算</w:t>
      </w:r>
      <w:r>
        <w:rPr>
          <w:rStyle w:val="10"/>
          <w:rFonts w:hint="eastAsia" w:ascii="仿宋" w:hAnsi="仿宋" w:eastAsia="仿宋" w:cs="仿宋"/>
          <w:color w:val="auto"/>
          <w:sz w:val="24"/>
          <w:szCs w:val="24"/>
          <w:highlight w:val="none"/>
        </w:rPr>
        <w:t>、移交和保修期满的建设全过程代建管理服务工作。</w:t>
      </w:r>
    </w:p>
    <w:p>
      <w:pPr>
        <w:spacing w:line="336" w:lineRule="auto"/>
        <w:ind w:firstLine="482" w:firstLineChars="200"/>
        <w:rPr>
          <w:rStyle w:val="10"/>
          <w:rFonts w:hint="eastAsia" w:ascii="仿宋" w:hAnsi="仿宋" w:eastAsia="仿宋" w:cs="仿宋"/>
          <w:b/>
          <w:bCs/>
          <w:color w:val="auto"/>
          <w:sz w:val="24"/>
          <w:szCs w:val="24"/>
          <w:highlight w:val="none"/>
          <w:lang w:val="en-US" w:eastAsia="zh-CN"/>
        </w:rPr>
      </w:pPr>
      <w:r>
        <w:rPr>
          <w:rStyle w:val="10"/>
          <w:rFonts w:hint="eastAsia" w:ascii="仿宋" w:hAnsi="仿宋" w:eastAsia="仿宋" w:cs="仿宋"/>
          <w:b/>
          <w:bCs/>
          <w:color w:val="auto"/>
          <w:sz w:val="24"/>
          <w:szCs w:val="24"/>
          <w:highlight w:val="none"/>
          <w:lang w:val="en-US" w:eastAsia="zh-CN"/>
        </w:rPr>
        <w:t>3、其他要求：如本项目因政策、有关部门决策等原因暂停或者短期内不实施，自本合同签订之日起三年内都无法实施相关代建工作的，则本合同自然终止，双方不因此承担任何违约责任。</w:t>
      </w:r>
    </w:p>
    <w:p>
      <w:pPr>
        <w:widowControl/>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三、报价人资格要求</w:t>
      </w:r>
    </w:p>
    <w:p>
      <w:pPr>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人须具有独立法人资格，持有工商行政管理部门核发的法人营业执照，按国家法律经营</w:t>
      </w:r>
      <w:r>
        <w:rPr>
          <w:rFonts w:hint="eastAsia" w:ascii="仿宋" w:hAnsi="仿宋" w:eastAsia="仿宋" w:cs="仿宋"/>
          <w:color w:val="auto"/>
          <w:sz w:val="24"/>
          <w:szCs w:val="24"/>
          <w:highlight w:val="none"/>
        </w:rPr>
        <w:t>；</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拟承担本项目代建工作的项目负责人及其他主要人员要求：</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（1）项目负责人需具备以下资格之一： 具备工程类相关专业中级或以上职称、注册监理工程师、一级注册建造师、一级注册建筑师、一级注册结构工程师、咨询工程师（投资）、注册土木工程师、一级注册造价工程师中的任意一种资格，需提供</w:t>
      </w:r>
      <w:r>
        <w:rPr>
          <w:rFonts w:hint="eastAsia" w:ascii="仿宋" w:hAnsi="仿宋" w:eastAsia="仿宋" w:cs="仿宋"/>
          <w:color w:val="auto"/>
          <w:sz w:val="24"/>
          <w:highlight w:val="none"/>
          <w:lang w:eastAsia="zh-CN"/>
        </w:rPr>
        <w:t>相应</w:t>
      </w:r>
      <w:r>
        <w:rPr>
          <w:rFonts w:hint="eastAsia" w:ascii="仿宋" w:hAnsi="仿宋" w:eastAsia="仿宋" w:cs="仿宋"/>
          <w:color w:val="auto"/>
          <w:sz w:val="24"/>
          <w:highlight w:val="none"/>
        </w:rPr>
        <w:t>证书；</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（2）技术负责人必须具有工程类中级或以上职称，需提供职称证书；</w:t>
      </w:r>
    </w:p>
    <w:p>
      <w:pPr>
        <w:topLinePunct/>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注：上述项目人员必须为</w:t>
      </w:r>
      <w:r>
        <w:rPr>
          <w:rFonts w:hint="eastAsia" w:ascii="仿宋" w:hAnsi="仿宋" w:eastAsia="仿宋" w:cs="仿宋"/>
          <w:color w:val="auto"/>
          <w:sz w:val="24"/>
          <w:highlight w:val="none"/>
          <w:u w:val="none"/>
          <w:lang w:eastAsia="zh-CN"/>
        </w:rPr>
        <w:t>报价</w:t>
      </w:r>
      <w:r>
        <w:rPr>
          <w:rFonts w:hint="eastAsia" w:ascii="仿宋" w:hAnsi="仿宋" w:eastAsia="仿宋" w:cs="仿宋"/>
          <w:color w:val="auto"/>
          <w:sz w:val="24"/>
          <w:highlight w:val="none"/>
          <w:u w:val="none"/>
        </w:rPr>
        <w:t>单位正式员工，需提供在本单位近</w:t>
      </w:r>
      <w:r>
        <w:rPr>
          <w:rFonts w:hint="eastAsia" w:ascii="仿宋" w:hAnsi="仿宋" w:eastAsia="仿宋" w:cs="仿宋"/>
          <w:color w:val="auto"/>
          <w:sz w:val="24"/>
          <w:highlight w:val="none"/>
          <w:u w:val="none"/>
          <w:lang w:val="en-US" w:eastAsia="zh-CN"/>
        </w:rPr>
        <w:t>三</w:t>
      </w:r>
      <w:r>
        <w:rPr>
          <w:rFonts w:hint="eastAsia" w:ascii="仿宋" w:hAnsi="仿宋" w:eastAsia="仿宋" w:cs="仿宋"/>
          <w:color w:val="auto"/>
          <w:sz w:val="24"/>
          <w:highlight w:val="none"/>
          <w:u w:val="none"/>
        </w:rPr>
        <w:t>个月（20</w:t>
      </w:r>
      <w:r>
        <w:rPr>
          <w:rFonts w:hint="eastAsia" w:ascii="仿宋" w:hAnsi="仿宋" w:eastAsia="仿宋" w:cs="仿宋"/>
          <w:color w:val="auto"/>
          <w:sz w:val="24"/>
          <w:highlight w:val="none"/>
          <w:u w:val="none"/>
          <w:lang w:val="en-US" w:eastAsia="zh-CN"/>
        </w:rPr>
        <w:t>24</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至5月</w:t>
      </w:r>
      <w:r>
        <w:rPr>
          <w:rFonts w:hint="eastAsia" w:ascii="仿宋" w:hAnsi="仿宋" w:eastAsia="仿宋" w:cs="仿宋"/>
          <w:color w:val="auto"/>
          <w:sz w:val="24"/>
          <w:highlight w:val="none"/>
          <w:u w:val="none"/>
        </w:rPr>
        <w:t>）缴纳社保的证明材料</w:t>
      </w:r>
      <w:r>
        <w:rPr>
          <w:rFonts w:hint="eastAsia" w:ascii="仿宋" w:hAnsi="仿宋" w:eastAsia="仿宋" w:cs="仿宋"/>
          <w:color w:val="auto"/>
          <w:sz w:val="24"/>
          <w:highlight w:val="none"/>
          <w:u w:val="none"/>
          <w:lang w:eastAsia="zh-CN"/>
        </w:rPr>
        <w:t>，如人员已退休，需提供退休证明及与报价人签订的返聘合同</w:t>
      </w:r>
      <w:r>
        <w:rPr>
          <w:rFonts w:hint="eastAsia" w:ascii="仿宋" w:hAnsi="仿宋" w:eastAsia="仿宋" w:cs="仿宋"/>
          <w:color w:val="auto"/>
          <w:sz w:val="24"/>
          <w:highlight w:val="none"/>
          <w:u w:val="none"/>
        </w:rPr>
        <w:t>。</w:t>
      </w:r>
    </w:p>
    <w:p>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本项目不接受联合体投标。</w:t>
      </w:r>
    </w:p>
    <w:p>
      <w:pPr>
        <w:pStyle w:val="11"/>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四、报价及结算方式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1.最高报价限价：人民币</w:t>
      </w:r>
      <w:r>
        <w:rPr>
          <w:rFonts w:hint="eastAsia" w:ascii="仿宋" w:hAnsi="仿宋" w:eastAsia="仿宋" w:cs="仿宋"/>
          <w:color w:val="auto"/>
          <w:sz w:val="24"/>
          <w:szCs w:val="24"/>
          <w:highlight w:val="none"/>
          <w:u w:val="single"/>
          <w:lang w:val="en-US" w:eastAsia="zh-CN"/>
        </w:rPr>
        <w:t>575000.00</w:t>
      </w:r>
      <w:r>
        <w:rPr>
          <w:rFonts w:hint="eastAsia" w:ascii="仿宋" w:hAnsi="仿宋" w:eastAsia="仿宋" w:cs="仿宋"/>
          <w:color w:val="auto"/>
          <w:sz w:val="24"/>
          <w:szCs w:val="24"/>
          <w:highlight w:val="none"/>
        </w:rPr>
        <w:t>元。报价金额是固定价且是唯一的，未超过本项目最高报价限价。有效报价下浮率为</w:t>
      </w:r>
      <w:r>
        <w:rPr>
          <w:rFonts w:hint="eastAsia" w:ascii="仿宋" w:hAnsi="仿宋" w:eastAsia="仿宋" w:cs="仿宋"/>
          <w:color w:val="auto"/>
          <w:sz w:val="24"/>
          <w:szCs w:val="24"/>
          <w:highlight w:val="none"/>
          <w:u w:val="single"/>
          <w:lang w:val="en-US" w:eastAsia="zh-CN"/>
        </w:rPr>
        <w:t>0-20</w:t>
      </w:r>
      <w:r>
        <w:rPr>
          <w:rFonts w:hint="eastAsia" w:ascii="仿宋" w:hAnsi="仿宋" w:eastAsia="仿宋" w:cs="仿宋"/>
          <w:color w:val="auto"/>
          <w:sz w:val="24"/>
          <w:szCs w:val="24"/>
          <w:highlight w:val="none"/>
        </w:rPr>
        <w:t>%。</w:t>
      </w:r>
    </w:p>
    <w:p>
      <w:pPr>
        <w:pStyle w:val="11"/>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本项目中选价为暂定价，</w:t>
      </w:r>
      <w:r>
        <w:rPr>
          <w:rFonts w:hint="eastAsia" w:ascii="仿宋" w:hAnsi="仿宋" w:eastAsia="仿宋" w:cs="仿宋"/>
          <w:color w:val="auto"/>
          <w:sz w:val="24"/>
          <w:szCs w:val="24"/>
          <w:highlight w:val="none"/>
        </w:rPr>
        <w:t>最终结算金额以询比人或相关部门审定结果为准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且不得超过</w:t>
      </w:r>
      <w:r>
        <w:rPr>
          <w:rFonts w:hint="eastAsia" w:ascii="仿宋" w:hAnsi="仿宋" w:eastAsia="仿宋" w:cs="仿宋"/>
          <w:b/>
          <w:bCs/>
          <w:color w:val="auto"/>
          <w:sz w:val="24"/>
          <w:szCs w:val="24"/>
          <w:highlight w:val="none"/>
          <w:lang w:eastAsia="zh-CN"/>
        </w:rPr>
        <w:t>可研批复的建设单位管理费（代建）总金额，</w:t>
      </w:r>
      <w:r>
        <w:rPr>
          <w:rFonts w:hint="eastAsia" w:ascii="仿宋" w:hAnsi="仿宋" w:eastAsia="仿宋" w:cs="仿宋"/>
          <w:b/>
          <w:bCs/>
          <w:color w:val="auto"/>
          <w:sz w:val="24"/>
          <w:szCs w:val="24"/>
          <w:highlight w:val="none"/>
        </w:rPr>
        <w:t>具体结算方式以</w:t>
      </w:r>
      <w:r>
        <w:rPr>
          <w:rFonts w:hint="eastAsia" w:ascii="仿宋" w:hAnsi="仿宋" w:eastAsia="仿宋" w:cs="仿宋"/>
          <w:b/>
          <w:bCs/>
          <w:color w:val="auto"/>
          <w:sz w:val="24"/>
          <w:szCs w:val="24"/>
          <w:highlight w:val="none"/>
          <w:lang w:val="en-US" w:eastAsia="zh-CN"/>
        </w:rPr>
        <w:t>最终签订的</w:t>
      </w:r>
      <w:r>
        <w:rPr>
          <w:rFonts w:hint="eastAsia" w:ascii="仿宋" w:hAnsi="仿宋" w:eastAsia="仿宋" w:cs="仿宋"/>
          <w:b/>
          <w:bCs/>
          <w:color w:val="auto"/>
          <w:sz w:val="24"/>
          <w:szCs w:val="24"/>
          <w:highlight w:val="none"/>
        </w:rPr>
        <w:t>合同约定为准。</w:t>
      </w:r>
    </w:p>
    <w:p>
      <w:pPr>
        <w:pStyle w:val="11"/>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风险提示：本项目中标单位前期工作约定无预付款，需协助询价单位完成项目前期立项工作，并顺利通过区发改局批复同意立项后方可支付款项。款项支付约定，如因财政审批或财政支付程序原因导致支付迟延的，不属甲方违约。详细合同条款</w:t>
      </w:r>
      <w:r>
        <w:rPr>
          <w:rFonts w:hint="eastAsia" w:ascii="仿宋" w:hAnsi="仿宋" w:eastAsia="仿宋" w:cs="仿宋"/>
          <w:b/>
          <w:bCs/>
          <w:color w:val="auto"/>
          <w:sz w:val="24"/>
          <w:szCs w:val="24"/>
          <w:highlight w:val="none"/>
        </w:rPr>
        <w:t>以</w:t>
      </w:r>
      <w:r>
        <w:rPr>
          <w:rFonts w:hint="eastAsia" w:ascii="仿宋" w:hAnsi="仿宋" w:eastAsia="仿宋" w:cs="仿宋"/>
          <w:b/>
          <w:bCs/>
          <w:color w:val="auto"/>
          <w:sz w:val="24"/>
          <w:szCs w:val="24"/>
          <w:highlight w:val="none"/>
          <w:lang w:val="en-US" w:eastAsia="zh-CN"/>
        </w:rPr>
        <w:t>最终签订的</w:t>
      </w:r>
      <w:r>
        <w:rPr>
          <w:rFonts w:hint="eastAsia" w:ascii="仿宋" w:hAnsi="仿宋" w:eastAsia="仿宋" w:cs="仿宋"/>
          <w:b/>
          <w:bCs/>
          <w:color w:val="auto"/>
          <w:sz w:val="24"/>
          <w:szCs w:val="24"/>
          <w:highlight w:val="none"/>
        </w:rPr>
        <w:t>合同约定为准</w:t>
      </w:r>
      <w:r>
        <w:rPr>
          <w:rFonts w:hint="eastAsia" w:ascii="仿宋" w:hAnsi="仿宋" w:eastAsia="仿宋" w:cs="仿宋"/>
          <w:b/>
          <w:bCs/>
          <w:color w:val="auto"/>
          <w:sz w:val="24"/>
          <w:szCs w:val="24"/>
          <w:highlight w:val="none"/>
          <w:lang w:eastAsia="zh-CN"/>
        </w:rPr>
        <w:t>。</w:t>
      </w:r>
    </w:p>
    <w:p>
      <w:pPr>
        <w:spacing w:line="360" w:lineRule="auto"/>
        <w:textAlignment w:val="top"/>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五、询比代理服务费及成交通知书的交付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本次的询比代理服务费由中选单位在收取成交通知书时一次性支付给询比代理服务机构</w:t>
      </w:r>
      <w:r>
        <w:rPr>
          <w:rFonts w:hint="eastAsia" w:ascii="仿宋" w:hAnsi="仿宋" w:eastAsia="仿宋" w:cs="仿宋"/>
          <w:color w:val="auto"/>
          <w:sz w:val="24"/>
          <w:highlight w:val="none"/>
          <w:lang w:eastAsia="zh-CN"/>
        </w:rPr>
        <w:t>【代理服务费包括招标代理费及评审费，具体计算以招标代理合同为准】</w:t>
      </w:r>
      <w:r>
        <w:rPr>
          <w:rFonts w:hint="eastAsia" w:ascii="仿宋" w:hAnsi="仿宋" w:eastAsia="仿宋" w:cs="仿宋"/>
          <w:color w:val="auto"/>
          <w:sz w:val="24"/>
          <w:highlight w:val="none"/>
        </w:rPr>
        <w:t>。</w:t>
      </w:r>
    </w:p>
    <w:p>
      <w:pPr>
        <w:widowControl/>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六、询比文件的获取 </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1.凡有意参加的报价意向人，请于202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日，登录广州市荔湾区人民政府网站下载询比文件。</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2.询比公告发布时间：</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发布询比公告开始日期（含本日）为：202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发布询比公告截止日期（含本日）为：202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w:t>
      </w:r>
    </w:p>
    <w:p>
      <w:pPr>
        <w:spacing w:line="360" w:lineRule="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七、报价文件的递交时间和递交地点：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由报价意向人的法定代表人或授权代表</w:t>
      </w:r>
      <w:r>
        <w:rPr>
          <w:rFonts w:hint="eastAsia" w:ascii="仿宋" w:hAnsi="仿宋" w:eastAsia="仿宋" w:cs="仿宋"/>
          <w:b/>
          <w:bCs/>
          <w:color w:val="auto"/>
          <w:sz w:val="24"/>
          <w:szCs w:val="24"/>
          <w:highlight w:val="none"/>
        </w:rPr>
        <w:t>手持法定代表人证明书、授权委托书及身份证原件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rPr>
        <w:t>日</w:t>
      </w:r>
      <w:r>
        <w:rPr>
          <w:rFonts w:hint="eastAsia" w:ascii="仿宋" w:hAnsi="仿宋" w:eastAsia="仿宋" w:cs="仿宋"/>
          <w:color w:val="auto"/>
          <w:kern w:val="0"/>
          <w:sz w:val="24"/>
          <w:highlight w:val="none"/>
        </w:rPr>
        <w:t>上午</w:t>
      </w:r>
      <w:r>
        <w:rPr>
          <w:rFonts w:hint="eastAsia" w:ascii="仿宋" w:hAnsi="仿宋" w:eastAsia="仿宋" w:cs="仿宋"/>
          <w:color w:val="auto"/>
          <w:kern w:val="0"/>
          <w:sz w:val="24"/>
          <w:highlight w:val="none"/>
          <w:u w:val="single"/>
        </w:rPr>
        <w:t xml:space="preserve"> 9:30—11:30 </w:t>
      </w:r>
      <w:r>
        <w:rPr>
          <w:rFonts w:hint="eastAsia" w:ascii="仿宋" w:hAnsi="仿宋" w:eastAsia="仿宋" w:cs="仿宋"/>
          <w:color w:val="auto"/>
          <w:sz w:val="24"/>
          <w:szCs w:val="24"/>
          <w:highlight w:val="none"/>
        </w:rPr>
        <w:t>递交至</w:t>
      </w:r>
      <w:r>
        <w:rPr>
          <w:rFonts w:hint="eastAsia" w:ascii="仿宋" w:hAnsi="仿宋" w:eastAsia="仿宋" w:cs="仿宋"/>
          <w:color w:val="auto"/>
          <w:sz w:val="24"/>
          <w:szCs w:val="24"/>
          <w:highlight w:val="none"/>
          <w:u w:val="single"/>
          <w:lang w:eastAsia="zh-CN"/>
        </w:rPr>
        <w:t>广州市天河区天河北路689号609室、610室</w:t>
      </w:r>
      <w:r>
        <w:rPr>
          <w:rFonts w:hint="eastAsia" w:ascii="仿宋" w:hAnsi="仿宋" w:eastAsia="仿宋" w:cs="仿宋"/>
          <w:color w:val="auto"/>
          <w:sz w:val="24"/>
          <w:szCs w:val="24"/>
          <w:highlight w:val="none"/>
        </w:rPr>
        <w:t xml:space="preserve">，逾期恕不受理。  </w:t>
      </w:r>
    </w:p>
    <w:p>
      <w:pPr>
        <w:spacing w:line="360" w:lineRule="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八、询比</w:t>
      </w:r>
      <w:r>
        <w:rPr>
          <w:rFonts w:hint="eastAsia" w:ascii="仿宋" w:hAnsi="仿宋" w:eastAsia="仿宋" w:cs="仿宋"/>
          <w:b/>
          <w:bCs/>
          <w:color w:val="auto"/>
          <w:sz w:val="24"/>
          <w:szCs w:val="24"/>
          <w:highlight w:val="none"/>
          <w:shd w:val="clear" w:color="auto" w:fill="FFFFFF"/>
          <w:lang w:eastAsia="zh-CN"/>
        </w:rPr>
        <w:t>单位</w:t>
      </w:r>
      <w:r>
        <w:rPr>
          <w:rFonts w:hint="eastAsia" w:ascii="仿宋" w:hAnsi="仿宋" w:eastAsia="仿宋" w:cs="仿宋"/>
          <w:b/>
          <w:bCs/>
          <w:color w:val="auto"/>
          <w:sz w:val="24"/>
          <w:szCs w:val="24"/>
          <w:highlight w:val="none"/>
          <w:shd w:val="clear" w:color="auto" w:fill="FFFFFF"/>
        </w:rPr>
        <w:t>不承担报价人参加本次报价活动所发生的任何费用。询比</w:t>
      </w:r>
      <w:r>
        <w:rPr>
          <w:rFonts w:hint="eastAsia" w:ascii="仿宋" w:hAnsi="仿宋" w:eastAsia="仿宋" w:cs="仿宋"/>
          <w:b/>
          <w:bCs/>
          <w:color w:val="auto"/>
          <w:sz w:val="24"/>
          <w:szCs w:val="24"/>
          <w:highlight w:val="none"/>
          <w:shd w:val="clear" w:color="auto" w:fill="FFFFFF"/>
          <w:lang w:eastAsia="zh-CN"/>
        </w:rPr>
        <w:t>单位</w:t>
      </w:r>
      <w:r>
        <w:rPr>
          <w:rFonts w:hint="eastAsia" w:ascii="仿宋" w:hAnsi="仿宋" w:eastAsia="仿宋" w:cs="仿宋"/>
          <w:b/>
          <w:bCs/>
          <w:color w:val="auto"/>
          <w:sz w:val="24"/>
          <w:szCs w:val="24"/>
          <w:highlight w:val="none"/>
          <w:shd w:val="clear" w:color="auto" w:fill="FFFFFF"/>
        </w:rPr>
        <w:t>因故取消或中止询比活动，报价人无条件服从，因报价活动产生的费用报价人自行负责。</w:t>
      </w:r>
    </w:p>
    <w:p>
      <w:pPr>
        <w:spacing w:line="360" w:lineRule="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九、询比</w:t>
      </w:r>
      <w:r>
        <w:rPr>
          <w:rFonts w:hint="eastAsia" w:ascii="仿宋" w:hAnsi="仿宋" w:eastAsia="仿宋" w:cs="仿宋"/>
          <w:b/>
          <w:bCs/>
          <w:color w:val="auto"/>
          <w:sz w:val="24"/>
          <w:szCs w:val="24"/>
          <w:highlight w:val="none"/>
          <w:shd w:val="clear" w:color="auto" w:fill="FFFFFF"/>
          <w:lang w:eastAsia="zh-CN"/>
        </w:rPr>
        <w:t>单位</w:t>
      </w:r>
      <w:r>
        <w:rPr>
          <w:rFonts w:hint="eastAsia" w:ascii="仿宋" w:hAnsi="仿宋" w:eastAsia="仿宋" w:cs="仿宋"/>
          <w:b/>
          <w:bCs/>
          <w:color w:val="auto"/>
          <w:sz w:val="24"/>
          <w:szCs w:val="24"/>
          <w:highlight w:val="none"/>
          <w:shd w:val="clear" w:color="auto" w:fill="FFFFFF"/>
        </w:rPr>
        <w:t>将在广州市荔湾区人民政府网上发布中选结果，中选公示期为</w:t>
      </w:r>
      <w:r>
        <w:rPr>
          <w:rFonts w:hint="eastAsia" w:ascii="仿宋" w:hAnsi="仿宋" w:eastAsia="仿宋" w:cs="仿宋"/>
          <w:b/>
          <w:bCs/>
          <w:color w:val="auto"/>
          <w:sz w:val="24"/>
          <w:szCs w:val="24"/>
          <w:highlight w:val="none"/>
          <w:shd w:val="clear" w:color="auto" w:fill="FFFFFF"/>
          <w:lang w:val="en-US" w:eastAsia="zh-CN"/>
        </w:rPr>
        <w:t>3个工作日</w:t>
      </w:r>
      <w:r>
        <w:rPr>
          <w:rFonts w:hint="eastAsia" w:ascii="仿宋" w:hAnsi="仿宋" w:eastAsia="仿宋" w:cs="仿宋"/>
          <w:b/>
          <w:bCs/>
          <w:color w:val="auto"/>
          <w:sz w:val="24"/>
          <w:szCs w:val="24"/>
          <w:highlight w:val="none"/>
          <w:shd w:val="clear" w:color="auto" w:fill="FFFFFF"/>
        </w:rPr>
        <w:t>。</w:t>
      </w:r>
    </w:p>
    <w:p>
      <w:pPr>
        <w:spacing w:line="360" w:lineRule="auto"/>
        <w:rPr>
          <w:rFonts w:hint="eastAsia" w:ascii="仿宋" w:hAnsi="仿宋" w:eastAsia="仿宋" w:cs="仿宋"/>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十、</w:t>
      </w:r>
      <w:r>
        <w:rPr>
          <w:rFonts w:hint="eastAsia" w:ascii="仿宋" w:hAnsi="仿宋" w:eastAsia="仿宋" w:cs="仿宋"/>
          <w:b/>
          <w:bCs/>
          <w:color w:val="auto"/>
          <w:sz w:val="24"/>
          <w:szCs w:val="24"/>
          <w:highlight w:val="none"/>
          <w:shd w:val="clear" w:color="auto" w:fill="FFFFFF"/>
          <w:lang w:eastAsia="zh-CN"/>
        </w:rPr>
        <w:t>广州市荔湾区人民政府花地街道办事处</w:t>
      </w:r>
      <w:r>
        <w:rPr>
          <w:rFonts w:hint="eastAsia" w:ascii="仿宋" w:hAnsi="仿宋" w:eastAsia="仿宋" w:cs="仿宋"/>
          <w:b/>
          <w:bCs/>
          <w:color w:val="auto"/>
          <w:sz w:val="24"/>
          <w:szCs w:val="24"/>
          <w:highlight w:val="none"/>
          <w:shd w:val="clear" w:color="auto" w:fill="FFFFFF"/>
        </w:rPr>
        <w:t>对公告及询比文件有最终解释权。</w:t>
      </w:r>
    </w:p>
    <w:p>
      <w:pPr>
        <w:spacing w:line="360" w:lineRule="auto"/>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十一、联系方式：</w:t>
      </w:r>
    </w:p>
    <w:p>
      <w:pPr>
        <w:spacing w:line="360" w:lineRule="auto"/>
        <w:jc w:val="left"/>
        <w:textAlignment w:val="top"/>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询比单位：</w:t>
      </w:r>
      <w:r>
        <w:rPr>
          <w:rFonts w:hint="eastAsia" w:ascii="仿宋" w:hAnsi="仿宋" w:eastAsia="仿宋" w:cs="仿宋"/>
          <w:color w:val="auto"/>
          <w:sz w:val="24"/>
          <w:szCs w:val="24"/>
          <w:highlight w:val="none"/>
          <w:u w:val="single"/>
          <w:lang w:eastAsia="zh-CN"/>
        </w:rPr>
        <w:t>广州市荔湾区人民政府花地街道办事处</w:t>
      </w:r>
    </w:p>
    <w:p>
      <w:pPr>
        <w:spacing w:line="360" w:lineRule="auto"/>
        <w:jc w:val="left"/>
        <w:textAlignment w:val="top"/>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陈工 </w:t>
      </w:r>
      <w:r>
        <w:rPr>
          <w:rFonts w:hint="eastAsia" w:ascii="仿宋" w:hAnsi="仿宋" w:eastAsia="仿宋" w:cs="仿宋"/>
          <w:color w:val="auto"/>
          <w:sz w:val="24"/>
          <w:szCs w:val="24"/>
          <w:highlight w:val="none"/>
          <w:u w:val="single"/>
        </w:rPr>
        <w:t xml:space="preserve">            </w:t>
      </w:r>
    </w:p>
    <w:p>
      <w:pPr>
        <w:spacing w:line="360" w:lineRule="auto"/>
        <w:jc w:val="left"/>
        <w:textAlignment w:val="top"/>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020-32288964    </w:t>
      </w:r>
    </w:p>
    <w:p>
      <w:pPr>
        <w:spacing w:line="360" w:lineRule="auto"/>
        <w:jc w:val="left"/>
        <w:textAlignment w:val="top"/>
        <w:rPr>
          <w:rFonts w:hint="eastAsia" w:ascii="仿宋" w:hAnsi="仿宋" w:eastAsia="仿宋" w:cs="仿宋"/>
          <w:color w:val="auto"/>
          <w:sz w:val="24"/>
          <w:szCs w:val="24"/>
          <w:highlight w:val="none"/>
        </w:rPr>
      </w:pPr>
    </w:p>
    <w:p>
      <w:pPr>
        <w:spacing w:line="360" w:lineRule="auto"/>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询比代理单位：</w:t>
      </w:r>
      <w:r>
        <w:rPr>
          <w:rFonts w:hint="eastAsia" w:ascii="仿宋" w:hAnsi="仿宋" w:eastAsia="仿宋" w:cs="仿宋"/>
          <w:color w:val="auto"/>
          <w:sz w:val="24"/>
          <w:szCs w:val="24"/>
          <w:highlight w:val="none"/>
          <w:u w:val="single"/>
          <w:lang w:eastAsia="zh-CN"/>
        </w:rPr>
        <w:t>广东逸源工程顾问管理有限公司</w:t>
      </w:r>
      <w:r>
        <w:rPr>
          <w:rFonts w:hint="eastAsia" w:ascii="仿宋" w:hAnsi="仿宋" w:eastAsia="仿宋" w:cs="仿宋"/>
          <w:color w:val="auto"/>
          <w:sz w:val="24"/>
          <w:highlight w:val="none"/>
        </w:rPr>
        <w:t xml:space="preserve"> </w:t>
      </w:r>
    </w:p>
    <w:p>
      <w:pPr>
        <w:spacing w:line="360" w:lineRule="auto"/>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冯工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020-88522643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pStyle w:val="5"/>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广州市荔湾区人民政府花地街道办事处</w:t>
      </w: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w:t>
      </w:r>
    </w:p>
    <w:p>
      <w:pPr>
        <w:pStyle w:val="5"/>
        <w:spacing w:line="360" w:lineRule="auto"/>
        <w:jc w:val="right"/>
        <w:rPr>
          <w:rFonts w:hint="eastAsia" w:ascii="仿宋" w:hAnsi="仿宋" w:eastAsia="仿宋" w:cs="仿宋"/>
          <w:color w:val="auto"/>
          <w:sz w:val="24"/>
          <w:szCs w:val="24"/>
          <w:highlight w:val="none"/>
        </w:rPr>
        <w:sectPr>
          <w:footerReference r:id="rId4" w:type="default"/>
          <w:pgSz w:w="11906" w:h="16838"/>
          <w:pgMar w:top="1327" w:right="1417" w:bottom="1270" w:left="1417" w:header="851" w:footer="992" w:gutter="0"/>
          <w:pgNumType w:start="1"/>
          <w:cols w:space="720" w:num="1"/>
          <w:rtlGutter w:val="0"/>
          <w:docGrid w:type="lines" w:linePitch="312" w:charSpace="0"/>
        </w:sectPr>
      </w:pPr>
    </w:p>
    <w:p>
      <w:pPr>
        <w:pStyle w:val="5"/>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第二章 评审办法</w:t>
      </w:r>
    </w:p>
    <w:p>
      <w:pPr>
        <w:pStyle w:val="5"/>
        <w:spacing w:line="360" w:lineRule="auto"/>
        <w:jc w:val="left"/>
        <w:rPr>
          <w:rFonts w:hint="eastAsia" w:ascii="仿宋" w:hAnsi="仿宋" w:eastAsia="仿宋" w:cs="仿宋"/>
          <w:color w:val="auto"/>
          <w:sz w:val="24"/>
          <w:szCs w:val="24"/>
          <w:highlight w:val="none"/>
        </w:rPr>
      </w:pPr>
    </w:p>
    <w:p>
      <w:pPr>
        <w:pStyle w:val="5"/>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一、评审办法</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仿宋" w:hAnsi="仿宋" w:eastAsia="仿宋" w:cs="仿宋"/>
          <w:color w:val="auto"/>
          <w:kern w:val="0"/>
          <w:sz w:val="24"/>
          <w:szCs w:val="24"/>
          <w:highlight w:val="none"/>
        </w:rPr>
        <w:t>（详见附件一：</w:t>
      </w:r>
      <w:r>
        <w:rPr>
          <w:rFonts w:hint="eastAsia" w:ascii="仿宋" w:hAnsi="仿宋" w:eastAsia="仿宋" w:cs="仿宋"/>
          <w:color w:val="auto"/>
          <w:sz w:val="24"/>
          <w:szCs w:val="24"/>
          <w:highlight w:val="none"/>
        </w:rPr>
        <w:t>资格性和符合性审查表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pStyle w:val="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2.询比</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对满足询比文件实质性要求的报价文件，按照询比文件规定的评分标准进行打分，评审过程中如发现存在不满足询比文件实质性要求的报价文件不予评分。</w:t>
      </w:r>
    </w:p>
    <w:p>
      <w:pPr>
        <w:pStyle w:val="5"/>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3.评分按照</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人总得分由高到低排序前3名作为第一、第二、第三中标候选人，总得分相等时，以投标报价低的优先。如仍存在相同情况，则对具有相同情况的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人，按中标候选人数量规定，由评标委员会采用记名投票方式（不得弃权），确定中标候选人的排序。</w:t>
      </w:r>
    </w:p>
    <w:p>
      <w:pPr>
        <w:tabs>
          <w:tab w:val="left" w:pos="5220"/>
        </w:tabs>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sectPr>
          <w:footerReference r:id="rId5" w:type="default"/>
          <w:pgSz w:w="11906" w:h="16838"/>
          <w:pgMar w:top="1440" w:right="1417" w:bottom="1440" w:left="1417" w:header="851" w:footer="992" w:gutter="0"/>
          <w:cols w:space="720" w:num="1"/>
          <w:docGrid w:type="lines" w:linePitch="312" w:charSpace="0"/>
        </w:sectPr>
      </w:pPr>
      <w:r>
        <w:rPr>
          <w:rFonts w:hint="eastAsia" w:ascii="仿宋" w:hAnsi="仿宋" w:eastAsia="仿宋" w:cs="仿宋"/>
          <w:color w:val="auto"/>
          <w:sz w:val="24"/>
          <w:szCs w:val="24"/>
          <w:highlight w:val="none"/>
        </w:rPr>
        <w:t>4.若本项目满足资格性和符合性审查合格条件的报价人不足1家或经评审有效的报价人不足1家，则本次询比失败，询比</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将视情况重新组织询比。</w:t>
      </w:r>
    </w:p>
    <w:p>
      <w:pPr>
        <w:tabs>
          <w:tab w:val="left" w:pos="5220"/>
        </w:tabs>
        <w:adjustRightInd w:val="0"/>
        <w:snapToGrid w:val="0"/>
        <w:spacing w:line="360" w:lineRule="auto"/>
        <w:jc w:val="center"/>
        <w:rPr>
          <w:rFonts w:hint="eastAsia" w:ascii="仿宋" w:hAnsi="仿宋" w:eastAsia="仿宋" w:cs="仿宋"/>
          <w:b/>
          <w:bCs/>
          <w:color w:val="auto"/>
          <w:kern w:val="28"/>
          <w:sz w:val="24"/>
          <w:highlight w:val="none"/>
        </w:rPr>
      </w:pPr>
      <w:r>
        <w:rPr>
          <w:rFonts w:hint="eastAsia" w:ascii="仿宋" w:hAnsi="仿宋" w:eastAsia="仿宋" w:cs="仿宋"/>
          <w:b/>
          <w:bCs/>
          <w:color w:val="auto"/>
          <w:kern w:val="28"/>
          <w:sz w:val="24"/>
          <w:highlight w:val="none"/>
        </w:rPr>
        <w:t>第三章 报价文件</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一.报价文件编制要求</w:t>
      </w:r>
    </w:p>
    <w:p>
      <w:pPr>
        <w:spacing w:line="360" w:lineRule="auto"/>
        <w:ind w:firstLine="480" w:firstLineChars="200"/>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1.报价文件编制规范、签署合格、报价唯一固定、报价无重大漏项及重大不合理。</w:t>
      </w:r>
    </w:p>
    <w:p>
      <w:pPr>
        <w:spacing w:line="360" w:lineRule="auto"/>
        <w:ind w:firstLine="480" w:firstLineChars="200"/>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2.报价文件份数为一式二份，一份为正本，一份为副本，正本和副本不一致的以正本为准。报价文件须用不褪色的黑色墨水书写或打印，报价文件应装订成册，封面</w:t>
      </w:r>
      <w:bookmarkStart w:id="1" w:name="_GoBack"/>
      <w:bookmarkEnd w:id="1"/>
      <w:r>
        <w:rPr>
          <w:rFonts w:hint="eastAsia" w:ascii="仿宋" w:hAnsi="仿宋" w:eastAsia="仿宋" w:cs="仿宋"/>
          <w:color w:val="auto"/>
          <w:sz w:val="24"/>
          <w:highlight w:val="none"/>
        </w:rPr>
        <w:t>右上角注明正本或副本，</w:t>
      </w:r>
      <w:r>
        <w:rPr>
          <w:rFonts w:hint="eastAsia" w:ascii="仿宋" w:hAnsi="仿宋" w:eastAsia="仿宋" w:cs="仿宋"/>
          <w:color w:val="auto"/>
          <w:kern w:val="0"/>
          <w:sz w:val="24"/>
          <w:highlight w:val="none"/>
        </w:rPr>
        <w:t>并每页加盖单位公章装入同一个密封袋。</w:t>
      </w:r>
      <w:r>
        <w:rPr>
          <w:rFonts w:hint="eastAsia" w:ascii="仿宋" w:hAnsi="仿宋" w:eastAsia="仿宋" w:cs="仿宋"/>
          <w:b/>
          <w:bCs/>
          <w:color w:val="auto"/>
          <w:kern w:val="0"/>
          <w:sz w:val="24"/>
          <w:highlight w:val="none"/>
        </w:rPr>
        <w:t>封口须以封条并加盖公章密封，否则报价文件当无效处理。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3.报价文件密封在一个包封内，外包装材料不应留有可在包封后添加或抽取报价文件的空隙。外面应标注“项目名称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联系方式”和“报价单位”等字样。</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4.报价文件中的所有材料内容（复印件、截图证明等）</w:t>
      </w:r>
      <w:r>
        <w:rPr>
          <w:rFonts w:hint="eastAsia" w:ascii="仿宋" w:hAnsi="仿宋" w:eastAsia="仿宋" w:cs="仿宋"/>
          <w:b/>
          <w:bCs/>
          <w:color w:val="auto"/>
          <w:sz w:val="24"/>
          <w:highlight w:val="none"/>
        </w:rPr>
        <w:t>须清晰可见，模糊不清晰的则当无效材料处理</w:t>
      </w:r>
      <w:r>
        <w:rPr>
          <w:rFonts w:hint="eastAsia" w:ascii="仿宋" w:hAnsi="仿宋" w:eastAsia="仿宋" w:cs="仿宋"/>
          <w:color w:val="auto"/>
          <w:sz w:val="24"/>
          <w:highlight w:val="none"/>
        </w:rPr>
        <w:t>。报价文件须附上材料目录（附页码）。</w:t>
      </w:r>
    </w:p>
    <w:p>
      <w:pPr>
        <w:spacing w:line="360" w:lineRule="auto"/>
        <w:textAlignment w:val="top"/>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二、完整的报价文件至少包括以下内容：</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1.报价表（原件，格式详见附件三）；</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2.企业营业执照或事业单位法人证书（复印件）；</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3.法定代表人身份证明书（原件）、授权代表委托书（原件）；</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4.业绩情况汇总表（原件，格式详见附件四）；</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5.项目负责人相关证书及社保证明（复印件）；</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6.综合评分表上要求提供的其他材料（复印件）；</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7.承诺书（原件，详见附件六）；</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8.其他报价人认为需要提供的资料。</w:t>
      </w:r>
    </w:p>
    <w:p>
      <w:pPr>
        <w:pStyle w:val="5"/>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p>
    <w:p>
      <w:pPr>
        <w:pStyle w:val="5"/>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1.资格性和符合性审查表</w:t>
      </w:r>
    </w:p>
    <w:p>
      <w:pPr>
        <w:pStyle w:val="5"/>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2.综合评分表</w:t>
      </w:r>
    </w:p>
    <w:p>
      <w:pPr>
        <w:pStyle w:val="5"/>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3.报价表</w:t>
      </w:r>
    </w:p>
    <w:p>
      <w:pPr>
        <w:pStyle w:val="5"/>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4.业绩情况汇总表</w:t>
      </w:r>
    </w:p>
    <w:p>
      <w:pPr>
        <w:pStyle w:val="5"/>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5.项目负责人及其他人员配备情况表</w:t>
      </w:r>
    </w:p>
    <w:p>
      <w:pPr>
        <w:pStyle w:val="5"/>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6.承诺书</w:t>
      </w:r>
    </w:p>
    <w:p>
      <w:pPr>
        <w:ind w:firstLine="420" w:firstLineChars="175"/>
        <w:rPr>
          <w:rFonts w:hint="eastAsia" w:ascii="仿宋" w:hAnsi="仿宋" w:eastAsia="仿宋" w:cs="仿宋"/>
          <w:color w:val="auto"/>
          <w:sz w:val="24"/>
          <w:szCs w:val="24"/>
          <w:highlight w:val="none"/>
          <w:lang w:val="en-US" w:eastAsia="zh-CN"/>
        </w:rPr>
        <w:sectPr>
          <w:headerReference r:id="rId6" w:type="default"/>
          <w:pgSz w:w="11906" w:h="16838"/>
          <w:pgMar w:top="1418" w:right="1457" w:bottom="1418" w:left="1457" w:header="851" w:footer="992" w:gutter="0"/>
          <w:cols w:space="720" w:num="1"/>
          <w:docGrid w:type="lines" w:linePitch="312" w:charSpace="0"/>
        </w:sect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.代建服务合同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OWIxMDIxYzdmNDhiOGQ1NTk2MWE2NTU1NDUyZGUifQ=="/>
  </w:docVars>
  <w:rsids>
    <w:rsidRoot w:val="7ECD41B2"/>
    <w:rsid w:val="0A78616B"/>
    <w:rsid w:val="76A40C8B"/>
    <w:rsid w:val="7ECD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00" w:lineRule="auto"/>
      <w:ind w:firstLine="420" w:firstLineChars="200"/>
    </w:pPr>
    <w:rPr>
      <w:rFonts w:eastAsia="方正书宋简体"/>
      <w:szCs w:val="20"/>
    </w:rPr>
  </w:style>
  <w:style w:type="paragraph" w:styleId="3">
    <w:name w:val="Body Text Indent"/>
    <w:basedOn w:val="1"/>
    <w:next w:val="4"/>
    <w:qFormat/>
    <w:uiPriority w:val="99"/>
    <w:pPr>
      <w:ind w:firstLine="560" w:firstLineChars="200"/>
    </w:pPr>
    <w:rPr>
      <w:rFonts w:eastAsia="仿宋_GB2312"/>
      <w:sz w:val="28"/>
      <w:szCs w:val="28"/>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rPr>
      <w:rFonts w:ascii="宋体" w:hAnsi="Courier New" w:eastAsia="Times New Roman"/>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nhideWhenUsed/>
    <w:qFormat/>
    <w:uiPriority w:val="99"/>
    <w:rPr>
      <w:sz w:val="21"/>
      <w:szCs w:val="21"/>
    </w:r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2790</Words>
  <Characters>2904</Characters>
  <Lines>0</Lines>
  <Paragraphs>0</Paragraphs>
  <TotalTime>0</TotalTime>
  <ScaleCrop>false</ScaleCrop>
  <LinksUpToDate>false</LinksUpToDate>
  <CharactersWithSpaces>3099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2024-06-07T02:52:00Z</dcterms:created>
  <dc:creator>…KING</dc:creator>
  <cp:lastModifiedBy>长缨</cp:lastModifiedBy>
  <dcterms:modified xsi:type="dcterms:W3CDTF">2024-06-07T06:53:04Z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58F090DD35E144B9A7E2972D6272369D_11</vt:lpwstr>
  </property>
</Properties>
</file>