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60" w:lineRule="auto"/>
        <w:jc w:val="left"/>
        <w:rPr>
          <w:rFonts w:hint="eastAsia" w:ascii="仿宋" w:hAnsi="仿宋" w:eastAsia="仿宋" w:cs="仿宋"/>
          <w:color w:val="auto"/>
          <w:sz w:val="24"/>
          <w:szCs w:val="24"/>
          <w:highlight w:val="none"/>
        </w:rPr>
      </w:pPr>
      <w:bookmarkStart w:id="0" w:name="_GoBack"/>
      <w:r>
        <w:rPr>
          <w:rFonts w:hint="eastAsia" w:ascii="仿宋" w:hAnsi="仿宋" w:eastAsia="仿宋" w:cs="仿宋"/>
          <w:color w:val="auto"/>
          <w:sz w:val="24"/>
          <w:szCs w:val="24"/>
          <w:highlight w:val="none"/>
        </w:rPr>
        <w:t>附</w:t>
      </w:r>
      <w:r>
        <w:rPr>
          <w:rFonts w:hint="eastAsia" w:ascii="仿宋" w:hAnsi="仿宋" w:eastAsia="仿宋" w:cs="仿宋"/>
          <w:color w:val="auto"/>
          <w:sz w:val="24"/>
          <w:szCs w:val="24"/>
          <w:highlight w:val="none"/>
          <w:lang w:val="en-US" w:eastAsia="zh-CN"/>
        </w:rPr>
        <w:t>件</w:t>
      </w:r>
      <w:r>
        <w:rPr>
          <w:rFonts w:hint="eastAsia" w:ascii="仿宋" w:hAnsi="仿宋" w:eastAsia="仿宋" w:cs="仿宋"/>
          <w:color w:val="auto"/>
          <w:sz w:val="24"/>
          <w:szCs w:val="24"/>
          <w:highlight w:val="none"/>
        </w:rPr>
        <w:t>一</w:t>
      </w:r>
    </w:p>
    <w:p>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资格性和符合性审查表</w:t>
      </w:r>
    </w:p>
    <w:bookmarkEnd w:id="0"/>
    <w:p>
      <w:pPr>
        <w:pStyle w:val="8"/>
        <w:rPr>
          <w:rFonts w:hint="eastAsia" w:ascii="仿宋" w:hAnsi="仿宋" w:eastAsia="仿宋" w:cs="仿宋"/>
          <w:color w:val="auto"/>
          <w:highlight w:val="none"/>
        </w:rPr>
      </w:pPr>
    </w:p>
    <w:p>
      <w:pPr>
        <w:ind w:right="-199" w:rightChars="-95"/>
        <w:jc w:val="left"/>
        <w:rPr>
          <w:rFonts w:hint="eastAsia" w:ascii="仿宋" w:hAnsi="仿宋" w:eastAsia="仿宋" w:cs="仿宋"/>
          <w:color w:val="auto"/>
          <w:sz w:val="28"/>
          <w:szCs w:val="28"/>
          <w:highlight w:val="none"/>
          <w:lang w:eastAsia="zh-CN"/>
        </w:rPr>
      </w:pPr>
      <w:r>
        <w:rPr>
          <w:rFonts w:hint="eastAsia" w:ascii="仿宋" w:hAnsi="仿宋" w:eastAsia="仿宋" w:cs="仿宋"/>
          <w:color w:val="auto"/>
          <w:szCs w:val="21"/>
          <w:highlight w:val="none"/>
        </w:rPr>
        <w:t>项目名称：</w:t>
      </w:r>
      <w:r>
        <w:rPr>
          <w:rFonts w:hint="eastAsia" w:ascii="仿宋" w:hAnsi="仿宋" w:eastAsia="仿宋" w:cs="仿宋"/>
          <w:color w:val="auto"/>
          <w:sz w:val="21"/>
          <w:szCs w:val="21"/>
          <w:highlight w:val="none"/>
          <w:shd w:val="clear" w:color="auto" w:fill="auto"/>
          <w:lang w:val="en-US" w:eastAsia="zh-CN"/>
        </w:rPr>
        <w:t>花地</w:t>
      </w:r>
      <w:r>
        <w:rPr>
          <w:rFonts w:hint="eastAsia" w:ascii="仿宋" w:hAnsi="仿宋" w:eastAsia="仿宋" w:cs="仿宋"/>
          <w:color w:val="auto"/>
          <w:sz w:val="21"/>
          <w:szCs w:val="21"/>
          <w:highlight w:val="none"/>
          <w:lang w:eastAsia="zh-CN"/>
        </w:rPr>
        <w:t>街</w:t>
      </w:r>
      <w:r>
        <w:rPr>
          <w:rFonts w:hint="eastAsia" w:ascii="仿宋" w:hAnsi="仿宋" w:eastAsia="仿宋" w:cs="仿宋"/>
          <w:color w:val="auto"/>
          <w:sz w:val="21"/>
          <w:szCs w:val="21"/>
          <w:highlight w:val="none"/>
          <w:lang w:val="en-US" w:eastAsia="zh-CN"/>
        </w:rPr>
        <w:t>中市社</w:t>
      </w:r>
      <w:r>
        <w:rPr>
          <w:rFonts w:hint="eastAsia" w:ascii="仿宋" w:hAnsi="仿宋" w:eastAsia="仿宋" w:cs="仿宋"/>
          <w:color w:val="auto"/>
          <w:sz w:val="21"/>
          <w:szCs w:val="21"/>
          <w:highlight w:val="none"/>
          <w:lang w:eastAsia="zh-CN"/>
        </w:rPr>
        <w:t>区微改造项目</w:t>
      </w:r>
      <w:r>
        <w:rPr>
          <w:rFonts w:hint="eastAsia" w:ascii="仿宋" w:hAnsi="仿宋" w:eastAsia="仿宋" w:cs="仿宋"/>
          <w:color w:val="auto"/>
          <w:sz w:val="21"/>
          <w:szCs w:val="21"/>
          <w:highlight w:val="none"/>
          <w:u w:val="none"/>
          <w:lang w:eastAsia="zh-CN"/>
        </w:rPr>
        <w:t>、</w:t>
      </w:r>
      <w:r>
        <w:rPr>
          <w:rFonts w:hint="eastAsia" w:ascii="仿宋" w:hAnsi="仿宋" w:eastAsia="仿宋" w:cs="仿宋"/>
          <w:color w:val="auto"/>
          <w:sz w:val="21"/>
          <w:szCs w:val="21"/>
          <w:highlight w:val="none"/>
          <w:shd w:val="clear" w:color="auto" w:fill="auto"/>
          <w:lang w:val="en-US" w:eastAsia="zh-CN"/>
        </w:rPr>
        <w:t>花地</w:t>
      </w:r>
      <w:r>
        <w:rPr>
          <w:rFonts w:hint="eastAsia" w:ascii="仿宋" w:hAnsi="仿宋" w:eastAsia="仿宋" w:cs="仿宋"/>
          <w:color w:val="auto"/>
          <w:sz w:val="21"/>
          <w:szCs w:val="21"/>
          <w:highlight w:val="none"/>
          <w:lang w:eastAsia="zh-CN"/>
        </w:rPr>
        <w:t>街</w:t>
      </w:r>
      <w:r>
        <w:rPr>
          <w:rFonts w:hint="eastAsia" w:ascii="仿宋" w:hAnsi="仿宋" w:eastAsia="仿宋" w:cs="仿宋"/>
          <w:color w:val="auto"/>
          <w:sz w:val="21"/>
          <w:szCs w:val="21"/>
          <w:highlight w:val="none"/>
          <w:u w:val="none"/>
        </w:rPr>
        <w:t>民治社区</w:t>
      </w:r>
      <w:r>
        <w:rPr>
          <w:rFonts w:hint="eastAsia" w:ascii="仿宋" w:hAnsi="仿宋" w:eastAsia="仿宋" w:cs="仿宋"/>
          <w:color w:val="auto"/>
          <w:sz w:val="21"/>
          <w:szCs w:val="21"/>
          <w:highlight w:val="none"/>
          <w:lang w:eastAsia="zh-CN"/>
        </w:rPr>
        <w:t>微改造项目</w:t>
      </w:r>
      <w:r>
        <w:rPr>
          <w:rFonts w:hint="eastAsia" w:ascii="仿宋" w:hAnsi="仿宋" w:eastAsia="仿宋" w:cs="仿宋"/>
          <w:color w:val="auto"/>
          <w:szCs w:val="21"/>
          <w:highlight w:val="none"/>
          <w:lang w:val="en-US" w:eastAsia="zh-CN"/>
        </w:rPr>
        <w:t>树木保护专章编制</w:t>
      </w:r>
    </w:p>
    <w:tbl>
      <w:tblPr>
        <w:tblStyle w:val="6"/>
        <w:tblW w:w="88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4461"/>
        <w:gridCol w:w="1230"/>
        <w:gridCol w:w="1230"/>
        <w:gridCol w:w="1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7" w:hRule="atLeast"/>
        </w:trPr>
        <w:tc>
          <w:tcPr>
            <w:tcW w:w="768" w:type="dxa"/>
            <w:vAlign w:val="center"/>
          </w:tcPr>
          <w:p>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4461" w:type="dxa"/>
            <w:vAlign w:val="center"/>
          </w:tcPr>
          <w:p>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审查内容</w:t>
            </w:r>
          </w:p>
        </w:tc>
        <w:tc>
          <w:tcPr>
            <w:tcW w:w="1230" w:type="dxa"/>
            <w:vAlign w:val="center"/>
          </w:tcPr>
          <w:p>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报价人1</w:t>
            </w:r>
          </w:p>
        </w:tc>
        <w:tc>
          <w:tcPr>
            <w:tcW w:w="1230" w:type="dxa"/>
            <w:vAlign w:val="center"/>
          </w:tcPr>
          <w:p>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报价人2</w:t>
            </w:r>
          </w:p>
        </w:tc>
        <w:tc>
          <w:tcPr>
            <w:tcW w:w="1170" w:type="dxa"/>
            <w:vAlign w:val="center"/>
          </w:tcPr>
          <w:p>
            <w:pPr>
              <w:pStyle w:val="3"/>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1" w:hRule="atLeast"/>
        </w:trPr>
        <w:tc>
          <w:tcPr>
            <w:tcW w:w="768" w:type="dxa"/>
            <w:vAlign w:val="center"/>
          </w:tcPr>
          <w:p>
            <w:pPr>
              <w:pStyle w:val="3"/>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p>
        </w:tc>
        <w:tc>
          <w:tcPr>
            <w:tcW w:w="4461" w:type="dxa"/>
            <w:vAlign w:val="center"/>
          </w:tcPr>
          <w:p>
            <w:pPr>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报价人具有独立法人资格，持有市场监督（工商行政）管理部门核发的法人营业执照或各级登记管理机关颁发的事业单位法人证书，按国家法律经营。</w:t>
            </w:r>
          </w:p>
        </w:tc>
        <w:tc>
          <w:tcPr>
            <w:tcW w:w="1230" w:type="dxa"/>
            <w:vAlign w:val="top"/>
          </w:tcPr>
          <w:p>
            <w:pPr>
              <w:pStyle w:val="3"/>
              <w:jc w:val="center"/>
              <w:rPr>
                <w:rFonts w:hint="eastAsia" w:ascii="仿宋" w:hAnsi="仿宋" w:eastAsia="仿宋" w:cs="仿宋"/>
                <w:color w:val="auto"/>
                <w:sz w:val="24"/>
                <w:szCs w:val="24"/>
                <w:highlight w:val="none"/>
              </w:rPr>
            </w:pPr>
          </w:p>
        </w:tc>
        <w:tc>
          <w:tcPr>
            <w:tcW w:w="1230" w:type="dxa"/>
            <w:vAlign w:val="top"/>
          </w:tcPr>
          <w:p>
            <w:pPr>
              <w:pStyle w:val="3"/>
              <w:jc w:val="center"/>
              <w:rPr>
                <w:rFonts w:hint="eastAsia" w:ascii="仿宋" w:hAnsi="仿宋" w:eastAsia="仿宋" w:cs="仿宋"/>
                <w:color w:val="auto"/>
                <w:sz w:val="24"/>
                <w:szCs w:val="24"/>
                <w:highlight w:val="none"/>
              </w:rPr>
            </w:pPr>
          </w:p>
        </w:tc>
        <w:tc>
          <w:tcPr>
            <w:tcW w:w="1170" w:type="dxa"/>
            <w:vAlign w:val="top"/>
          </w:tcPr>
          <w:p>
            <w:pPr>
              <w:pStyle w:val="3"/>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2" w:hRule="atLeast"/>
        </w:trPr>
        <w:tc>
          <w:tcPr>
            <w:tcW w:w="768" w:type="dxa"/>
            <w:vAlign w:val="center"/>
          </w:tcPr>
          <w:p>
            <w:pPr>
              <w:pStyle w:val="3"/>
              <w:spacing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p>
        </w:tc>
        <w:tc>
          <w:tcPr>
            <w:tcW w:w="4461" w:type="dxa"/>
            <w:vAlign w:val="center"/>
          </w:tcPr>
          <w:p>
            <w:pPr>
              <w:pStyle w:val="8"/>
              <w:jc w:val="left"/>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szCs w:val="21"/>
                <w:highlight w:val="none"/>
              </w:rPr>
              <w:t>项目负责人具有</w:t>
            </w:r>
            <w:r>
              <w:rPr>
                <w:rFonts w:hint="eastAsia" w:ascii="仿宋" w:hAnsi="仿宋" w:eastAsia="仿宋" w:cs="仿宋"/>
                <w:color w:val="auto"/>
                <w:szCs w:val="21"/>
                <w:highlight w:val="none"/>
                <w:lang w:eastAsia="zh-CN"/>
              </w:rPr>
              <w:t>工程类</w:t>
            </w:r>
            <w:r>
              <w:rPr>
                <w:rFonts w:hint="eastAsia" w:ascii="仿宋" w:hAnsi="仿宋" w:eastAsia="仿宋" w:cs="仿宋"/>
                <w:color w:val="auto"/>
                <w:szCs w:val="21"/>
                <w:highlight w:val="none"/>
              </w:rPr>
              <w:t>高级工程师（或以上）职称及本单位近1个月的社保证明</w:t>
            </w:r>
            <w:r>
              <w:rPr>
                <w:rFonts w:hint="eastAsia" w:ascii="仿宋" w:hAnsi="仿宋" w:eastAsia="仿宋" w:cs="仿宋"/>
                <w:color w:val="auto"/>
                <w:szCs w:val="21"/>
                <w:highlight w:val="none"/>
                <w:lang w:eastAsia="zh-CN"/>
              </w:rPr>
              <w:t>（</w:t>
            </w:r>
            <w:r>
              <w:rPr>
                <w:rFonts w:hint="eastAsia" w:ascii="仿宋" w:hAnsi="仿宋" w:eastAsia="仿宋" w:cs="仿宋"/>
                <w:color w:val="auto"/>
                <w:sz w:val="24"/>
                <w:szCs w:val="24"/>
                <w:highlight w:val="none"/>
              </w:rPr>
              <w:t>如为退休返聘人员，需要提供退休返聘合同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Cs w:val="21"/>
                <w:highlight w:val="none"/>
              </w:rPr>
              <w:t>。</w:t>
            </w:r>
          </w:p>
        </w:tc>
        <w:tc>
          <w:tcPr>
            <w:tcW w:w="1230" w:type="dxa"/>
            <w:vAlign w:val="top"/>
          </w:tcPr>
          <w:p>
            <w:pPr>
              <w:pStyle w:val="3"/>
              <w:jc w:val="center"/>
              <w:rPr>
                <w:rFonts w:hint="eastAsia" w:ascii="仿宋" w:hAnsi="仿宋" w:eastAsia="仿宋" w:cs="仿宋"/>
                <w:color w:val="auto"/>
                <w:sz w:val="24"/>
                <w:szCs w:val="24"/>
                <w:highlight w:val="none"/>
              </w:rPr>
            </w:pPr>
          </w:p>
        </w:tc>
        <w:tc>
          <w:tcPr>
            <w:tcW w:w="1230" w:type="dxa"/>
            <w:vAlign w:val="top"/>
          </w:tcPr>
          <w:p>
            <w:pPr>
              <w:pStyle w:val="3"/>
              <w:jc w:val="center"/>
              <w:rPr>
                <w:rFonts w:hint="eastAsia" w:ascii="仿宋" w:hAnsi="仿宋" w:eastAsia="仿宋" w:cs="仿宋"/>
                <w:color w:val="auto"/>
                <w:sz w:val="24"/>
                <w:szCs w:val="24"/>
                <w:highlight w:val="none"/>
              </w:rPr>
            </w:pPr>
          </w:p>
        </w:tc>
        <w:tc>
          <w:tcPr>
            <w:tcW w:w="1170" w:type="dxa"/>
            <w:vAlign w:val="top"/>
          </w:tcPr>
          <w:p>
            <w:pPr>
              <w:pStyle w:val="3"/>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768" w:type="dxa"/>
            <w:vAlign w:val="center"/>
          </w:tcPr>
          <w:p>
            <w:pPr>
              <w:pStyle w:val="3"/>
              <w:spacing w:line="360" w:lineRule="auto"/>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lang w:val="en-US" w:eastAsia="zh-CN"/>
              </w:rPr>
              <w:t>3</w:t>
            </w:r>
          </w:p>
        </w:tc>
        <w:tc>
          <w:tcPr>
            <w:tcW w:w="4461" w:type="dxa"/>
            <w:vAlign w:val="center"/>
          </w:tcPr>
          <w:p>
            <w:pPr>
              <w:spacing w:line="240" w:lineRule="auto"/>
              <w:ind w:firstLine="0" w:firstLineChars="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报价人</w:t>
            </w:r>
            <w:r>
              <w:rPr>
                <w:rFonts w:hint="eastAsia" w:ascii="仿宋" w:hAnsi="仿宋" w:eastAsia="仿宋" w:cs="仿宋"/>
                <w:color w:val="auto"/>
                <w:sz w:val="21"/>
                <w:szCs w:val="21"/>
                <w:highlight w:val="none"/>
              </w:rPr>
              <w:t>配备有生态、林业、园林、园艺、植保等绿化相关专业高级以上专业技术职称人员</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人（或以上）及其在本单位近1个月的社保证明</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4"/>
                <w:szCs w:val="24"/>
                <w:highlight w:val="none"/>
              </w:rPr>
              <w:t>如为退休返聘人员，需要提供退休返聘合同</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1"/>
                <w:szCs w:val="21"/>
                <w:highlight w:val="none"/>
                <w:lang w:val="en-US" w:eastAsia="zh-CN"/>
              </w:rPr>
              <w:t>。</w:t>
            </w:r>
          </w:p>
        </w:tc>
        <w:tc>
          <w:tcPr>
            <w:tcW w:w="1230" w:type="dxa"/>
            <w:vAlign w:val="top"/>
          </w:tcPr>
          <w:p>
            <w:pPr>
              <w:pStyle w:val="3"/>
              <w:jc w:val="center"/>
              <w:rPr>
                <w:rFonts w:hint="eastAsia" w:ascii="仿宋" w:hAnsi="仿宋" w:eastAsia="仿宋" w:cs="仿宋"/>
                <w:color w:val="auto"/>
                <w:sz w:val="24"/>
                <w:szCs w:val="24"/>
                <w:highlight w:val="none"/>
              </w:rPr>
            </w:pPr>
          </w:p>
        </w:tc>
        <w:tc>
          <w:tcPr>
            <w:tcW w:w="1230" w:type="dxa"/>
            <w:vAlign w:val="top"/>
          </w:tcPr>
          <w:p>
            <w:pPr>
              <w:pStyle w:val="3"/>
              <w:jc w:val="center"/>
              <w:rPr>
                <w:rFonts w:hint="eastAsia" w:ascii="仿宋" w:hAnsi="仿宋" w:eastAsia="仿宋" w:cs="仿宋"/>
                <w:color w:val="auto"/>
                <w:sz w:val="24"/>
                <w:szCs w:val="24"/>
                <w:highlight w:val="none"/>
              </w:rPr>
            </w:pPr>
          </w:p>
        </w:tc>
        <w:tc>
          <w:tcPr>
            <w:tcW w:w="1170" w:type="dxa"/>
            <w:vAlign w:val="top"/>
          </w:tcPr>
          <w:p>
            <w:pPr>
              <w:pStyle w:val="3"/>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trPr>
        <w:tc>
          <w:tcPr>
            <w:tcW w:w="768" w:type="dxa"/>
            <w:vAlign w:val="center"/>
          </w:tcPr>
          <w:p>
            <w:pPr>
              <w:pStyle w:val="3"/>
              <w:spacing w:line="360" w:lineRule="auto"/>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lang w:val="en-US" w:eastAsia="zh-CN"/>
              </w:rPr>
              <w:t>4</w:t>
            </w:r>
          </w:p>
        </w:tc>
        <w:tc>
          <w:tcPr>
            <w:tcW w:w="4461" w:type="dxa"/>
            <w:vAlign w:val="center"/>
          </w:tcPr>
          <w:p>
            <w:pPr>
              <w:pStyle w:val="3"/>
              <w:jc w:val="left"/>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rPr>
              <w:t>本项目不接受联合体报价。</w:t>
            </w:r>
          </w:p>
        </w:tc>
        <w:tc>
          <w:tcPr>
            <w:tcW w:w="1230" w:type="dxa"/>
            <w:vAlign w:val="top"/>
          </w:tcPr>
          <w:p>
            <w:pPr>
              <w:pStyle w:val="3"/>
              <w:jc w:val="center"/>
              <w:rPr>
                <w:rFonts w:hint="eastAsia" w:ascii="仿宋" w:hAnsi="仿宋" w:eastAsia="仿宋" w:cs="仿宋"/>
                <w:color w:val="auto"/>
                <w:sz w:val="24"/>
                <w:szCs w:val="24"/>
                <w:highlight w:val="none"/>
              </w:rPr>
            </w:pPr>
          </w:p>
        </w:tc>
        <w:tc>
          <w:tcPr>
            <w:tcW w:w="1230" w:type="dxa"/>
            <w:vAlign w:val="top"/>
          </w:tcPr>
          <w:p>
            <w:pPr>
              <w:pStyle w:val="3"/>
              <w:jc w:val="center"/>
              <w:rPr>
                <w:rFonts w:hint="eastAsia" w:ascii="仿宋" w:hAnsi="仿宋" w:eastAsia="仿宋" w:cs="仿宋"/>
                <w:color w:val="auto"/>
                <w:sz w:val="24"/>
                <w:szCs w:val="24"/>
                <w:highlight w:val="none"/>
              </w:rPr>
            </w:pPr>
          </w:p>
        </w:tc>
        <w:tc>
          <w:tcPr>
            <w:tcW w:w="1170" w:type="dxa"/>
            <w:vAlign w:val="top"/>
          </w:tcPr>
          <w:p>
            <w:pPr>
              <w:pStyle w:val="3"/>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4" w:hRule="atLeast"/>
        </w:trPr>
        <w:tc>
          <w:tcPr>
            <w:tcW w:w="768" w:type="dxa"/>
            <w:vAlign w:val="center"/>
          </w:tcPr>
          <w:p>
            <w:pPr>
              <w:pStyle w:val="3"/>
              <w:spacing w:line="360" w:lineRule="auto"/>
              <w:jc w:val="center"/>
              <w:rPr>
                <w:rFonts w:hint="eastAsia" w:ascii="仿宋" w:hAnsi="仿宋" w:eastAsia="仿宋" w:cs="仿宋"/>
                <w:color w:val="auto"/>
                <w:kern w:val="2"/>
                <w:sz w:val="21"/>
                <w:szCs w:val="21"/>
                <w:highlight w:val="none"/>
                <w:shd w:val="clear" w:color="auto" w:fill="FFFFFF"/>
                <w:lang w:val="en-US" w:eastAsia="zh-CN" w:bidi="ar-SA"/>
              </w:rPr>
            </w:pPr>
            <w:r>
              <w:rPr>
                <w:rFonts w:hint="eastAsia" w:ascii="仿宋" w:hAnsi="仿宋" w:eastAsia="仿宋" w:cs="仿宋"/>
                <w:color w:val="auto"/>
                <w:szCs w:val="21"/>
                <w:highlight w:val="none"/>
                <w:shd w:val="clear" w:color="auto" w:fill="FFFFFF"/>
                <w:lang w:val="en-US" w:eastAsia="zh-CN"/>
              </w:rPr>
              <w:t>5</w:t>
            </w:r>
          </w:p>
        </w:tc>
        <w:tc>
          <w:tcPr>
            <w:tcW w:w="4461" w:type="dxa"/>
            <w:vAlign w:val="center"/>
          </w:tcPr>
          <w:p>
            <w:pPr>
              <w:pStyle w:val="3"/>
              <w:jc w:val="left"/>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Cs w:val="21"/>
                <w:highlight w:val="none"/>
              </w:rPr>
              <w:t>报价总金额是固定价且是唯一的，未超过本项目最高报价限价，有效报价下浮率为0-</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0%。</w:t>
            </w:r>
          </w:p>
        </w:tc>
        <w:tc>
          <w:tcPr>
            <w:tcW w:w="1230" w:type="dxa"/>
            <w:vAlign w:val="top"/>
          </w:tcPr>
          <w:p>
            <w:pPr>
              <w:pStyle w:val="3"/>
              <w:jc w:val="center"/>
              <w:rPr>
                <w:rFonts w:hint="eastAsia" w:ascii="仿宋" w:hAnsi="仿宋" w:eastAsia="仿宋" w:cs="仿宋"/>
                <w:color w:val="auto"/>
                <w:sz w:val="24"/>
                <w:szCs w:val="24"/>
                <w:highlight w:val="none"/>
              </w:rPr>
            </w:pPr>
          </w:p>
        </w:tc>
        <w:tc>
          <w:tcPr>
            <w:tcW w:w="1230" w:type="dxa"/>
            <w:vAlign w:val="top"/>
          </w:tcPr>
          <w:p>
            <w:pPr>
              <w:pStyle w:val="3"/>
              <w:jc w:val="center"/>
              <w:rPr>
                <w:rFonts w:hint="eastAsia" w:ascii="仿宋" w:hAnsi="仿宋" w:eastAsia="仿宋" w:cs="仿宋"/>
                <w:color w:val="auto"/>
                <w:sz w:val="24"/>
                <w:szCs w:val="24"/>
                <w:highlight w:val="none"/>
              </w:rPr>
            </w:pPr>
          </w:p>
        </w:tc>
        <w:tc>
          <w:tcPr>
            <w:tcW w:w="1170" w:type="dxa"/>
            <w:vAlign w:val="top"/>
          </w:tcPr>
          <w:p>
            <w:pPr>
              <w:pStyle w:val="3"/>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768" w:type="dxa"/>
            <w:vAlign w:val="center"/>
          </w:tcPr>
          <w:p>
            <w:pPr>
              <w:pStyle w:val="3"/>
              <w:spacing w:line="360" w:lineRule="auto"/>
              <w:jc w:val="center"/>
              <w:rPr>
                <w:rFonts w:hint="eastAsia" w:ascii="仿宋" w:hAnsi="仿宋" w:eastAsia="仿宋" w:cs="仿宋"/>
                <w:color w:val="auto"/>
                <w:szCs w:val="21"/>
                <w:highlight w:val="none"/>
                <w:shd w:val="clear" w:color="auto" w:fill="FFFFFF"/>
                <w:lang w:val="en-US" w:eastAsia="zh-CN"/>
              </w:rPr>
            </w:pPr>
            <w:r>
              <w:rPr>
                <w:rFonts w:hint="eastAsia" w:ascii="仿宋" w:hAnsi="仿宋" w:eastAsia="仿宋" w:cs="仿宋"/>
                <w:color w:val="auto"/>
                <w:szCs w:val="21"/>
                <w:highlight w:val="none"/>
                <w:shd w:val="clear" w:color="auto" w:fill="FFFFFF"/>
                <w:lang w:val="en-US" w:eastAsia="zh-CN"/>
              </w:rPr>
              <w:t>6</w:t>
            </w:r>
          </w:p>
        </w:tc>
        <w:tc>
          <w:tcPr>
            <w:tcW w:w="4461" w:type="dxa"/>
            <w:vAlign w:val="center"/>
          </w:tcPr>
          <w:p>
            <w:pPr>
              <w:pStyle w:val="3"/>
              <w:jc w:val="left"/>
              <w:rPr>
                <w:rFonts w:hint="eastAsia" w:ascii="仿宋" w:hAnsi="仿宋" w:eastAsia="仿宋" w:cs="仿宋"/>
                <w:color w:val="auto"/>
                <w:kern w:val="2"/>
                <w:sz w:val="21"/>
                <w:szCs w:val="21"/>
                <w:highlight w:val="none"/>
                <w:shd w:val="clear" w:color="auto" w:fill="FFFFFF"/>
                <w:lang w:val="en-US" w:eastAsia="zh-CN" w:bidi="ar-SA"/>
              </w:rPr>
            </w:pPr>
            <w:r>
              <w:rPr>
                <w:rFonts w:hint="eastAsia" w:ascii="仿宋" w:hAnsi="仿宋" w:eastAsia="仿宋" w:cs="仿宋"/>
                <w:color w:val="auto"/>
                <w:szCs w:val="21"/>
                <w:highlight w:val="none"/>
              </w:rPr>
              <w:t>报价文件按询比文件的要求编制、签署及盖章。</w:t>
            </w:r>
          </w:p>
        </w:tc>
        <w:tc>
          <w:tcPr>
            <w:tcW w:w="1230" w:type="dxa"/>
            <w:vAlign w:val="top"/>
          </w:tcPr>
          <w:p>
            <w:pPr>
              <w:pStyle w:val="3"/>
              <w:jc w:val="center"/>
              <w:rPr>
                <w:rFonts w:hint="eastAsia" w:ascii="仿宋" w:hAnsi="仿宋" w:eastAsia="仿宋" w:cs="仿宋"/>
                <w:color w:val="auto"/>
                <w:sz w:val="24"/>
                <w:szCs w:val="24"/>
                <w:highlight w:val="none"/>
              </w:rPr>
            </w:pPr>
          </w:p>
        </w:tc>
        <w:tc>
          <w:tcPr>
            <w:tcW w:w="1230" w:type="dxa"/>
            <w:vAlign w:val="top"/>
          </w:tcPr>
          <w:p>
            <w:pPr>
              <w:pStyle w:val="3"/>
              <w:jc w:val="center"/>
              <w:rPr>
                <w:rFonts w:hint="eastAsia" w:ascii="仿宋" w:hAnsi="仿宋" w:eastAsia="仿宋" w:cs="仿宋"/>
                <w:color w:val="auto"/>
                <w:sz w:val="24"/>
                <w:szCs w:val="24"/>
                <w:highlight w:val="none"/>
              </w:rPr>
            </w:pPr>
          </w:p>
        </w:tc>
        <w:tc>
          <w:tcPr>
            <w:tcW w:w="1170" w:type="dxa"/>
            <w:vAlign w:val="top"/>
          </w:tcPr>
          <w:p>
            <w:pPr>
              <w:pStyle w:val="3"/>
              <w:jc w:val="center"/>
              <w:rPr>
                <w:rFonts w:hint="eastAsia" w:ascii="仿宋" w:hAnsi="仿宋" w:eastAsia="仿宋" w:cs="仿宋"/>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5229" w:type="dxa"/>
            <w:gridSpan w:val="2"/>
            <w:vAlign w:val="top"/>
          </w:tcPr>
          <w:p>
            <w:pPr>
              <w:pStyle w:val="3"/>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结论</w:t>
            </w:r>
          </w:p>
        </w:tc>
        <w:tc>
          <w:tcPr>
            <w:tcW w:w="1230" w:type="dxa"/>
            <w:vAlign w:val="top"/>
          </w:tcPr>
          <w:p>
            <w:pPr>
              <w:pStyle w:val="3"/>
              <w:spacing w:line="360" w:lineRule="auto"/>
              <w:jc w:val="center"/>
              <w:rPr>
                <w:rFonts w:hint="eastAsia" w:ascii="仿宋" w:hAnsi="仿宋" w:eastAsia="仿宋" w:cs="仿宋"/>
                <w:color w:val="auto"/>
                <w:sz w:val="24"/>
                <w:szCs w:val="24"/>
                <w:highlight w:val="none"/>
              </w:rPr>
            </w:pPr>
          </w:p>
        </w:tc>
        <w:tc>
          <w:tcPr>
            <w:tcW w:w="1230" w:type="dxa"/>
            <w:vAlign w:val="top"/>
          </w:tcPr>
          <w:p>
            <w:pPr>
              <w:pStyle w:val="3"/>
              <w:spacing w:line="360" w:lineRule="auto"/>
              <w:jc w:val="center"/>
              <w:rPr>
                <w:rFonts w:hint="eastAsia" w:ascii="仿宋" w:hAnsi="仿宋" w:eastAsia="仿宋" w:cs="仿宋"/>
                <w:color w:val="auto"/>
                <w:sz w:val="24"/>
                <w:szCs w:val="24"/>
                <w:highlight w:val="none"/>
              </w:rPr>
            </w:pPr>
          </w:p>
        </w:tc>
        <w:tc>
          <w:tcPr>
            <w:tcW w:w="1170" w:type="dxa"/>
            <w:vAlign w:val="top"/>
          </w:tcPr>
          <w:p>
            <w:pPr>
              <w:pStyle w:val="3"/>
              <w:spacing w:line="360" w:lineRule="auto"/>
              <w:jc w:val="center"/>
              <w:rPr>
                <w:rFonts w:hint="eastAsia" w:ascii="仿宋" w:hAnsi="仿宋" w:eastAsia="仿宋" w:cs="仿宋"/>
                <w:color w:val="auto"/>
                <w:sz w:val="24"/>
                <w:szCs w:val="24"/>
                <w:highlight w:val="none"/>
              </w:rPr>
            </w:pPr>
          </w:p>
        </w:tc>
      </w:tr>
    </w:tbl>
    <w:p>
      <w:pPr>
        <w:pStyle w:val="3"/>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注：1. 每一项符合的打“○”，不符合的打“×”。</w:t>
      </w:r>
    </w:p>
    <w:p>
      <w:pPr>
        <w:pStyle w:val="3"/>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2. “结论”一栏填写“通过”或“不通过”；任何一项出现“×”的，结论为不通过；不通过的为无效报价。</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简体">
    <w:altName w:val="宋体"/>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2</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zMTExNmNhMTE1MmFhNTc1NTk5ZGEwOGZmZDAxOGUifQ=="/>
  </w:docVars>
  <w:rsids>
    <w:rsidRoot w:val="1DE64292"/>
    <w:rsid w:val="1DE64292"/>
    <w:rsid w:val="29FC6970"/>
    <w:rsid w:val="76A40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首行缩进"/>
    <w:basedOn w:val="1"/>
    <w:qFormat/>
    <w:uiPriority w:val="0"/>
    <w:pPr>
      <w:spacing w:line="300" w:lineRule="auto"/>
      <w:ind w:firstLine="420" w:firstLineChars="200"/>
    </w:pPr>
    <w:rPr>
      <w:rFonts w:eastAsia="方正书宋简体"/>
      <w:szCs w:val="20"/>
    </w:rPr>
  </w:style>
  <w:style w:type="paragraph" w:styleId="3">
    <w:name w:val="Plain Text"/>
    <w:basedOn w:val="1"/>
    <w:qFormat/>
    <w:uiPriority w:val="0"/>
    <w:rPr>
      <w:rFonts w:ascii="宋体" w:hAnsi="Courier New" w:eastAsia="Times New Roman"/>
      <w:szCs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
    <w:name w:val="_Style 3"/>
    <w:qFormat/>
    <w:uiPriority w:val="1"/>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2024-07-03T08:13:00Z</dcterms:created>
  <dc:creator>…KING</dc:creator>
  <cp:lastModifiedBy>…KING</cp:lastModifiedBy>
  <dcterms:modified xsi:type="dcterms:W3CDTF">2024-07-03T08:14:05Z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DF3409D40E3C494CAA0201BF316D0A53_13</vt:lpwstr>
  </property>
</Properties>
</file>