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auto"/>
          <w:sz w:val="44"/>
          <w:szCs w:val="44"/>
          <w:u w:val="single"/>
        </w:rPr>
      </w:pPr>
    </w:p>
    <w:p>
      <w:pPr>
        <w:jc w:val="center"/>
        <w:rPr>
          <w:rFonts w:hint="eastAsia" w:asciiTheme="minorEastAsia" w:hAnsiTheme="minorEastAsia" w:cstheme="minorEastAsia"/>
          <w:b/>
          <w:bCs/>
          <w:color w:val="auto"/>
          <w:sz w:val="44"/>
          <w:szCs w:val="44"/>
          <w:u w:val="single"/>
        </w:rPr>
      </w:pPr>
      <w:r>
        <w:rPr>
          <w:rFonts w:hint="eastAsia" w:asciiTheme="minorEastAsia" w:hAnsiTheme="minorEastAsia" w:cstheme="minorEastAsia"/>
          <w:b/>
          <w:bCs/>
          <w:color w:val="auto"/>
          <w:sz w:val="44"/>
          <w:szCs w:val="44"/>
          <w:u w:val="single"/>
        </w:rPr>
        <w:t>金花街林苑片区微改造（林苑、世纪社区）</w:t>
      </w:r>
    </w:p>
    <w:p>
      <w:pPr>
        <w:jc w:val="center"/>
        <w:rPr>
          <w:rFonts w:asciiTheme="minorEastAsia" w:hAnsiTheme="minorEastAsia" w:cstheme="minorEastAsia"/>
          <w:b/>
          <w:bCs/>
          <w:color w:val="auto"/>
          <w:sz w:val="32"/>
          <w:szCs w:val="32"/>
          <w:u w:val="single"/>
        </w:rPr>
      </w:pPr>
      <w:r>
        <w:rPr>
          <w:rFonts w:hint="eastAsia" w:asciiTheme="minorEastAsia" w:hAnsiTheme="minorEastAsia" w:cstheme="minorEastAsia"/>
          <w:b/>
          <w:bCs/>
          <w:color w:val="auto"/>
          <w:sz w:val="44"/>
          <w:szCs w:val="44"/>
          <w:u w:val="single"/>
        </w:rPr>
        <w:t>实施方案编制</w:t>
      </w: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jc w:val="center"/>
        <w:rPr>
          <w:rFonts w:asciiTheme="minorEastAsia" w:hAnsiTheme="minorEastAsia" w:cstheme="minorEastAsia"/>
          <w:b/>
          <w:bCs/>
          <w:color w:val="auto"/>
          <w:sz w:val="52"/>
          <w:szCs w:val="52"/>
        </w:rPr>
      </w:pPr>
      <w:r>
        <w:rPr>
          <w:rFonts w:hint="eastAsia" w:asciiTheme="minorEastAsia" w:hAnsiTheme="minorEastAsia" w:cstheme="minorEastAsia"/>
          <w:b/>
          <w:bCs/>
          <w:color w:val="auto"/>
          <w:sz w:val="52"/>
          <w:szCs w:val="52"/>
          <w:lang w:val="en-US" w:eastAsia="zh-CN"/>
        </w:rPr>
        <w:t>重新</w:t>
      </w:r>
      <w:r>
        <w:rPr>
          <w:rFonts w:hint="eastAsia" w:asciiTheme="minorEastAsia" w:hAnsiTheme="minorEastAsia" w:cstheme="minorEastAsia"/>
          <w:b/>
          <w:bCs/>
          <w:color w:val="auto"/>
          <w:sz w:val="52"/>
          <w:szCs w:val="52"/>
        </w:rPr>
        <w:t>询比文件</w:t>
      </w:r>
    </w:p>
    <w:p>
      <w:pPr>
        <w:rPr>
          <w:rFonts w:asciiTheme="minorEastAsia" w:hAnsiTheme="minorEastAsia" w:cstheme="minorEastAsia"/>
          <w:b/>
          <w:bCs/>
          <w:color w:val="auto"/>
          <w:sz w:val="44"/>
        </w:rPr>
      </w:pPr>
    </w:p>
    <w:p>
      <w:pPr>
        <w:tabs>
          <w:tab w:val="left" w:pos="2592"/>
        </w:tabs>
        <w:rPr>
          <w:rFonts w:asciiTheme="minorEastAsia" w:hAnsiTheme="minorEastAsia" w:cstheme="minorEastAsia"/>
          <w:b/>
          <w:bCs/>
          <w:color w:val="auto"/>
          <w:sz w:val="44"/>
        </w:rPr>
      </w:pPr>
      <w:r>
        <w:rPr>
          <w:rFonts w:hint="eastAsia" w:asciiTheme="minorEastAsia" w:hAnsiTheme="minorEastAsia" w:cstheme="minorEastAsia"/>
          <w:b/>
          <w:bCs/>
          <w:color w:val="auto"/>
          <w:sz w:val="44"/>
        </w:rPr>
        <w:tab/>
      </w: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rPr>
          <w:rFonts w:asciiTheme="minorEastAsia" w:hAnsiTheme="minorEastAsia" w:cstheme="minorEastAsia"/>
          <w:b/>
          <w:bCs/>
          <w:color w:val="auto"/>
          <w:sz w:val="44"/>
        </w:rPr>
      </w:pPr>
    </w:p>
    <w:p>
      <w:pPr>
        <w:jc w:val="center"/>
        <w:rPr>
          <w:rFonts w:asciiTheme="minorEastAsia" w:hAnsiTheme="minorEastAsia" w:cstheme="minorEastAsia"/>
          <w:b/>
          <w:bCs/>
          <w:color w:val="auto"/>
          <w:sz w:val="32"/>
        </w:rPr>
      </w:pPr>
    </w:p>
    <w:p>
      <w:pPr>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rPr>
        <w:t>询比单位：广州市荔湾区</w:t>
      </w:r>
      <w:r>
        <w:rPr>
          <w:rFonts w:hint="eastAsia" w:asciiTheme="minorEastAsia" w:hAnsiTheme="minorEastAsia" w:cstheme="minorEastAsia"/>
          <w:b/>
          <w:bCs/>
          <w:color w:val="auto"/>
          <w:sz w:val="32"/>
          <w:lang w:val="en-US" w:eastAsia="zh-CN"/>
        </w:rPr>
        <w:t>人民政府金花街道办事处</w:t>
      </w:r>
    </w:p>
    <w:p>
      <w:pPr>
        <w:jc w:val="center"/>
        <w:rPr>
          <w:rFonts w:asciiTheme="minorEastAsia" w:hAnsiTheme="minorEastAsia" w:cstheme="minorEastAsia"/>
          <w:b/>
          <w:bCs/>
          <w:color w:val="auto"/>
          <w:sz w:val="44"/>
        </w:rPr>
      </w:pPr>
      <w:r>
        <w:rPr>
          <w:rFonts w:hint="eastAsia" w:asciiTheme="minorEastAsia" w:hAnsiTheme="minorEastAsia" w:cstheme="minorEastAsia"/>
          <w:b/>
          <w:color w:val="auto"/>
          <w:sz w:val="32"/>
          <w:szCs w:val="32"/>
        </w:rPr>
        <w:t>二O二</w:t>
      </w:r>
      <w:r>
        <w:rPr>
          <w:rFonts w:hint="eastAsia" w:asciiTheme="minorEastAsia" w:hAnsiTheme="minorEastAsia" w:cstheme="minorEastAsia"/>
          <w:b/>
          <w:color w:val="auto"/>
          <w:sz w:val="32"/>
          <w:szCs w:val="32"/>
          <w:lang w:val="en-US" w:eastAsia="zh-CN"/>
        </w:rPr>
        <w:t>三</w:t>
      </w:r>
      <w:r>
        <w:rPr>
          <w:rFonts w:hint="eastAsia" w:asciiTheme="minorEastAsia" w:hAnsiTheme="minorEastAsia" w:cstheme="minorEastAsia"/>
          <w:b/>
          <w:color w:val="auto"/>
          <w:sz w:val="32"/>
          <w:szCs w:val="32"/>
        </w:rPr>
        <w:t>年</w:t>
      </w:r>
      <w:r>
        <w:rPr>
          <w:rFonts w:hint="eastAsia" w:asciiTheme="minorEastAsia" w:hAnsiTheme="minorEastAsia" w:cstheme="minorEastAsia"/>
          <w:b/>
          <w:color w:val="auto"/>
          <w:sz w:val="32"/>
          <w:szCs w:val="32"/>
          <w:lang w:val="en-US" w:eastAsia="zh-CN"/>
        </w:rPr>
        <w:t>八</w:t>
      </w:r>
      <w:r>
        <w:rPr>
          <w:rFonts w:hint="eastAsia" w:asciiTheme="minorEastAsia" w:hAnsiTheme="minorEastAsia" w:cstheme="minorEastAsia"/>
          <w:b/>
          <w:color w:val="auto"/>
          <w:sz w:val="32"/>
          <w:szCs w:val="32"/>
        </w:rPr>
        <w:t>月</w:t>
      </w:r>
    </w:p>
    <w:p>
      <w:pPr>
        <w:spacing w:line="360" w:lineRule="auto"/>
        <w:ind w:firstLine="643" w:firstLineChars="200"/>
        <w:jc w:val="center"/>
        <w:textAlignment w:val="top"/>
        <w:rPr>
          <w:rFonts w:asciiTheme="minorEastAsia" w:hAnsiTheme="minorEastAsia" w:cstheme="minorEastAsia"/>
          <w:b/>
          <w:bCs/>
          <w:color w:val="auto"/>
          <w:sz w:val="32"/>
          <w:szCs w:val="32"/>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r>
        <w:rPr>
          <w:rFonts w:hint="eastAsia" w:asciiTheme="minorEastAsia" w:hAnsiTheme="minorEastAsia" w:cstheme="minorEastAsia"/>
          <w:b/>
          <w:bCs/>
          <w:color w:val="auto"/>
          <w:sz w:val="32"/>
          <w:szCs w:val="32"/>
          <w:highlight w:val="none"/>
          <w:shd w:val="clear" w:color="auto" w:fill="FFFFFF"/>
        </w:rPr>
        <w:t>第一章  询比公告</w:t>
      </w:r>
    </w:p>
    <w:p>
      <w:pPr>
        <w:spacing w:line="360" w:lineRule="auto"/>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 xml:space="preserve">    为更好地择优选取</w:t>
      </w:r>
      <w:r>
        <w:rPr>
          <w:rFonts w:hint="eastAsia" w:asciiTheme="minorEastAsia" w:hAnsiTheme="minorEastAsia" w:cstheme="minorEastAsia"/>
          <w:color w:val="auto"/>
          <w:sz w:val="24"/>
          <w:szCs w:val="24"/>
          <w:highlight w:val="none"/>
        </w:rPr>
        <w:t>金花街林苑片区微改造（林苑、世纪社区）实施方案编制服务</w:t>
      </w:r>
      <w:r>
        <w:rPr>
          <w:rFonts w:hint="eastAsia" w:asciiTheme="minorEastAsia" w:hAnsiTheme="minorEastAsia" w:cstheme="minorEastAsia"/>
          <w:color w:val="auto"/>
          <w:sz w:val="24"/>
          <w:szCs w:val="24"/>
          <w:highlight w:val="none"/>
          <w:shd w:val="clear" w:color="auto" w:fill="FFFFFF"/>
        </w:rPr>
        <w:t>单位，</w:t>
      </w:r>
      <w:r>
        <w:rPr>
          <w:rFonts w:hint="eastAsia" w:asciiTheme="minorEastAsia" w:hAnsiTheme="minorEastAsia" w:cstheme="minorEastAsia"/>
          <w:color w:val="auto"/>
          <w:sz w:val="24"/>
          <w:szCs w:val="24"/>
          <w:highlight w:val="none"/>
          <w:shd w:val="clear" w:color="auto" w:fill="FFFFFF"/>
          <w:lang w:val="en-US" w:eastAsia="zh-CN"/>
        </w:rPr>
        <w:t>因第一次组织的公开询比报价人未达到3家，</w:t>
      </w:r>
      <w:r>
        <w:rPr>
          <w:rFonts w:hint="eastAsia" w:asciiTheme="minorEastAsia" w:hAnsiTheme="minorEastAsia" w:cstheme="minorEastAsia"/>
          <w:color w:val="auto"/>
          <w:sz w:val="24"/>
          <w:szCs w:val="24"/>
          <w:highlight w:val="none"/>
          <w:shd w:val="clear" w:color="auto" w:fill="FFFFFF"/>
        </w:rPr>
        <w:t>现广州市荔湾区</w:t>
      </w:r>
      <w:r>
        <w:rPr>
          <w:rFonts w:hint="eastAsia" w:asciiTheme="minorEastAsia" w:hAnsiTheme="minorEastAsia" w:cstheme="minorEastAsia"/>
          <w:color w:val="auto"/>
          <w:sz w:val="24"/>
          <w:szCs w:val="24"/>
          <w:highlight w:val="none"/>
          <w:shd w:val="clear" w:color="auto" w:fill="FFFFFF"/>
          <w:lang w:val="en-US" w:eastAsia="zh-CN"/>
        </w:rPr>
        <w:t>人民政府金花街道办事处重新</w:t>
      </w:r>
      <w:r>
        <w:rPr>
          <w:rFonts w:hint="eastAsia" w:asciiTheme="minorEastAsia" w:hAnsiTheme="minorEastAsia" w:cstheme="minorEastAsia"/>
          <w:color w:val="auto"/>
          <w:sz w:val="24"/>
          <w:szCs w:val="24"/>
          <w:highlight w:val="none"/>
          <w:shd w:val="clear" w:color="auto" w:fill="FFFFFF"/>
        </w:rPr>
        <w:t>进行公开询比，现广州市荔湾区</w:t>
      </w:r>
      <w:r>
        <w:rPr>
          <w:rFonts w:hint="eastAsia" w:asciiTheme="minorEastAsia" w:hAnsiTheme="minorEastAsia" w:cstheme="minorEastAsia"/>
          <w:color w:val="auto"/>
          <w:sz w:val="24"/>
          <w:szCs w:val="24"/>
          <w:highlight w:val="none"/>
          <w:shd w:val="clear" w:color="auto" w:fill="FFFFFF"/>
          <w:lang w:val="en-US" w:eastAsia="zh-CN"/>
        </w:rPr>
        <w:t>人民政府金花街道办事处</w:t>
      </w:r>
      <w:r>
        <w:rPr>
          <w:rFonts w:hint="eastAsia" w:asciiTheme="minorEastAsia" w:hAnsiTheme="minorEastAsia" w:cstheme="minorEastAsia"/>
          <w:color w:val="auto"/>
          <w:sz w:val="24"/>
          <w:szCs w:val="24"/>
          <w:highlight w:val="none"/>
          <w:shd w:val="clear" w:color="auto" w:fill="FFFFFF"/>
        </w:rPr>
        <w:t>进行公开询比，在报名并符合要求的企业内选取一家承办单位，</w:t>
      </w:r>
      <w:bookmarkStart w:id="0" w:name="EBf5670e6d291445918fbaeeb8f3e1df8e"/>
      <w:r>
        <w:rPr>
          <w:rFonts w:hint="eastAsia" w:asciiTheme="minorEastAsia" w:hAnsiTheme="minorEastAsia" w:cstheme="minorEastAsia"/>
          <w:color w:val="auto"/>
          <w:sz w:val="24"/>
          <w:szCs w:val="24"/>
          <w:highlight w:val="none"/>
          <w:shd w:val="clear" w:color="auto" w:fill="FFFFFF"/>
        </w:rPr>
        <w:t>欢迎符合资格条件的意向人报名参加。</w:t>
      </w:r>
      <w:bookmarkEnd w:id="0"/>
    </w:p>
    <w:p>
      <w:pPr>
        <w:spacing w:line="360" w:lineRule="auto"/>
        <w:jc w:val="left"/>
        <w:textAlignment w:val="top"/>
        <w:rPr>
          <w:rFonts w:asciiTheme="minorEastAsia" w:hAnsiTheme="minorEastAsia" w:cstheme="minorEastAsia"/>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一、项目概况</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1.询比单位：广州市荔湾区</w:t>
      </w:r>
      <w:r>
        <w:rPr>
          <w:rFonts w:hint="eastAsia" w:asciiTheme="minorEastAsia" w:hAnsiTheme="minorEastAsia" w:cstheme="minorEastAsia"/>
          <w:color w:val="auto"/>
          <w:sz w:val="24"/>
          <w:szCs w:val="24"/>
          <w:highlight w:val="none"/>
          <w:shd w:val="clear" w:color="auto" w:fill="FFFFFF"/>
          <w:lang w:val="en-US" w:eastAsia="zh-CN"/>
        </w:rPr>
        <w:t>人民政府金花街道办事处</w:t>
      </w:r>
      <w:r>
        <w:rPr>
          <w:rFonts w:hint="eastAsia" w:asciiTheme="minorEastAsia" w:hAnsiTheme="minorEastAsia" w:cstheme="minorEastAsia"/>
          <w:color w:val="auto"/>
          <w:sz w:val="24"/>
          <w:szCs w:val="24"/>
          <w:highlight w:val="none"/>
          <w:shd w:val="clear" w:color="auto" w:fill="FFFFFF"/>
        </w:rPr>
        <w:t>。</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2.建设地点：</w:t>
      </w:r>
      <w:r>
        <w:rPr>
          <w:rFonts w:hint="eastAsia" w:asciiTheme="minorEastAsia" w:hAnsiTheme="minorEastAsia" w:cstheme="minorEastAsia"/>
          <w:color w:val="auto"/>
          <w:sz w:val="24"/>
          <w:szCs w:val="24"/>
          <w:highlight w:val="none"/>
        </w:rPr>
        <w:t>广州市</w:t>
      </w:r>
      <w:r>
        <w:rPr>
          <w:rFonts w:hint="eastAsia" w:asciiTheme="minorEastAsia" w:hAnsiTheme="minorEastAsia" w:cstheme="minorEastAsia"/>
          <w:color w:val="auto"/>
          <w:sz w:val="24"/>
          <w:highlight w:val="none"/>
        </w:rPr>
        <w:t>荔湾区</w:t>
      </w:r>
      <w:r>
        <w:rPr>
          <w:rFonts w:hint="eastAsia" w:asciiTheme="minorEastAsia" w:hAnsiTheme="minorEastAsia" w:cstheme="minorEastAsia"/>
          <w:color w:val="auto"/>
          <w:sz w:val="24"/>
          <w:highlight w:val="none"/>
          <w:lang w:val="en-US" w:eastAsia="zh-CN"/>
        </w:rPr>
        <w:t>金花街道</w:t>
      </w:r>
      <w:r>
        <w:rPr>
          <w:rFonts w:hint="eastAsia" w:asciiTheme="minorEastAsia" w:hAnsiTheme="minorEastAsia" w:cstheme="minorEastAsia"/>
          <w:color w:val="auto"/>
          <w:kern w:val="0"/>
          <w:sz w:val="24"/>
          <w:highlight w:val="none"/>
        </w:rPr>
        <w:t>。</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3.项目概况：项目位于广州市荔湾区</w:t>
      </w:r>
      <w:r>
        <w:rPr>
          <w:rFonts w:hint="eastAsia" w:ascii="宋体" w:hAnsi="宋体" w:eastAsia="宋体" w:cs="宋体"/>
          <w:color w:val="auto"/>
          <w:sz w:val="24"/>
          <w:szCs w:val="24"/>
          <w:highlight w:val="none"/>
          <w:shd w:val="clear" w:color="auto" w:fill="FFFFFF"/>
          <w:lang w:val="en-US" w:eastAsia="zh-CN"/>
        </w:rPr>
        <w:t>金花</w:t>
      </w:r>
      <w:r>
        <w:rPr>
          <w:rFonts w:hint="eastAsia" w:ascii="宋体" w:hAnsi="宋体" w:eastAsia="宋体" w:cs="宋体"/>
          <w:color w:val="auto"/>
          <w:sz w:val="24"/>
          <w:szCs w:val="24"/>
          <w:highlight w:val="none"/>
          <w:shd w:val="clear" w:color="auto" w:fill="FFFFFF"/>
        </w:rPr>
        <w:t>街</w:t>
      </w:r>
      <w:r>
        <w:rPr>
          <w:rFonts w:hint="eastAsia" w:ascii="宋体" w:hAnsi="宋体" w:eastAsia="宋体" w:cs="宋体"/>
          <w:color w:val="auto"/>
          <w:sz w:val="24"/>
          <w:szCs w:val="24"/>
          <w:highlight w:val="none"/>
          <w:shd w:val="clear" w:color="auto" w:fill="FFFFFF"/>
          <w:lang w:val="en-US" w:eastAsia="zh-CN"/>
        </w:rPr>
        <w:t>林苑、世纪</w:t>
      </w:r>
      <w:r>
        <w:rPr>
          <w:rFonts w:hint="eastAsia" w:ascii="宋体" w:hAnsi="宋体" w:eastAsia="宋体" w:cs="宋体"/>
          <w:color w:val="auto"/>
          <w:sz w:val="24"/>
          <w:szCs w:val="24"/>
          <w:highlight w:val="none"/>
          <w:shd w:val="clear" w:color="auto" w:fill="FFFFFF"/>
        </w:rPr>
        <w:t>社区，属于荔湾区</w:t>
      </w:r>
      <w:r>
        <w:rPr>
          <w:rFonts w:hint="eastAsia" w:ascii="宋体" w:hAnsi="宋体" w:eastAsia="宋体" w:cs="宋体"/>
          <w:color w:val="auto"/>
          <w:sz w:val="24"/>
          <w:szCs w:val="24"/>
          <w:highlight w:val="none"/>
          <w:shd w:val="clear" w:color="auto" w:fill="FFFFFF"/>
          <w:lang w:val="en-US" w:eastAsia="zh-CN"/>
        </w:rPr>
        <w:t>金花</w:t>
      </w:r>
      <w:r>
        <w:rPr>
          <w:rFonts w:hint="eastAsia" w:ascii="宋体" w:hAnsi="宋体" w:eastAsia="宋体" w:cs="宋体"/>
          <w:color w:val="auto"/>
          <w:sz w:val="24"/>
          <w:szCs w:val="24"/>
          <w:highlight w:val="none"/>
          <w:shd w:val="clear" w:color="auto" w:fill="FFFFFF"/>
        </w:rPr>
        <w:t>街道，总用地面积约</w:t>
      </w:r>
      <w:r>
        <w:rPr>
          <w:rFonts w:hint="eastAsia" w:ascii="宋体" w:hAnsi="宋体" w:eastAsia="宋体" w:cs="宋体"/>
          <w:color w:val="auto"/>
          <w:sz w:val="24"/>
          <w:szCs w:val="24"/>
          <w:highlight w:val="none"/>
          <w:shd w:val="clear" w:color="auto" w:fill="FFFFFF"/>
          <w:lang w:val="en-US" w:eastAsia="zh-CN"/>
        </w:rPr>
        <w:t>5.26</w:t>
      </w:r>
      <w:r>
        <w:rPr>
          <w:rFonts w:hint="eastAsia" w:ascii="宋体" w:hAnsi="宋体" w:eastAsia="宋体" w:cs="宋体"/>
          <w:color w:val="auto"/>
          <w:sz w:val="24"/>
          <w:szCs w:val="24"/>
          <w:highlight w:val="none"/>
          <w:shd w:val="clear" w:color="auto" w:fill="FFFFFF"/>
        </w:rPr>
        <w:t>公顷。重点改造内容是建筑修缮，基础设施补短板，公共空间品质提升等内容，打造“老城区，新活力”的社区新貌。</w:t>
      </w:r>
      <w:r>
        <w:rPr>
          <w:rFonts w:hint="eastAsia" w:ascii="宋体" w:hAnsi="宋体" w:eastAsia="宋体" w:cs="宋体"/>
          <w:color w:val="auto"/>
          <w:sz w:val="24"/>
          <w:szCs w:val="24"/>
          <w:highlight w:val="none"/>
          <w:shd w:val="clear" w:color="auto" w:fill="FFFFFF"/>
          <w:lang w:val="en-US" w:eastAsia="zh-CN"/>
        </w:rPr>
        <w:t>林苑、世纪</w:t>
      </w:r>
      <w:r>
        <w:rPr>
          <w:rFonts w:hint="eastAsia" w:ascii="宋体" w:hAnsi="宋体" w:eastAsia="宋体" w:cs="宋体"/>
          <w:color w:val="auto"/>
          <w:sz w:val="24"/>
          <w:szCs w:val="24"/>
          <w:highlight w:val="none"/>
          <w:shd w:val="clear" w:color="auto" w:fill="FFFFFF"/>
        </w:rPr>
        <w:t>社区东起</w:t>
      </w:r>
      <w:r>
        <w:rPr>
          <w:rFonts w:hint="eastAsia" w:ascii="宋体" w:hAnsi="宋体" w:eastAsia="宋体" w:cs="宋体"/>
          <w:color w:val="auto"/>
          <w:sz w:val="24"/>
          <w:szCs w:val="24"/>
          <w:highlight w:val="none"/>
          <w:shd w:val="clear" w:color="auto" w:fill="FFFFFF"/>
          <w:lang w:val="en-US" w:eastAsia="zh-CN"/>
        </w:rPr>
        <w:t>康王中路</w:t>
      </w:r>
      <w:r>
        <w:rPr>
          <w:rFonts w:hint="eastAsia" w:ascii="宋体" w:hAnsi="宋体" w:eastAsia="宋体" w:cs="宋体"/>
          <w:color w:val="auto"/>
          <w:sz w:val="24"/>
          <w:szCs w:val="24"/>
          <w:highlight w:val="none"/>
          <w:shd w:val="clear" w:color="auto" w:fill="FFFFFF"/>
        </w:rPr>
        <w:t>，西至</w:t>
      </w:r>
      <w:r>
        <w:rPr>
          <w:rFonts w:hint="eastAsia" w:ascii="宋体" w:hAnsi="宋体" w:eastAsia="宋体" w:cs="宋体"/>
          <w:color w:val="auto"/>
          <w:sz w:val="24"/>
          <w:szCs w:val="24"/>
          <w:highlight w:val="none"/>
          <w:shd w:val="clear" w:color="auto" w:fill="FFFFFF"/>
          <w:lang w:val="en-US" w:eastAsia="zh-CN"/>
        </w:rPr>
        <w:t>荔湾路</w:t>
      </w:r>
      <w:r>
        <w:rPr>
          <w:rFonts w:hint="eastAsia" w:ascii="宋体" w:hAnsi="宋体" w:eastAsia="宋体" w:cs="宋体"/>
          <w:color w:val="auto"/>
          <w:sz w:val="24"/>
          <w:szCs w:val="24"/>
          <w:highlight w:val="none"/>
          <w:shd w:val="clear" w:color="auto" w:fill="FFFFFF"/>
        </w:rPr>
        <w:t>，南起</w:t>
      </w:r>
      <w:r>
        <w:rPr>
          <w:rFonts w:hint="eastAsia" w:ascii="宋体" w:hAnsi="宋体" w:eastAsia="宋体" w:cs="宋体"/>
          <w:color w:val="auto"/>
          <w:sz w:val="24"/>
          <w:szCs w:val="24"/>
          <w:highlight w:val="none"/>
          <w:shd w:val="clear" w:color="auto" w:fill="FFFFFF"/>
          <w:lang w:val="en-US" w:eastAsia="zh-CN"/>
        </w:rPr>
        <w:t>龙津西路</w:t>
      </w:r>
      <w:r>
        <w:rPr>
          <w:rFonts w:hint="eastAsia" w:ascii="宋体" w:hAnsi="宋体" w:eastAsia="宋体" w:cs="宋体"/>
          <w:color w:val="auto"/>
          <w:sz w:val="24"/>
          <w:szCs w:val="24"/>
          <w:highlight w:val="none"/>
          <w:shd w:val="clear" w:color="auto" w:fill="FFFFFF"/>
        </w:rPr>
        <w:t>，北至</w:t>
      </w:r>
      <w:r>
        <w:rPr>
          <w:rFonts w:hint="eastAsia" w:ascii="宋体" w:hAnsi="宋体" w:eastAsia="宋体" w:cs="宋体"/>
          <w:color w:val="auto"/>
          <w:sz w:val="24"/>
          <w:szCs w:val="24"/>
          <w:highlight w:val="none"/>
          <w:shd w:val="clear" w:color="auto" w:fill="FFFFFF"/>
          <w:lang w:val="en-US" w:eastAsia="zh-CN"/>
        </w:rPr>
        <w:t>中山七路路</w:t>
      </w:r>
      <w:r>
        <w:rPr>
          <w:rFonts w:hint="eastAsia" w:ascii="宋体" w:hAnsi="宋体" w:eastAsia="宋体" w:cs="宋体"/>
          <w:color w:val="auto"/>
          <w:sz w:val="24"/>
          <w:szCs w:val="24"/>
          <w:highlight w:val="none"/>
          <w:shd w:val="clear" w:color="auto" w:fill="FFFFFF"/>
        </w:rPr>
        <w:t>。</w:t>
      </w:r>
    </w:p>
    <w:p>
      <w:pPr>
        <w:spacing w:line="360" w:lineRule="auto"/>
        <w:ind w:firstLine="480" w:firstLineChars="200"/>
        <w:jc w:val="left"/>
        <w:textAlignment w:val="top"/>
        <w:rPr>
          <w:rFonts w:asciiTheme="minorEastAsia" w:hAnsiTheme="minorEastAsia" w:cstheme="minorEastAsia"/>
          <w:color w:val="auto"/>
          <w:sz w:val="24"/>
          <w:highlight w:val="none"/>
        </w:rPr>
      </w:pPr>
      <w:r>
        <w:rPr>
          <w:rFonts w:hint="eastAsia" w:ascii="宋体" w:hAnsi="宋体" w:eastAsia="宋体" w:cs="宋体"/>
          <w:color w:val="auto"/>
          <w:sz w:val="24"/>
          <w:szCs w:val="24"/>
          <w:highlight w:val="none"/>
          <w:shd w:val="clear" w:color="auto" w:fill="FFFFFF"/>
        </w:rPr>
        <w:t>4.</w:t>
      </w:r>
      <w:r>
        <w:rPr>
          <w:rFonts w:hint="eastAsia" w:asciiTheme="minorEastAsia" w:hAnsiTheme="minorEastAsia" w:cstheme="minorEastAsia"/>
          <w:color w:val="auto"/>
          <w:sz w:val="24"/>
          <w:szCs w:val="24"/>
          <w:highlight w:val="none"/>
          <w:shd w:val="clear" w:color="auto" w:fill="FFFFFF"/>
        </w:rPr>
        <w:t>资金来源：财政资金。</w:t>
      </w:r>
    </w:p>
    <w:p>
      <w:pPr>
        <w:spacing w:line="360" w:lineRule="auto"/>
        <w:rPr>
          <w:rFonts w:ascii="宋体" w:hAnsi="宋体" w:cs="宋体"/>
          <w:b/>
          <w:bCs/>
          <w:color w:val="auto"/>
          <w:sz w:val="24"/>
          <w:highlight w:val="none"/>
        </w:rPr>
      </w:pPr>
      <w:r>
        <w:rPr>
          <w:rFonts w:hint="eastAsia" w:asciiTheme="minorEastAsia" w:hAnsiTheme="minorEastAsia" w:cstheme="minorEastAsia"/>
          <w:b/>
          <w:bCs/>
          <w:color w:val="auto"/>
          <w:sz w:val="24"/>
          <w:highlight w:val="none"/>
        </w:rPr>
        <w:t>二、</w:t>
      </w:r>
      <w:r>
        <w:rPr>
          <w:rFonts w:hint="eastAsia" w:ascii="宋体" w:hAnsi="宋体" w:cs="宋体"/>
          <w:b/>
          <w:bCs/>
          <w:color w:val="auto"/>
          <w:sz w:val="24"/>
          <w:highlight w:val="none"/>
        </w:rPr>
        <w:t>服务内容、期限及相关要求</w:t>
      </w:r>
    </w:p>
    <w:p>
      <w:pPr>
        <w:pStyle w:val="26"/>
        <w:spacing w:line="360" w:lineRule="auto"/>
        <w:ind w:firstLine="481"/>
        <w:rPr>
          <w:rFonts w:ascii="宋体" w:hAnsi="宋体" w:cs="宋体"/>
          <w:color w:val="auto"/>
          <w:sz w:val="24"/>
          <w:szCs w:val="24"/>
          <w:shd w:val="clear" w:color="auto" w:fill="FFFFFF"/>
        </w:rPr>
      </w:pPr>
      <w:r>
        <w:rPr>
          <w:rFonts w:hint="eastAsia" w:asciiTheme="minorEastAsia" w:hAnsiTheme="minorEastAsia" w:eastAsiaTheme="minorEastAsia" w:cstheme="minorEastAsia"/>
          <w:color w:val="auto"/>
          <w:highlight w:val="none"/>
        </w:rPr>
        <w:t>1.</w:t>
      </w:r>
      <w:r>
        <w:rPr>
          <w:rFonts w:hint="eastAsia" w:ascii="宋体" w:hAnsi="宋体" w:cs="宋体"/>
          <w:color w:val="auto"/>
          <w:sz w:val="24"/>
          <w:szCs w:val="24"/>
          <w:highlight w:val="none"/>
          <w:shd w:val="clear" w:color="auto" w:fill="FFFFFF"/>
        </w:rPr>
        <w:t>服务范围：</w:t>
      </w:r>
      <w:r>
        <w:rPr>
          <w:rFonts w:hint="eastAsia" w:asciiTheme="minorEastAsia" w:hAnsiTheme="minorEastAsia" w:eastAsiaTheme="minorEastAsia" w:cstheme="minorEastAsia"/>
          <w:color w:val="auto"/>
          <w:sz w:val="24"/>
          <w:szCs w:val="24"/>
          <w:highlight w:val="none"/>
          <w:shd w:val="clear" w:color="auto" w:fill="FFFFFF"/>
        </w:rPr>
        <w:t>对</w:t>
      </w:r>
      <w:r>
        <w:rPr>
          <w:rFonts w:hint="eastAsia" w:asciiTheme="minorEastAsia" w:hAnsiTheme="minorEastAsia" w:eastAsiaTheme="minorEastAsia" w:cstheme="minorEastAsia"/>
          <w:color w:val="auto"/>
          <w:sz w:val="24"/>
          <w:szCs w:val="24"/>
          <w:highlight w:val="none"/>
          <w:u w:val="single"/>
          <w:lang w:val="en-US" w:eastAsia="zh-CN"/>
        </w:rPr>
        <w:t>金花</w:t>
      </w:r>
      <w:r>
        <w:rPr>
          <w:rFonts w:hint="eastAsia" w:asciiTheme="minorEastAsia" w:hAnsiTheme="minorEastAsia" w:cstheme="minorEastAsia"/>
          <w:color w:val="auto"/>
          <w:sz w:val="24"/>
          <w:szCs w:val="24"/>
          <w:highlight w:val="none"/>
          <w:u w:val="single"/>
        </w:rPr>
        <w:t>街</w:t>
      </w:r>
      <w:r>
        <w:rPr>
          <w:rFonts w:hint="eastAsia" w:asciiTheme="minorEastAsia" w:hAnsiTheme="minorEastAsia" w:cstheme="minorEastAsia"/>
          <w:color w:val="auto"/>
          <w:sz w:val="24"/>
          <w:szCs w:val="24"/>
          <w:highlight w:val="none"/>
          <w:u w:val="single"/>
          <w:lang w:val="en-US" w:eastAsia="zh-CN"/>
        </w:rPr>
        <w:t>林苑片区微改造（林苑、世纪社区）</w:t>
      </w:r>
      <w:r>
        <w:rPr>
          <w:rFonts w:hint="eastAsia" w:asciiTheme="minorEastAsia" w:hAnsiTheme="minorEastAsia" w:cstheme="minorEastAsia"/>
          <w:color w:val="auto"/>
          <w:sz w:val="24"/>
          <w:szCs w:val="24"/>
          <w:highlight w:val="none"/>
          <w:u w:val="single"/>
        </w:rPr>
        <w:t>实施方案</w:t>
      </w:r>
      <w:r>
        <w:rPr>
          <w:rFonts w:hint="eastAsia" w:asciiTheme="minorEastAsia" w:hAnsiTheme="minorEastAsia" w:cstheme="minorEastAsia"/>
          <w:color w:val="auto"/>
          <w:sz w:val="24"/>
          <w:szCs w:val="24"/>
          <w:highlight w:val="none"/>
          <w:u w:val="none"/>
          <w:lang w:eastAsia="zh-CN"/>
        </w:rPr>
        <w:t>进行</w:t>
      </w:r>
      <w:r>
        <w:rPr>
          <w:rFonts w:hint="eastAsia" w:asciiTheme="minorEastAsia" w:hAnsiTheme="minorEastAsia" w:cstheme="minorEastAsia"/>
          <w:color w:val="auto"/>
          <w:sz w:val="24"/>
          <w:szCs w:val="24"/>
          <w:highlight w:val="none"/>
          <w:u w:val="none"/>
        </w:rPr>
        <w:t>编制</w:t>
      </w:r>
      <w:r>
        <w:rPr>
          <w:rFonts w:hint="eastAsia" w:asciiTheme="minorEastAsia" w:hAnsiTheme="minorEastAsia" w:eastAsiaTheme="minorEastAsia" w:cstheme="minorEastAsia"/>
          <w:color w:val="auto"/>
          <w:sz w:val="24"/>
          <w:szCs w:val="24"/>
          <w:highlight w:val="none"/>
        </w:rPr>
        <w:t>工作</w:t>
      </w:r>
      <w:r>
        <w:rPr>
          <w:rFonts w:hint="eastAsia" w:ascii="宋体" w:hAnsi="宋体" w:cs="宋体"/>
          <w:color w:val="auto"/>
          <w:kern w:val="0"/>
          <w:sz w:val="24"/>
          <w:highlight w:val="none"/>
          <w:shd w:val="clear" w:color="auto" w:fill="FFFFFF"/>
          <w:lang w:bidi="ar"/>
        </w:rPr>
        <w:t>。</w:t>
      </w:r>
    </w:p>
    <w:p>
      <w:pPr>
        <w:pStyle w:val="26"/>
        <w:spacing w:line="360" w:lineRule="auto"/>
        <w:ind w:firstLine="481"/>
        <w:rPr>
          <w:rFonts w:asciiTheme="minorEastAsia" w:hAnsiTheme="minorEastAsia" w:eastAsiaTheme="minorEastAsia" w:cstheme="minorEastAsia"/>
          <w:color w:val="auto"/>
          <w:kern w:val="0"/>
          <w:sz w:val="24"/>
          <w:szCs w:val="24"/>
          <w:shd w:val="clear" w:color="auto" w:fill="FFFFFF"/>
        </w:rPr>
      </w:pPr>
      <w:r>
        <w:rPr>
          <w:rFonts w:hint="eastAsia" w:ascii="宋体" w:hAnsi="宋体" w:cs="宋体"/>
          <w:color w:val="auto"/>
          <w:sz w:val="24"/>
          <w:szCs w:val="24"/>
          <w:shd w:val="clear" w:color="auto" w:fill="FFFFFF"/>
        </w:rPr>
        <w:t>2.服务期：</w:t>
      </w:r>
      <w:r>
        <w:rPr>
          <w:rFonts w:hint="eastAsia" w:asciiTheme="minorEastAsia" w:hAnsiTheme="minorEastAsia" w:cstheme="minorEastAsia"/>
          <w:color w:val="auto"/>
          <w:kern w:val="0"/>
          <w:sz w:val="24"/>
          <w:szCs w:val="24"/>
          <w:shd w:val="clear" w:color="auto" w:fill="FFFFFF"/>
        </w:rPr>
        <w:t>实施方案</w:t>
      </w:r>
      <w:r>
        <w:rPr>
          <w:rFonts w:hint="eastAsia" w:asciiTheme="minorEastAsia" w:hAnsiTheme="minorEastAsia" w:eastAsiaTheme="minorEastAsia" w:cstheme="minorEastAsia"/>
          <w:color w:val="auto"/>
          <w:kern w:val="0"/>
          <w:sz w:val="24"/>
          <w:szCs w:val="24"/>
          <w:shd w:val="clear" w:color="auto" w:fill="FFFFFF"/>
        </w:rPr>
        <w:t>咨询服务期限</w:t>
      </w:r>
      <w:r>
        <w:rPr>
          <w:rFonts w:hint="eastAsia" w:asciiTheme="minorEastAsia" w:hAnsiTheme="minorEastAsia" w:cstheme="minorEastAsia"/>
          <w:color w:val="auto"/>
          <w:kern w:val="0"/>
          <w:sz w:val="24"/>
          <w:szCs w:val="24"/>
          <w:shd w:val="clear" w:color="auto" w:fill="FFFFFF"/>
        </w:rPr>
        <w:t>通过区政府审议后并由甲方确认。</w:t>
      </w:r>
    </w:p>
    <w:p>
      <w:pPr>
        <w:widowControl/>
        <w:topLinePunct/>
        <w:spacing w:line="360" w:lineRule="auto"/>
        <w:ind w:firstLine="489" w:firstLineChars="204"/>
        <w:jc w:val="left"/>
        <w:rPr>
          <w:rFonts w:asciiTheme="minorEastAsia" w:hAnsiTheme="minorEastAsia" w:cstheme="minorEastAsia"/>
          <w:color w:val="auto"/>
          <w:kern w:val="0"/>
          <w:sz w:val="24"/>
          <w:szCs w:val="24"/>
          <w:shd w:val="clear" w:color="auto" w:fill="FFFFFF"/>
        </w:rPr>
      </w:pPr>
      <w:r>
        <w:rPr>
          <w:rFonts w:hint="eastAsia" w:asciiTheme="minorEastAsia" w:hAnsiTheme="minorEastAsia" w:cstheme="minorEastAsia"/>
          <w:color w:val="auto"/>
          <w:kern w:val="0"/>
          <w:sz w:val="24"/>
          <w:szCs w:val="24"/>
          <w:shd w:val="clear" w:color="auto" w:fill="FFFFFF"/>
        </w:rPr>
        <w:t>（1）报告编制：中选人应在</w:t>
      </w:r>
      <w:r>
        <w:rPr>
          <w:rFonts w:asciiTheme="minorEastAsia" w:hAnsiTheme="minorEastAsia" w:cstheme="minorEastAsia"/>
          <w:color w:val="auto"/>
          <w:kern w:val="0"/>
          <w:sz w:val="24"/>
          <w:szCs w:val="24"/>
          <w:shd w:val="clear" w:color="auto" w:fill="FFFFFF"/>
        </w:rPr>
        <w:t>成交通知书发出后</w:t>
      </w:r>
      <w:r>
        <w:rPr>
          <w:rFonts w:hint="eastAsia" w:asciiTheme="minorEastAsia" w:hAnsiTheme="minorEastAsia" w:cstheme="minorEastAsia"/>
          <w:color w:val="auto"/>
          <w:kern w:val="0"/>
          <w:sz w:val="24"/>
          <w:szCs w:val="24"/>
          <w:u w:val="single"/>
          <w:shd w:val="clear" w:color="auto" w:fill="FFFFFF"/>
        </w:rPr>
        <w:t xml:space="preserve">10 </w:t>
      </w:r>
      <w:r>
        <w:rPr>
          <w:rFonts w:hint="eastAsia" w:asciiTheme="minorEastAsia" w:hAnsiTheme="minorEastAsia" w:cstheme="minorEastAsia"/>
          <w:color w:val="auto"/>
          <w:kern w:val="0"/>
          <w:sz w:val="24"/>
          <w:szCs w:val="24"/>
          <w:shd w:val="clear" w:color="auto" w:fill="FFFFFF"/>
        </w:rPr>
        <w:t>个日历天内完成实施方案的编制。</w:t>
      </w:r>
    </w:p>
    <w:p>
      <w:pPr>
        <w:widowControl/>
        <w:topLinePunct/>
        <w:spacing w:line="360" w:lineRule="auto"/>
        <w:ind w:firstLine="489" w:firstLineChars="204"/>
        <w:jc w:val="left"/>
        <w:rPr>
          <w:rFonts w:asciiTheme="minorEastAsia" w:hAnsiTheme="minorEastAsia" w:cstheme="minorEastAsia"/>
          <w:color w:val="auto"/>
        </w:rPr>
      </w:pPr>
      <w:r>
        <w:rPr>
          <w:rFonts w:hint="eastAsia" w:asciiTheme="minorEastAsia" w:hAnsiTheme="minorEastAsia" w:cstheme="minorEastAsia"/>
          <w:color w:val="auto"/>
          <w:kern w:val="0"/>
          <w:sz w:val="24"/>
          <w:szCs w:val="24"/>
          <w:shd w:val="clear" w:color="auto" w:fill="FFFFFF"/>
        </w:rPr>
        <w:t>（2）方案的修改：有关部门进行评审、审议后</w:t>
      </w:r>
      <w:r>
        <w:rPr>
          <w:rFonts w:hint="eastAsia" w:asciiTheme="minorEastAsia" w:hAnsiTheme="minorEastAsia" w:cstheme="minorEastAsia"/>
          <w:color w:val="auto"/>
          <w:kern w:val="0"/>
          <w:sz w:val="24"/>
          <w:szCs w:val="24"/>
          <w:u w:val="single"/>
          <w:shd w:val="clear" w:color="auto" w:fill="FFFFFF"/>
        </w:rPr>
        <w:t>5</w:t>
      </w:r>
      <w:r>
        <w:rPr>
          <w:rFonts w:hint="eastAsia" w:asciiTheme="minorEastAsia" w:hAnsiTheme="minorEastAsia" w:cstheme="minorEastAsia"/>
          <w:color w:val="auto"/>
          <w:kern w:val="0"/>
          <w:sz w:val="24"/>
          <w:szCs w:val="24"/>
          <w:shd w:val="clear" w:color="auto" w:fill="FFFFFF"/>
        </w:rPr>
        <w:t>个日历天内完成实施方案的修改。</w:t>
      </w:r>
    </w:p>
    <w:p>
      <w:pPr>
        <w:widowControl/>
        <w:topLinePunct/>
        <w:spacing w:line="360" w:lineRule="auto"/>
        <w:ind w:firstLine="489" w:firstLineChars="204"/>
        <w:jc w:val="left"/>
        <w:rPr>
          <w:rFonts w:asciiTheme="minorEastAsia" w:hAnsiTheme="minorEastAsia" w:cstheme="minorEastAsia"/>
          <w:color w:val="auto"/>
          <w:kern w:val="0"/>
          <w:sz w:val="24"/>
          <w:szCs w:val="24"/>
          <w:shd w:val="clear" w:color="auto" w:fill="FFFFFF"/>
        </w:rPr>
      </w:pPr>
      <w:r>
        <w:rPr>
          <w:rFonts w:hint="eastAsia" w:asciiTheme="minorEastAsia" w:hAnsiTheme="minorEastAsia" w:cstheme="minorEastAsia"/>
          <w:color w:val="auto"/>
          <w:kern w:val="0"/>
          <w:sz w:val="24"/>
          <w:szCs w:val="24"/>
          <w:shd w:val="clear" w:color="auto" w:fill="FFFFFF"/>
        </w:rPr>
        <w:t>3.工作内容、方式及成果要求</w:t>
      </w:r>
    </w:p>
    <w:p>
      <w:pPr>
        <w:widowControl/>
        <w:topLinePunct/>
        <w:spacing w:line="360" w:lineRule="auto"/>
        <w:ind w:firstLine="489" w:firstLineChars="204"/>
        <w:jc w:val="left"/>
        <w:rPr>
          <w:rFonts w:asciiTheme="minorEastAsia" w:hAnsiTheme="minorEastAsia" w:cstheme="minorEastAsia"/>
          <w:color w:val="auto"/>
          <w:kern w:val="0"/>
          <w:sz w:val="24"/>
          <w:szCs w:val="24"/>
          <w:shd w:val="clear" w:color="auto" w:fill="FFFFFF"/>
        </w:rPr>
      </w:pPr>
      <w:r>
        <w:rPr>
          <w:rFonts w:hint="eastAsia" w:asciiTheme="minorEastAsia" w:hAnsiTheme="minorEastAsia" w:cstheme="minorEastAsia"/>
          <w:color w:val="auto"/>
          <w:kern w:val="0"/>
          <w:sz w:val="24"/>
          <w:szCs w:val="24"/>
          <w:shd w:val="clear" w:color="auto" w:fill="FFFFFF"/>
        </w:rPr>
        <w:t>工作内容：通过实地踏勘访谈，收集民意资料并汇总形成改造清单，依据居民需求合理选择改造项目，指导方案编制。配合进行前期编制工作汇报，编制过程中，做好与居民、社区、街道的沟通协调工作，使编制方案充分反映民意，为民所用。</w:t>
      </w:r>
    </w:p>
    <w:p>
      <w:pPr>
        <w:spacing w:line="360" w:lineRule="auto"/>
        <w:ind w:firstLine="480" w:firstLineChars="200"/>
        <w:rPr>
          <w:rFonts w:ascii="宋体" w:hAnsi="宋体" w:cs="宋体"/>
          <w:color w:val="auto"/>
          <w:sz w:val="24"/>
          <w:szCs w:val="24"/>
        </w:rPr>
      </w:pPr>
      <w:r>
        <w:rPr>
          <w:rFonts w:hint="eastAsia" w:ascii="宋体" w:hAnsi="宋体" w:cs="宋体" w:eastAsiaTheme="minorEastAsia"/>
          <w:color w:val="auto"/>
          <w:kern w:val="2"/>
          <w:sz w:val="24"/>
          <w:szCs w:val="24"/>
          <w:highlight w:val="none"/>
          <w:lang w:val="en-US" w:eastAsia="zh-CN" w:bidi="ar-SA"/>
        </w:rPr>
        <w:t>改造内容包括（但不限于）《广州市老旧小区</w:t>
      </w:r>
      <w:r>
        <w:rPr>
          <w:rFonts w:hint="eastAsia" w:ascii="宋体" w:hAnsi="宋体" w:cs="宋体"/>
          <w:color w:val="auto"/>
          <w:kern w:val="2"/>
          <w:sz w:val="24"/>
          <w:szCs w:val="24"/>
          <w:highlight w:val="none"/>
          <w:lang w:val="en-US" w:eastAsia="zh-CN" w:bidi="ar-SA"/>
        </w:rPr>
        <w:t>微改造</w:t>
      </w:r>
      <w:r>
        <w:rPr>
          <w:rFonts w:hint="eastAsia" w:ascii="宋体" w:hAnsi="宋体" w:cs="宋体" w:eastAsiaTheme="minorEastAsia"/>
          <w:color w:val="auto"/>
          <w:kern w:val="2"/>
          <w:sz w:val="24"/>
          <w:szCs w:val="24"/>
          <w:highlight w:val="none"/>
          <w:lang w:val="en-US" w:eastAsia="zh-CN" w:bidi="ar-SA"/>
        </w:rPr>
        <w:t>实施方案编制工作指引（试行）》中基础类：楼道修缮、小区内道路、排水系统疏通、三线整治、绿化提升、照明、安防系统、消防设施、无障碍设施、公共空间提升等改造</w:t>
      </w:r>
      <w:r>
        <w:rPr>
          <w:rFonts w:hint="eastAsia" w:ascii="宋体" w:hAnsi="宋体" w:cs="宋体"/>
          <w:color w:val="auto"/>
          <w:kern w:val="2"/>
          <w:sz w:val="24"/>
          <w:szCs w:val="24"/>
          <w:highlight w:val="none"/>
          <w:lang w:val="en-US" w:eastAsia="zh-CN" w:bidi="ar-SA"/>
        </w:rPr>
        <w:t>、编制历史文化遗产保护专章</w:t>
      </w:r>
      <w:r>
        <w:rPr>
          <w:rFonts w:hint="eastAsia" w:ascii="宋体" w:hAnsi="宋体" w:cs="宋体" w:eastAsiaTheme="minorEastAsia"/>
          <w:color w:val="auto"/>
          <w:kern w:val="2"/>
          <w:sz w:val="24"/>
          <w:szCs w:val="24"/>
          <w:highlight w:val="none"/>
          <w:lang w:val="en-US" w:eastAsia="zh-CN" w:bidi="ar-SA"/>
        </w:rPr>
        <w:t>，以及根据实际方案需要，对提升类和完善类的建设项目进行改造。</w:t>
      </w:r>
    </w:p>
    <w:p>
      <w:pPr>
        <w:widowControl/>
        <w:topLinePunct/>
        <w:spacing w:line="360" w:lineRule="auto"/>
        <w:ind w:firstLine="489" w:firstLineChars="204"/>
        <w:jc w:val="left"/>
        <w:rPr>
          <w:rFonts w:asciiTheme="minorEastAsia" w:hAnsiTheme="minorEastAsia" w:cstheme="minorEastAsia"/>
          <w:color w:val="auto"/>
          <w:kern w:val="0"/>
          <w:sz w:val="24"/>
          <w:szCs w:val="24"/>
          <w:shd w:val="clear" w:color="auto" w:fill="FFFFFF"/>
        </w:rPr>
      </w:pPr>
      <w:r>
        <w:rPr>
          <w:rFonts w:hint="eastAsia" w:asciiTheme="minorEastAsia" w:hAnsiTheme="minorEastAsia" w:cstheme="minorEastAsia"/>
          <w:color w:val="auto"/>
          <w:kern w:val="0"/>
          <w:sz w:val="24"/>
          <w:szCs w:val="24"/>
          <w:shd w:val="clear" w:color="auto" w:fill="FFFFFF"/>
        </w:rPr>
        <w:t>4.成果要求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果深度：项目成果表达应当清晰、规范，符合相关法律、法规和国家有关标准的要求，同时需满足《广州市老旧小区微改造实施方案编制工作指引（试行）》、《荔湾区老旧小区微改造工作机制》文件的相关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编制完成《</w:t>
      </w:r>
      <w:r>
        <w:rPr>
          <w:rFonts w:hint="eastAsia" w:ascii="宋体" w:hAnsi="宋体" w:cs="宋体"/>
          <w:color w:val="auto"/>
          <w:sz w:val="24"/>
          <w:szCs w:val="24"/>
          <w:highlight w:val="none"/>
          <w:lang w:val="en-US" w:eastAsia="zh-CN"/>
        </w:rPr>
        <w:t>金花</w:t>
      </w:r>
      <w:r>
        <w:rPr>
          <w:rFonts w:hint="eastAsia" w:ascii="宋体" w:hAnsi="宋体" w:cs="宋体"/>
          <w:color w:val="auto"/>
          <w:sz w:val="24"/>
          <w:szCs w:val="24"/>
          <w:highlight w:val="none"/>
        </w:rPr>
        <w:t>街</w:t>
      </w:r>
      <w:r>
        <w:rPr>
          <w:rFonts w:hint="eastAsia" w:ascii="宋体" w:hAnsi="宋体" w:cs="宋体"/>
          <w:color w:val="auto"/>
          <w:sz w:val="24"/>
          <w:szCs w:val="24"/>
          <w:highlight w:val="none"/>
          <w:lang w:val="en-US" w:eastAsia="zh-CN"/>
        </w:rPr>
        <w:t>林苑片区微改造（林苑、世纪社区）</w:t>
      </w:r>
      <w:r>
        <w:rPr>
          <w:rFonts w:hint="eastAsia" w:ascii="宋体" w:hAnsi="宋体" w:cs="宋体"/>
          <w:color w:val="auto"/>
          <w:sz w:val="24"/>
          <w:szCs w:val="24"/>
          <w:highlight w:val="none"/>
        </w:rPr>
        <w:t>实施方案》的成果文件。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5.其他要求：如本项目因特殊原因，在三年内都无法实施本项工作的，则该合同也自然终止。</w:t>
      </w:r>
    </w:p>
    <w:p>
      <w:pPr>
        <w:pStyle w:val="26"/>
        <w:spacing w:line="360" w:lineRule="auto"/>
        <w:rPr>
          <w:color w:val="auto"/>
          <w:highlight w:val="none"/>
        </w:rPr>
      </w:pPr>
      <w:r>
        <w:rPr>
          <w:rFonts w:hint="eastAsia" w:asciiTheme="minorEastAsia" w:hAnsiTheme="minorEastAsia" w:eastAsiaTheme="minorEastAsia" w:cstheme="minorEastAsia"/>
          <w:b/>
          <w:color w:val="auto"/>
          <w:sz w:val="24"/>
          <w:szCs w:val="24"/>
          <w:highlight w:val="none"/>
        </w:rPr>
        <w:t>具体内容及要求以合同相关约定为准。</w:t>
      </w:r>
    </w:p>
    <w:p>
      <w:pPr>
        <w:widowControl/>
        <w:spacing w:line="360" w:lineRule="auto"/>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三、报价人资格要求</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2.项目负责人具有高级工程师职称（或以上）</w:t>
      </w:r>
      <w:r>
        <w:rPr>
          <w:rFonts w:hint="eastAsia" w:asciiTheme="minorEastAsia" w:hAnsiTheme="minorEastAsia" w:cstheme="minorEastAsia"/>
          <w:color w:val="auto"/>
          <w:sz w:val="24"/>
          <w:szCs w:val="24"/>
          <w:highlight w:val="none"/>
          <w:lang w:eastAsia="zh-CN"/>
        </w:rPr>
        <w:t>资格</w:t>
      </w:r>
      <w:r>
        <w:rPr>
          <w:rFonts w:hint="eastAsia" w:asciiTheme="minorEastAsia" w:hAnsiTheme="minorEastAsia" w:cstheme="minorEastAsia"/>
          <w:color w:val="auto"/>
          <w:sz w:val="24"/>
          <w:szCs w:val="24"/>
          <w:highlight w:val="none"/>
        </w:rPr>
        <w:t>及本单位近1个月的社保证明。</w:t>
      </w:r>
    </w:p>
    <w:p>
      <w:pPr>
        <w:spacing w:line="360" w:lineRule="auto"/>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3.报价人具有行政主管部门颁发的城乡规划编制资质证书乙级或以上资质。</w:t>
      </w:r>
    </w:p>
    <w:p>
      <w:pPr>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4.本项目不接受联合体报价。</w:t>
      </w:r>
    </w:p>
    <w:p>
      <w:pPr>
        <w:pStyle w:val="26"/>
        <w:spacing w:line="360" w:lineRule="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四、报价及结算方式</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1.最高报价限价：人民币</w:t>
      </w:r>
      <w:r>
        <w:rPr>
          <w:rFonts w:hint="eastAsia" w:asciiTheme="minorEastAsia" w:hAnsiTheme="minorEastAsia" w:cstheme="minorEastAsia"/>
          <w:color w:val="auto"/>
          <w:sz w:val="24"/>
          <w:szCs w:val="24"/>
          <w:lang w:val="en-US" w:eastAsia="zh-CN"/>
        </w:rPr>
        <w:t>30</w:t>
      </w:r>
      <w:r>
        <w:rPr>
          <w:rFonts w:hint="eastAsia" w:asciiTheme="minorEastAsia" w:hAnsiTheme="minorEastAsia" w:cstheme="minorEastAsia"/>
          <w:color w:val="auto"/>
          <w:sz w:val="24"/>
          <w:szCs w:val="24"/>
        </w:rPr>
        <w:t>0000.00元（大写：</w:t>
      </w:r>
      <w:r>
        <w:rPr>
          <w:rFonts w:hint="eastAsia" w:asciiTheme="minorEastAsia" w:hAnsiTheme="minorEastAsia" w:cstheme="minorEastAsia"/>
          <w:color w:val="auto"/>
          <w:sz w:val="24"/>
          <w:szCs w:val="24"/>
          <w:lang w:val="en-US" w:eastAsia="zh-CN"/>
        </w:rPr>
        <w:t>叁拾</w:t>
      </w:r>
      <w:r>
        <w:rPr>
          <w:rFonts w:hint="eastAsia" w:asciiTheme="minorEastAsia" w:hAnsiTheme="minorEastAsia" w:cstheme="minorEastAsia"/>
          <w:color w:val="auto"/>
          <w:sz w:val="24"/>
          <w:szCs w:val="24"/>
        </w:rPr>
        <w:t>万元整）。</w:t>
      </w:r>
      <w:r>
        <w:rPr>
          <w:rFonts w:hint="eastAsia" w:ascii="宋体" w:hAnsi="宋体" w:eastAsia="宋体" w:cs="宋体"/>
          <w:color w:val="auto"/>
          <w:sz w:val="24"/>
          <w:szCs w:val="24"/>
        </w:rPr>
        <w:t>报价金额是固定价且是唯一的，未超过本项目最高报价限价。</w:t>
      </w:r>
    </w:p>
    <w:p>
      <w:pPr>
        <w:numPr>
          <w:ilvl w:val="255"/>
          <w:numId w:val="0"/>
        </w:num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2.报价人结合企业自身及项目情况自行报价，服务费报价超过最高报价限价将按无效报价处理。</w:t>
      </w:r>
    </w:p>
    <w:p>
      <w:pPr>
        <w:pStyle w:val="26"/>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0"/>
          <w:sz w:val="24"/>
          <w:szCs w:val="24"/>
        </w:rPr>
        <w:t>本项目实施方案部分的中选价为包干价，收费标准参照《广东省城市规划收费标准》、《广州市旧村庄全面改造成本核算办法》</w:t>
      </w:r>
      <w:r>
        <w:rPr>
          <w:rFonts w:hint="eastAsia" w:asciiTheme="minorEastAsia" w:hAnsiTheme="minorEastAsia" w:eastAsiaTheme="minorEastAsia" w:cstheme="minorEastAsia"/>
          <w:color w:val="auto"/>
          <w:sz w:val="24"/>
          <w:szCs w:val="24"/>
        </w:rPr>
        <w:t>的相关规定进行计取。各报价单位在报价文件中应明确下浮率（有效报价下浮率为0至10%内）。最终结算金额以询比人或相关部门审定结果为准，且不得超过中选价。</w:t>
      </w:r>
    </w:p>
    <w:p>
      <w:pPr>
        <w:pStyle w:val="26"/>
        <w:spacing w:line="360"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具体结算方式以合同约定为准。</w:t>
      </w:r>
    </w:p>
    <w:p>
      <w:pPr>
        <w:widowControl/>
        <w:spacing w:line="360" w:lineRule="auto"/>
        <w:rPr>
          <w:rFonts w:asciiTheme="minorEastAsia" w:hAnsiTheme="minorEastAsia" w:cstheme="minorEastAsia"/>
          <w:b/>
          <w:color w:val="auto"/>
          <w:sz w:val="24"/>
          <w:szCs w:val="24"/>
          <w:highlight w:val="none"/>
        </w:rPr>
      </w:pPr>
      <w:r>
        <w:rPr>
          <w:rFonts w:hint="eastAsia" w:asciiTheme="minorEastAsia" w:hAnsiTheme="minorEastAsia" w:cstheme="minorEastAsia"/>
          <w:b/>
          <w:bCs/>
          <w:color w:val="auto"/>
          <w:sz w:val="24"/>
          <w:szCs w:val="24"/>
        </w:rPr>
        <w:t>五、</w:t>
      </w:r>
      <w:r>
        <w:rPr>
          <w:rFonts w:hint="eastAsia" w:asciiTheme="minorEastAsia" w:hAnsiTheme="minorEastAsia" w:cstheme="minorEastAsia"/>
          <w:b/>
          <w:color w:val="auto"/>
          <w:sz w:val="24"/>
          <w:szCs w:val="24"/>
          <w:highlight w:val="none"/>
        </w:rPr>
        <w:t xml:space="preserve">询比文件的获取 </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1.凡有意参加的报价意向人，</w:t>
      </w:r>
      <w:r>
        <w:rPr>
          <w:rFonts w:hint="eastAsia" w:asciiTheme="minorEastAsia" w:hAnsiTheme="minorEastAsia" w:cstheme="minorEastAsia"/>
          <w:color w:val="000000" w:themeColor="text1"/>
          <w:sz w:val="24"/>
          <w:szCs w:val="24"/>
          <w:highlight w:val="none"/>
          <w14:textFill>
            <w14:solidFill>
              <w14:schemeClr w14:val="tx1"/>
            </w14:solidFill>
          </w14:textFill>
        </w:rPr>
        <w:t>请于202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cstheme="minorEastAsia"/>
          <w:color w:val="000000" w:themeColor="text1"/>
          <w:sz w:val="24"/>
          <w:szCs w:val="24"/>
          <w:highlight w:val="none"/>
          <w14:textFill>
            <w14:solidFill>
              <w14:schemeClr w14:val="tx1"/>
            </w14:solidFill>
          </w14:textFill>
        </w:rPr>
        <w:t>日至202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cstheme="minorEastAsia"/>
          <w:color w:val="auto"/>
          <w:sz w:val="24"/>
          <w:szCs w:val="24"/>
          <w:highlight w:val="none"/>
        </w:rPr>
        <w:t>，登录广州市荔湾区人民政府网站下载询比文件。</w:t>
      </w:r>
    </w:p>
    <w:p>
      <w:pPr>
        <w:widowControl/>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2.询比公告发布时间：</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发布询比公告开始日期（含本日）为：202</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25</w:t>
      </w:r>
      <w:r>
        <w:rPr>
          <w:rFonts w:hint="eastAsia" w:asciiTheme="minorEastAsia" w:hAnsiTheme="minorEastAsia" w:cstheme="minorEastAsia"/>
          <w:color w:val="auto"/>
          <w:sz w:val="24"/>
          <w:szCs w:val="24"/>
          <w:highlight w:val="none"/>
        </w:rPr>
        <w:t>日；</w:t>
      </w:r>
    </w:p>
    <w:p>
      <w:pPr>
        <w:spacing w:line="360" w:lineRule="auto"/>
        <w:ind w:firstLine="480" w:firstLineChars="200"/>
        <w:rPr>
          <w:rFonts w:hint="eastAsia" w:asciiTheme="minorEastAsia" w:hAnsiTheme="minorEastAsia" w:cstheme="minorEastAsia"/>
          <w:color w:val="FF0000"/>
          <w:sz w:val="24"/>
          <w:szCs w:val="24"/>
          <w:highlight w:val="none"/>
        </w:rPr>
      </w:pPr>
      <w:r>
        <w:rPr>
          <w:rFonts w:hint="eastAsia" w:asciiTheme="minorEastAsia" w:hAnsiTheme="minorEastAsia" w:cstheme="minorEastAsia"/>
          <w:color w:val="auto"/>
          <w:sz w:val="24"/>
          <w:szCs w:val="24"/>
          <w:highlight w:val="none"/>
        </w:rPr>
        <w:t>发布询比公告截止日期（含本日）为：202</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日。</w:t>
      </w:r>
    </w:p>
    <w:p>
      <w:pPr>
        <w:spacing w:line="360" w:lineRule="auto"/>
        <w:rPr>
          <w:rFonts w:ascii="宋体" w:hAnsi="宋体" w:eastAsia="宋体" w:cs="宋体"/>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lang w:val="en-US" w:eastAsia="zh-CN"/>
        </w:rPr>
        <w:t>六</w:t>
      </w:r>
      <w:r>
        <w:rPr>
          <w:rFonts w:hint="eastAsia" w:asciiTheme="minorEastAsia" w:hAnsiTheme="minorEastAsia" w:cstheme="minorEastAsia"/>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报价文件的递交时间和递交地点：</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highlight w:val="none"/>
        </w:rPr>
        <w:t xml:space="preserve">    由报价意向人的法定代表人或授权代表</w:t>
      </w:r>
      <w:r>
        <w:rPr>
          <w:rFonts w:hint="eastAsia" w:ascii="宋体" w:hAnsi="宋体" w:eastAsia="宋体" w:cs="宋体"/>
          <w:b/>
          <w:bCs/>
          <w:color w:val="auto"/>
          <w:sz w:val="24"/>
          <w:szCs w:val="24"/>
          <w:highlight w:val="none"/>
        </w:rPr>
        <w:t>手持法定代表人证明书、授权委托书及身份证原件</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4</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kern w:val="0"/>
          <w:sz w:val="24"/>
          <w:highlight w:val="none"/>
          <w14:textFill>
            <w14:solidFill>
              <w14:schemeClr w14:val="tx1"/>
            </w14:solidFill>
          </w14:textFill>
        </w:rPr>
        <w:t>上午</w:t>
      </w:r>
      <w:r>
        <w:rPr>
          <w:rFonts w:hint="eastAsia" w:ascii="宋体" w:hAnsi="宋体" w:eastAsia="宋体" w:cs="宋体"/>
          <w:color w:val="000000" w:themeColor="text1"/>
          <w:kern w:val="0"/>
          <w:sz w:val="24"/>
          <w:highlight w:val="none"/>
          <w:u w:val="single"/>
          <w14:textFill>
            <w14:solidFill>
              <w14:schemeClr w14:val="tx1"/>
            </w14:solidFill>
          </w14:textFill>
        </w:rPr>
        <w:t xml:space="preserve"> 9:30—11:30 </w:t>
      </w:r>
      <w:r>
        <w:rPr>
          <w:rFonts w:hint="eastAsia" w:ascii="宋体" w:hAnsi="宋体" w:eastAsia="宋体" w:cs="宋体"/>
          <w:color w:val="auto"/>
          <w:sz w:val="24"/>
          <w:szCs w:val="24"/>
          <w:highlight w:val="none"/>
        </w:rPr>
        <w:t>递交至</w:t>
      </w:r>
      <w:r>
        <w:rPr>
          <w:rFonts w:hint="eastAsia" w:ascii="宋体" w:hAnsi="宋体" w:eastAsia="宋体" w:cs="宋体"/>
          <w:color w:val="auto"/>
          <w:sz w:val="24"/>
          <w:highlight w:val="none"/>
          <w:u w:val="single"/>
        </w:rPr>
        <w:t>广州市</w:t>
      </w:r>
      <w:r>
        <w:rPr>
          <w:rFonts w:hint="eastAsia" w:ascii="宋体" w:hAnsi="宋体" w:eastAsia="宋体" w:cs="宋体"/>
          <w:color w:val="auto"/>
          <w:sz w:val="24"/>
          <w:highlight w:val="none"/>
          <w:u w:val="single"/>
          <w:lang w:val="en-US" w:eastAsia="zh-CN"/>
        </w:rPr>
        <w:t>荔湾区金花直街11号</w:t>
      </w:r>
      <w:r>
        <w:rPr>
          <w:rFonts w:hint="eastAsia" w:ascii="宋体" w:hAnsi="宋体" w:eastAsia="宋体" w:cs="宋体"/>
          <w:color w:val="auto"/>
          <w:sz w:val="24"/>
          <w:szCs w:val="24"/>
          <w:highlight w:val="none"/>
        </w:rPr>
        <w:t>，逾期恕不受理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第一次询比时已提交报价文件的可不用再次提交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 xml:space="preserve">  </w:t>
      </w:r>
    </w:p>
    <w:p>
      <w:pPr>
        <w:spacing w:line="360" w:lineRule="auto"/>
        <w:rPr>
          <w:rFonts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七</w:t>
      </w:r>
      <w:r>
        <w:rPr>
          <w:rFonts w:hint="eastAsia" w:ascii="宋体" w:hAnsi="宋体" w:eastAsia="宋体" w:cs="宋体"/>
          <w:b/>
          <w:bCs/>
          <w:color w:val="auto"/>
          <w:sz w:val="24"/>
          <w:szCs w:val="24"/>
          <w:shd w:val="clear" w:color="auto" w:fill="FFFFFF"/>
        </w:rPr>
        <w:t>、询比人不承担报价人参加本次报价活动所发生的任何费用。询比人因故取消或中止询比活动，报价人无条件服从，因报价活动产生的费用报价人自行负责。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八</w:t>
      </w:r>
      <w:r>
        <w:rPr>
          <w:rFonts w:hint="eastAsia" w:ascii="宋体" w:hAnsi="宋体" w:eastAsia="宋体" w:cs="宋体"/>
          <w:b/>
          <w:bCs/>
          <w:color w:val="auto"/>
          <w:sz w:val="24"/>
          <w:szCs w:val="24"/>
          <w:shd w:val="clear" w:color="auto" w:fill="FFFFFF"/>
        </w:rPr>
        <w:t>、询比人将在广州市荔湾区人民政府网上发布中选结果，中选公示期为</w:t>
      </w:r>
      <w:r>
        <w:rPr>
          <w:rFonts w:hint="eastAsia" w:ascii="宋体" w:hAnsi="宋体" w:eastAsia="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天。</w:t>
      </w:r>
    </w:p>
    <w:p>
      <w:pPr>
        <w:spacing w:line="360" w:lineRule="auto"/>
        <w:rPr>
          <w:rFonts w:asciiTheme="minorEastAsia" w:hAnsiTheme="minorEastAsia" w:cstheme="minorEastAsia"/>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九</w:t>
      </w:r>
      <w:r>
        <w:rPr>
          <w:rFonts w:hint="eastAsia" w:ascii="宋体" w:hAnsi="宋体" w:eastAsia="宋体" w:cs="宋体"/>
          <w:b/>
          <w:bCs/>
          <w:color w:val="auto"/>
          <w:sz w:val="24"/>
          <w:szCs w:val="24"/>
          <w:shd w:val="clear" w:color="auto" w:fill="FFFFFF"/>
        </w:rPr>
        <w:t>、广州市荔湾区</w:t>
      </w:r>
      <w:r>
        <w:rPr>
          <w:rFonts w:hint="eastAsia" w:ascii="宋体" w:hAnsi="宋体" w:eastAsia="宋体" w:cs="宋体"/>
          <w:b/>
          <w:bCs/>
          <w:color w:val="auto"/>
          <w:sz w:val="24"/>
          <w:szCs w:val="24"/>
          <w:shd w:val="clear" w:color="auto" w:fill="FFFFFF"/>
          <w:lang w:val="en-US" w:eastAsia="zh-CN"/>
        </w:rPr>
        <w:t>人民政府金花街道办事处</w:t>
      </w:r>
      <w:r>
        <w:rPr>
          <w:rFonts w:hint="eastAsia" w:ascii="宋体" w:hAnsi="宋体" w:eastAsia="宋体" w:cs="宋体"/>
          <w:b/>
          <w:bCs/>
          <w:color w:val="auto"/>
          <w:sz w:val="24"/>
          <w:szCs w:val="24"/>
          <w:shd w:val="clear" w:color="auto" w:fill="FFFFFF"/>
        </w:rPr>
        <w:t>对公告及询比文件有最终解释权。</w:t>
      </w:r>
    </w:p>
    <w:p>
      <w:pPr>
        <w:spacing w:line="360" w:lineRule="auto"/>
        <w:textAlignment w:val="top"/>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十、联系方式：</w:t>
      </w:r>
    </w:p>
    <w:p>
      <w:pPr>
        <w:spacing w:line="360" w:lineRule="auto"/>
        <w:jc w:val="left"/>
        <w:textAlignment w:val="top"/>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rPr>
        <w:t>询比单位：</w:t>
      </w:r>
      <w:r>
        <w:rPr>
          <w:rFonts w:hint="eastAsia" w:ascii="宋体" w:hAnsi="宋体" w:cs="宋体"/>
          <w:color w:val="auto"/>
          <w:sz w:val="24"/>
          <w:szCs w:val="24"/>
          <w:u w:val="single"/>
        </w:rPr>
        <w:t>广州市荔湾区</w:t>
      </w:r>
      <w:r>
        <w:rPr>
          <w:rFonts w:hint="eastAsia" w:ascii="宋体" w:hAnsi="宋体" w:cs="宋体"/>
          <w:color w:val="auto"/>
          <w:sz w:val="24"/>
          <w:szCs w:val="24"/>
          <w:u w:val="single"/>
          <w:lang w:val="en-US" w:eastAsia="zh-CN"/>
        </w:rPr>
        <w:t>人民政府金花街道办事处</w:t>
      </w:r>
    </w:p>
    <w:p>
      <w:pPr>
        <w:spacing w:line="360" w:lineRule="auto"/>
        <w:jc w:val="left"/>
        <w:textAlignment w:val="top"/>
        <w:rPr>
          <w:rFonts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黄</w:t>
      </w:r>
      <w:r>
        <w:rPr>
          <w:rFonts w:hint="eastAsia" w:ascii="宋体" w:hAnsi="宋体" w:cs="宋体"/>
          <w:color w:val="auto"/>
          <w:sz w:val="24"/>
          <w:szCs w:val="24"/>
          <w:u w:val="single"/>
        </w:rPr>
        <w:t xml:space="preserve">工                 </w:t>
      </w:r>
    </w:p>
    <w:p>
      <w:pPr>
        <w:spacing w:line="360" w:lineRule="auto"/>
        <w:jc w:val="left"/>
        <w:textAlignment w:val="top"/>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    020-81</w:t>
      </w:r>
      <w:r>
        <w:rPr>
          <w:rFonts w:hint="eastAsia" w:ascii="宋体" w:hAnsi="宋体" w:cs="宋体"/>
          <w:color w:val="auto"/>
          <w:sz w:val="24"/>
          <w:szCs w:val="24"/>
          <w:u w:val="single"/>
          <w:lang w:val="en-US" w:eastAsia="zh-CN"/>
        </w:rPr>
        <w:t>067345</w:t>
      </w:r>
      <w:r>
        <w:rPr>
          <w:rFonts w:hint="eastAsia" w:ascii="宋体" w:hAnsi="宋体" w:cs="宋体"/>
          <w:color w:val="auto"/>
          <w:sz w:val="24"/>
          <w:u w:val="single"/>
        </w:rPr>
        <w:t xml:space="preserve">         </w:t>
      </w:r>
    </w:p>
    <w:p>
      <w:pPr>
        <w:spacing w:line="360" w:lineRule="auto"/>
        <w:jc w:val="left"/>
        <w:textAlignment w:val="top"/>
        <w:rPr>
          <w:rFonts w:asciiTheme="minorEastAsia" w:hAnsiTheme="minorEastAsia" w:cstheme="minorEastAsia"/>
          <w:color w:val="auto"/>
          <w:sz w:val="24"/>
          <w:szCs w:val="24"/>
        </w:rPr>
      </w:pPr>
    </w:p>
    <w:p>
      <w:pPr>
        <w:pStyle w:val="2"/>
      </w:pPr>
    </w:p>
    <w:p>
      <w:pPr>
        <w:spacing w:line="360" w:lineRule="auto"/>
        <w:ind w:firstLine="480" w:firstLineChars="200"/>
        <w:jc w:val="center"/>
        <w:textAlignment w:val="top"/>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rPr>
        <w:t xml:space="preserve">                                   </w:t>
      </w:r>
      <w:r>
        <w:rPr>
          <w:rFonts w:hint="eastAsia" w:ascii="宋体" w:hAnsi="宋体" w:cs="宋体"/>
          <w:color w:val="auto"/>
          <w:sz w:val="24"/>
          <w:szCs w:val="24"/>
        </w:rPr>
        <w:t>广州市荔湾区</w:t>
      </w:r>
      <w:r>
        <w:rPr>
          <w:rFonts w:hint="eastAsia" w:ascii="宋体" w:hAnsi="宋体" w:cs="宋体"/>
          <w:color w:val="auto"/>
          <w:sz w:val="24"/>
          <w:szCs w:val="24"/>
          <w:lang w:val="en-US" w:eastAsia="zh-CN"/>
        </w:rPr>
        <w:t>人民政府金花街道办事处</w:t>
      </w:r>
    </w:p>
    <w:p>
      <w:pPr>
        <w:pStyle w:val="11"/>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8月25日</w:t>
      </w:r>
    </w:p>
    <w:p>
      <w:pPr>
        <w:pStyle w:val="11"/>
        <w:spacing w:line="360" w:lineRule="auto"/>
        <w:jc w:val="center"/>
        <w:rPr>
          <w:rFonts w:asciiTheme="minorEastAsia" w:hAnsiTheme="minorEastAsia" w:eastAsiaTheme="minorEastAsia" w:cstheme="minorEastAsia"/>
          <w:color w:val="FF0000"/>
          <w:sz w:val="24"/>
          <w:szCs w:val="24"/>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Ansi="宋体" w:eastAsia="宋体" w:cs="宋体"/>
          <w:b/>
          <w:bCs/>
          <w:color w:val="auto"/>
          <w:sz w:val="24"/>
          <w:szCs w:val="24"/>
        </w:rPr>
      </w:pPr>
      <w:r>
        <w:rPr>
          <w:rFonts w:hint="eastAsia" w:hAnsi="宋体" w:eastAsia="宋体" w:cs="宋体"/>
          <w:b/>
          <w:bCs/>
          <w:color w:val="auto"/>
          <w:sz w:val="24"/>
          <w:szCs w:val="24"/>
        </w:rPr>
        <w:t>第二章 评审办法</w:t>
      </w:r>
    </w:p>
    <w:p>
      <w:pPr>
        <w:pStyle w:val="11"/>
        <w:spacing w:line="360" w:lineRule="auto"/>
        <w:jc w:val="left"/>
        <w:rPr>
          <w:rFonts w:hAnsi="宋体" w:eastAsia="宋体" w:cs="宋体"/>
          <w:color w:val="auto"/>
          <w:sz w:val="24"/>
          <w:szCs w:val="24"/>
        </w:rPr>
      </w:pPr>
    </w:p>
    <w:p>
      <w:pPr>
        <w:pStyle w:val="11"/>
        <w:spacing w:line="360" w:lineRule="auto"/>
        <w:jc w:val="left"/>
        <w:rPr>
          <w:rFonts w:hAnsi="宋体" w:eastAsia="宋体" w:cs="宋体"/>
          <w:b/>
          <w:bCs/>
          <w:color w:val="auto"/>
          <w:sz w:val="24"/>
          <w:szCs w:val="24"/>
        </w:rPr>
      </w:pPr>
      <w:r>
        <w:rPr>
          <w:rFonts w:hint="eastAsia" w:hAnsi="宋体" w:eastAsia="宋体" w:cs="宋体"/>
          <w:b/>
          <w:bCs/>
          <w:color w:val="auto"/>
          <w:sz w:val="24"/>
          <w:szCs w:val="24"/>
        </w:rPr>
        <w:t>一、评审办法</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color w:val="auto"/>
          <w:kern w:val="0"/>
          <w:sz w:val="24"/>
          <w:szCs w:val="24"/>
        </w:rPr>
        <w:t>（详见附件一：</w:t>
      </w:r>
      <w:r>
        <w:rPr>
          <w:rFonts w:hint="eastAsia" w:ascii="宋体" w:hAnsi="宋体" w:eastAsia="宋体" w:cs="宋体"/>
          <w:color w:val="auto"/>
          <w:sz w:val="24"/>
          <w:szCs w:val="24"/>
        </w:rPr>
        <w:t>资格性和符合性审查表</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w:t>
      </w:r>
    </w:p>
    <w:p>
      <w:pPr>
        <w:pStyle w:val="11"/>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heme="minorEastAsia" w:hAnsiTheme="minorEastAsia" w:cstheme="minorEastAsia"/>
          <w:color w:val="auto"/>
          <w:kern w:val="0"/>
          <w:sz w:val="24"/>
          <w:szCs w:val="24"/>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color w:val="auto"/>
          <w:sz w:val="24"/>
          <w:szCs w:val="24"/>
        </w:rPr>
        <w:t>4.若本项目满足资格性和符合性审查合格条件的报价人不足</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家或经评审有效的报价人不足</w:t>
      </w:r>
      <w:r>
        <w:rPr>
          <w:rFonts w:hint="eastAsia" w:ascii="宋体" w:hAnsi="宋体" w:eastAsia="宋体" w:cs="宋体"/>
          <w:color w:val="auto"/>
          <w:sz w:val="24"/>
          <w:szCs w:val="24"/>
          <w:lang w:val="en-US" w:eastAsia="zh-CN"/>
        </w:rPr>
        <w:t>3</w:t>
      </w:r>
      <w:bookmarkStart w:id="5" w:name="_GoBack"/>
      <w:bookmarkEnd w:id="5"/>
      <w:r>
        <w:rPr>
          <w:rFonts w:hint="eastAsia" w:ascii="宋体" w:hAnsi="宋体" w:eastAsia="宋体" w:cs="宋体"/>
          <w:color w:val="auto"/>
          <w:sz w:val="24"/>
          <w:szCs w:val="24"/>
        </w:rPr>
        <w:t>家，则本次询比失败，询比人将视情况重新组织询比。</w:t>
      </w:r>
    </w:p>
    <w:p>
      <w:pPr>
        <w:tabs>
          <w:tab w:val="left" w:pos="5220"/>
        </w:tabs>
        <w:adjustRightInd w:val="0"/>
        <w:snapToGrid w:val="0"/>
        <w:spacing w:line="360" w:lineRule="auto"/>
        <w:jc w:val="center"/>
        <w:rPr>
          <w:rFonts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color w:val="auto"/>
          <w:kern w:val="0"/>
          <w:sz w:val="24"/>
          <w:highlight w:val="none"/>
        </w:rPr>
        <w:t>并每页加盖单位公章装入同一个密封袋。</w:t>
      </w:r>
      <w:r>
        <w:rPr>
          <w:rFonts w:hint="eastAsia" w:ascii="宋体" w:hAnsi="宋体" w:eastAsia="宋体" w:cs="宋体"/>
          <w:b/>
          <w:bCs/>
          <w:color w:val="auto"/>
          <w:kern w:val="0"/>
          <w:sz w:val="24"/>
          <w:highlight w:val="none"/>
        </w:rPr>
        <w:t>封口须以封条并加盖公章密封，否则报价文件当无效处理。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5.项目负责人相关证书及社保证明（复印件）；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highlight w:val="none"/>
        </w:rPr>
        <w:t>8.其他报价人认为需要提供的资料。</w:t>
      </w:r>
    </w:p>
    <w:p>
      <w:pPr>
        <w:pStyle w:val="11"/>
        <w:adjustRightInd w:val="0"/>
        <w:snapToGrid w:val="0"/>
        <w:spacing w:line="360" w:lineRule="auto"/>
        <w:jc w:val="left"/>
        <w:rPr>
          <w:rFonts w:hAnsi="宋体" w:eastAsia="宋体" w:cs="宋体"/>
          <w:b/>
          <w:bCs/>
          <w:color w:val="auto"/>
          <w:sz w:val="24"/>
          <w:szCs w:val="24"/>
        </w:rPr>
      </w:pPr>
      <w:r>
        <w:rPr>
          <w:rFonts w:hint="eastAsia" w:hAnsi="宋体" w:eastAsia="宋体" w:cs="宋体"/>
          <w:b/>
          <w:bCs/>
          <w:color w:val="auto"/>
          <w:sz w:val="24"/>
          <w:szCs w:val="24"/>
        </w:rPr>
        <w:t>附件：</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1.资格性和符合性审查表</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2.综合评分表</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3.报价表</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4.业绩情况汇总表</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5.项目负责人及其他人员配备情况表</w:t>
      </w:r>
    </w:p>
    <w:p>
      <w:pPr>
        <w:pStyle w:val="11"/>
        <w:adjustRightInd w:val="0"/>
        <w:snapToGrid w:val="0"/>
        <w:spacing w:line="360" w:lineRule="auto"/>
        <w:ind w:firstLine="480" w:firstLineChars="200"/>
        <w:jc w:val="left"/>
        <w:rPr>
          <w:rFonts w:hAnsi="宋体" w:eastAsia="宋体" w:cs="宋体"/>
          <w:color w:val="auto"/>
          <w:sz w:val="24"/>
          <w:szCs w:val="24"/>
        </w:rPr>
      </w:pPr>
      <w:r>
        <w:rPr>
          <w:rFonts w:hint="eastAsia" w:hAnsi="宋体" w:eastAsia="宋体" w:cs="宋体"/>
          <w:color w:val="auto"/>
          <w:sz w:val="24"/>
          <w:szCs w:val="24"/>
        </w:rPr>
        <w:t>6.承诺书</w:t>
      </w:r>
    </w:p>
    <w:p>
      <w:pPr>
        <w:pStyle w:val="11"/>
        <w:adjustRightInd w:val="0"/>
        <w:snapToGrid w:val="0"/>
        <w:spacing w:line="360" w:lineRule="auto"/>
        <w:ind w:firstLine="480" w:firstLineChars="200"/>
        <w:jc w:val="left"/>
        <w:rPr>
          <w:rFonts w:hAnsi="宋体" w:eastAsia="宋体" w:cs="宋体"/>
          <w:color w:val="auto"/>
          <w:sz w:val="24"/>
          <w:szCs w:val="24"/>
        </w:rPr>
        <w:sectPr>
          <w:headerReference r:id="rId6" w:type="default"/>
          <w:pgSz w:w="11906" w:h="16838"/>
          <w:pgMar w:top="1418" w:right="1457" w:bottom="1418" w:left="1457" w:header="851" w:footer="992" w:gutter="0"/>
          <w:cols w:space="720" w:num="1"/>
          <w:docGrid w:type="lines" w:linePitch="312" w:charSpace="0"/>
        </w:sectPr>
      </w:pPr>
      <w:r>
        <w:rPr>
          <w:rFonts w:hint="eastAsia" w:hAnsi="宋体" w:eastAsia="宋体" w:cs="宋体"/>
          <w:color w:val="auto"/>
          <w:sz w:val="24"/>
          <w:szCs w:val="24"/>
        </w:rPr>
        <w:t>7.附图</w:t>
      </w:r>
    </w:p>
    <w:p>
      <w:pPr>
        <w:pStyle w:val="2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附件一</w:t>
      </w:r>
    </w:p>
    <w:p>
      <w:pPr>
        <w:pStyle w:val="11"/>
        <w:spacing w:line="360"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资格性和符合性审查表</w:t>
      </w:r>
    </w:p>
    <w:p>
      <w:pPr>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rPr>
        <w:t>项目名称：</w:t>
      </w:r>
      <w:r>
        <w:rPr>
          <w:rFonts w:hint="eastAsia" w:asciiTheme="minorEastAsia" w:hAnsiTheme="minorEastAsia" w:cstheme="minorEastAsia"/>
          <w:color w:val="auto"/>
          <w:szCs w:val="21"/>
          <w:highlight w:val="none"/>
          <w:u w:val="single"/>
          <w:lang w:val="en-US" w:eastAsia="zh-CN"/>
        </w:rPr>
        <w:t>金花</w:t>
      </w:r>
      <w:r>
        <w:rPr>
          <w:rFonts w:hint="eastAsia" w:asciiTheme="minorEastAsia" w:hAnsiTheme="minorEastAsia" w:cstheme="minorEastAsia"/>
          <w:color w:val="auto"/>
          <w:szCs w:val="21"/>
          <w:highlight w:val="none"/>
          <w:u w:val="single"/>
        </w:rPr>
        <w:t>街</w:t>
      </w:r>
      <w:r>
        <w:rPr>
          <w:rFonts w:hint="eastAsia" w:asciiTheme="minorEastAsia" w:hAnsiTheme="minorEastAsia" w:cstheme="minorEastAsia"/>
          <w:color w:val="auto"/>
          <w:szCs w:val="21"/>
          <w:highlight w:val="none"/>
          <w:u w:val="single"/>
          <w:lang w:val="en-US" w:eastAsia="zh-CN"/>
        </w:rPr>
        <w:t>林苑片区微改造（林苑、世纪社区）</w:t>
      </w:r>
      <w:r>
        <w:rPr>
          <w:rFonts w:hint="eastAsia" w:asciiTheme="minorEastAsia" w:hAnsiTheme="minorEastAsia" w:cstheme="minorEastAsia"/>
          <w:color w:val="auto"/>
          <w:szCs w:val="21"/>
          <w:highlight w:val="none"/>
          <w:u w:val="single"/>
        </w:rPr>
        <w:t>实施方案编制</w:t>
      </w:r>
    </w:p>
    <w:tbl>
      <w:tblPr>
        <w:tblStyle w:val="20"/>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98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审查内容</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报价人1</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报价人2</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983" w:type="dxa"/>
            <w:vAlign w:val="center"/>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983" w:type="dxa"/>
            <w:vAlign w:val="center"/>
          </w:tcPr>
          <w:p>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项目负责人具有高级工程师职称（或以上）资格及本单位近1个月的社保证明。</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983" w:type="dxa"/>
            <w:vAlign w:val="center"/>
          </w:tcPr>
          <w:p>
            <w:pPr>
              <w:jc w:val="left"/>
              <w:rPr>
                <w:rFonts w:ascii="宋体" w:hAnsi="宋体" w:cs="宋体"/>
                <w:color w:val="auto"/>
                <w:sz w:val="24"/>
                <w:szCs w:val="24"/>
              </w:rPr>
            </w:pPr>
            <w:r>
              <w:rPr>
                <w:rFonts w:hint="eastAsia" w:ascii="宋体" w:hAnsi="宋体" w:cs="宋体"/>
                <w:color w:val="auto"/>
                <w:sz w:val="24"/>
                <w:szCs w:val="24"/>
              </w:rPr>
              <w:t>报价人具有行政主管部门颁发的城乡规划编制资质证书乙级或以上资质。</w:t>
            </w: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983" w:type="dxa"/>
            <w:vAlign w:val="center"/>
          </w:tcPr>
          <w:p>
            <w:pPr>
              <w:jc w:val="left"/>
              <w:rPr>
                <w:rFonts w:ascii="宋体" w:hAnsi="宋体" w:cs="宋体"/>
                <w:color w:val="auto"/>
                <w:sz w:val="24"/>
                <w:szCs w:val="24"/>
              </w:rPr>
            </w:pPr>
            <w:r>
              <w:rPr>
                <w:rFonts w:hint="eastAsia" w:asciiTheme="minorEastAsia" w:hAnsiTheme="minorEastAsia" w:cstheme="minorEastAsia"/>
                <w:color w:val="auto"/>
                <w:sz w:val="24"/>
                <w:szCs w:val="24"/>
              </w:rPr>
              <w:t>本项目不接受联合体报价。</w:t>
            </w: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983" w:type="dxa"/>
            <w:vAlign w:val="center"/>
          </w:tcPr>
          <w:p>
            <w:pPr>
              <w:jc w:val="left"/>
              <w:rPr>
                <w:rFonts w:ascii="宋体" w:hAnsi="宋体" w:cs="宋体"/>
                <w:color w:val="auto"/>
                <w:sz w:val="24"/>
                <w:szCs w:val="24"/>
              </w:rPr>
            </w:pPr>
            <w:r>
              <w:rPr>
                <w:rFonts w:hint="eastAsia" w:ascii="宋体" w:hAnsi="宋体" w:cs="宋体"/>
                <w:color w:val="auto"/>
                <w:sz w:val="24"/>
                <w:szCs w:val="24"/>
              </w:rPr>
              <w:t>报价总金额是固定价且是唯一的，未超过本项目最高报价限价，有效报价下浮率为0-10%。</w:t>
            </w: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983" w:type="dxa"/>
            <w:vAlign w:val="center"/>
          </w:tcPr>
          <w:p>
            <w:pPr>
              <w:jc w:val="left"/>
              <w:rPr>
                <w:rFonts w:ascii="宋体" w:hAnsi="宋体" w:cs="宋体"/>
                <w:color w:val="auto"/>
                <w:sz w:val="24"/>
                <w:szCs w:val="24"/>
              </w:rPr>
            </w:pPr>
            <w:r>
              <w:rPr>
                <w:rFonts w:hint="eastAsia" w:ascii="宋体" w:hAnsi="宋体" w:cs="宋体"/>
                <w:color w:val="auto"/>
                <w:sz w:val="24"/>
                <w:szCs w:val="24"/>
              </w:rPr>
              <w:t>报价文件按询比文件的要求编制、签署及盖章。</w:t>
            </w: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w:t>
            </w: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c>
          <w:tcPr>
            <w:tcW w:w="1133" w:type="dxa"/>
          </w:tcPr>
          <w:p>
            <w:pPr>
              <w:pStyle w:val="11"/>
              <w:spacing w:line="360" w:lineRule="auto"/>
              <w:rPr>
                <w:rFonts w:asciiTheme="minorEastAsia" w:hAnsiTheme="minorEastAsia" w:eastAsiaTheme="minorEastAsia" w:cstheme="minorEastAsia"/>
                <w:color w:val="auto"/>
                <w:sz w:val="24"/>
                <w:szCs w:val="24"/>
              </w:rPr>
            </w:pPr>
          </w:p>
        </w:tc>
      </w:tr>
    </w:tbl>
    <w:p>
      <w:pPr>
        <w:pStyle w:val="11"/>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注：1. 每一项符合的打“√”，不符合的打“×”。</w:t>
      </w:r>
    </w:p>
    <w:p>
      <w:pPr>
        <w:pStyle w:val="11"/>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“结论”一栏填写“通过”或“不通过”；任何一项出现“×”的，结论为不通过；不通过的为无效报价。</w:t>
      </w: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br w:type="page"/>
      </w:r>
    </w:p>
    <w:p>
      <w:pPr>
        <w:pStyle w:val="26"/>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附件二</w:t>
      </w:r>
    </w:p>
    <w:p>
      <w:pPr>
        <w:pStyle w:val="11"/>
        <w:spacing w:line="360" w:lineRule="auto"/>
        <w:jc w:val="center"/>
        <w:rPr>
          <w:rFonts w:hAnsi="宋体" w:eastAsia="宋体" w:cs="宋体"/>
          <w:b/>
          <w:bCs/>
          <w:color w:val="auto"/>
          <w:sz w:val="24"/>
          <w:szCs w:val="24"/>
        </w:rPr>
      </w:pPr>
      <w:r>
        <w:rPr>
          <w:rFonts w:hint="eastAsia" w:asciiTheme="minorEastAsia" w:hAnsiTheme="minorEastAsia" w:eastAsiaTheme="minorEastAsia" w:cstheme="minorEastAsia"/>
          <w:b/>
          <w:bCs/>
          <w:color w:val="auto"/>
          <w:sz w:val="24"/>
          <w:szCs w:val="24"/>
        </w:rPr>
        <w:t>综合</w:t>
      </w:r>
      <w:r>
        <w:rPr>
          <w:rFonts w:hint="eastAsia" w:hAnsi="宋体" w:eastAsia="宋体" w:cs="宋体"/>
          <w:b/>
          <w:bCs/>
          <w:color w:val="auto"/>
          <w:sz w:val="24"/>
          <w:szCs w:val="24"/>
        </w:rPr>
        <w:t>评分表</w:t>
      </w:r>
    </w:p>
    <w:p>
      <w:pPr>
        <w:widowControl/>
        <w:spacing w:before="100" w:beforeAutospacing="1" w:after="100" w:afterAutospacing="1"/>
        <w:jc w:val="left"/>
        <w:rPr>
          <w:rFonts w:ascii="宋体" w:hAnsi="宋体" w:eastAsia="宋体" w:cs="宋体"/>
          <w:b/>
          <w:bCs/>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highlight w:val="none"/>
          <w:u w:val="single"/>
          <w:lang w:val="en-US" w:eastAsia="zh-CN"/>
        </w:rPr>
        <w:t>金花</w:t>
      </w:r>
      <w:r>
        <w:rPr>
          <w:rFonts w:hint="eastAsia" w:ascii="宋体" w:hAnsi="宋体" w:eastAsia="宋体" w:cs="宋体"/>
          <w:color w:val="auto"/>
          <w:szCs w:val="21"/>
          <w:highlight w:val="none"/>
          <w:u w:val="single"/>
        </w:rPr>
        <w:t>街</w:t>
      </w:r>
      <w:r>
        <w:rPr>
          <w:rFonts w:hint="eastAsia" w:ascii="宋体" w:hAnsi="宋体" w:eastAsia="宋体" w:cs="宋体"/>
          <w:color w:val="auto"/>
          <w:szCs w:val="21"/>
          <w:highlight w:val="none"/>
          <w:u w:val="single"/>
          <w:lang w:val="en-US" w:eastAsia="zh-CN"/>
        </w:rPr>
        <w:t>林苑片区微改造（林苑、世纪社区）</w:t>
      </w:r>
      <w:r>
        <w:rPr>
          <w:rFonts w:hint="eastAsia" w:ascii="宋体" w:hAnsi="宋体" w:eastAsia="宋体" w:cs="宋体"/>
          <w:color w:val="auto"/>
          <w:szCs w:val="21"/>
          <w:highlight w:val="none"/>
          <w:u w:val="single"/>
        </w:rPr>
        <w:t>实施方案编制</w:t>
      </w:r>
    </w:p>
    <w:tbl>
      <w:tblPr>
        <w:tblStyle w:val="20"/>
        <w:tblW w:w="9491" w:type="dxa"/>
        <w:jc w:val="center"/>
        <w:tblLayout w:type="fixed"/>
        <w:tblCellMar>
          <w:top w:w="0" w:type="dxa"/>
          <w:left w:w="108" w:type="dxa"/>
          <w:bottom w:w="0" w:type="dxa"/>
          <w:right w:w="108" w:type="dxa"/>
        </w:tblCellMar>
      </w:tblPr>
      <w:tblGrid>
        <w:gridCol w:w="767"/>
        <w:gridCol w:w="1105"/>
        <w:gridCol w:w="541"/>
        <w:gridCol w:w="7078"/>
      </w:tblGrid>
      <w:tr>
        <w:tblPrEx>
          <w:tblCellMar>
            <w:top w:w="0" w:type="dxa"/>
            <w:left w:w="108" w:type="dxa"/>
            <w:bottom w:w="0" w:type="dxa"/>
            <w:right w:w="108" w:type="dxa"/>
          </w:tblCellMar>
        </w:tblPrEx>
        <w:trPr>
          <w:trHeight w:val="445" w:hRule="atLeast"/>
          <w:jc w:val="center"/>
        </w:trPr>
        <w:tc>
          <w:tcPr>
            <w:tcW w:w="76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w:t>
            </w:r>
          </w:p>
          <w:p>
            <w:pPr>
              <w:autoSpaceDE w:val="0"/>
              <w:autoSpaceDN w:val="0"/>
              <w:adjustRightInd w:val="0"/>
              <w:jc w:val="center"/>
              <w:rPr>
                <w:rFonts w:ascii="宋体" w:hAnsi="宋体" w:eastAsia="宋体" w:cs="宋体"/>
                <w:color w:val="auto"/>
                <w:sz w:val="24"/>
                <w:szCs w:val="24"/>
              </w:rPr>
            </w:pPr>
            <w:r>
              <w:rPr>
                <w:rFonts w:hint="eastAsia" w:ascii="宋体" w:hAnsi="宋体" w:eastAsia="宋体" w:cs="宋体"/>
                <w:color w:val="auto"/>
                <w:sz w:val="24"/>
                <w:szCs w:val="24"/>
              </w:rPr>
              <w:t>项目</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w:t>
            </w:r>
          </w:p>
          <w:p>
            <w:pPr>
              <w:autoSpaceDE w:val="0"/>
              <w:autoSpaceDN w:val="0"/>
              <w:adjustRightInd w:val="0"/>
              <w:jc w:val="center"/>
              <w:rPr>
                <w:rFonts w:ascii="宋体" w:hAnsi="宋体" w:eastAsia="宋体" w:cs="宋体"/>
                <w:color w:val="auto"/>
                <w:sz w:val="24"/>
                <w:szCs w:val="24"/>
              </w:rPr>
            </w:pPr>
            <w:r>
              <w:rPr>
                <w:rFonts w:hint="eastAsia" w:ascii="宋体" w:hAnsi="宋体" w:eastAsia="宋体" w:cs="宋体"/>
                <w:color w:val="auto"/>
                <w:sz w:val="24"/>
                <w:szCs w:val="24"/>
              </w:rPr>
              <w:t>内容</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eastAsia="宋体" w:cs="宋体"/>
                <w:color w:val="auto"/>
                <w:sz w:val="24"/>
                <w:szCs w:val="24"/>
              </w:rPr>
            </w:pPr>
            <w:r>
              <w:rPr>
                <w:rFonts w:hint="eastAsia" w:ascii="宋体" w:hAnsi="宋体" w:eastAsia="宋体" w:cs="宋体"/>
                <w:color w:val="auto"/>
                <w:sz w:val="24"/>
                <w:szCs w:val="24"/>
                <w:lang w:val="zh-CN"/>
              </w:rPr>
              <w:t>分值</w:t>
            </w:r>
          </w:p>
        </w:tc>
        <w:tc>
          <w:tcPr>
            <w:tcW w:w="707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CellMar>
            <w:top w:w="0" w:type="dxa"/>
            <w:left w:w="108" w:type="dxa"/>
            <w:bottom w:w="0" w:type="dxa"/>
            <w:right w:w="108" w:type="dxa"/>
          </w:tblCellMar>
        </w:tblPrEx>
        <w:trPr>
          <w:trHeight w:val="739" w:hRule="atLeast"/>
          <w:jc w:val="center"/>
        </w:trPr>
        <w:tc>
          <w:tcPr>
            <w:tcW w:w="767" w:type="dxa"/>
            <w:tcBorders>
              <w:left w:val="single" w:color="auto" w:sz="6" w:space="0"/>
              <w:right w:val="single" w:color="auto" w:sz="6" w:space="0"/>
            </w:tcBorders>
            <w:noWrap/>
            <w:vAlign w:val="center"/>
          </w:tcPr>
          <w:p>
            <w:pPr>
              <w:autoSpaceDE w:val="0"/>
              <w:autoSpaceDN w:val="0"/>
              <w:adjustRightInd w:val="0"/>
              <w:jc w:val="center"/>
              <w:rPr>
                <w:rFonts w:ascii="宋体" w:hAnsi="宋体" w:eastAsia="宋体" w:cs="宋体"/>
                <w:color w:val="auto"/>
                <w:szCs w:val="21"/>
              </w:rPr>
            </w:pPr>
          </w:p>
        </w:tc>
        <w:tc>
          <w:tcPr>
            <w:tcW w:w="1105"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企业资质</w:t>
            </w:r>
          </w:p>
        </w:tc>
        <w:tc>
          <w:tcPr>
            <w:tcW w:w="54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15</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具有城乡规划编制甲级资质的得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分；具有城乡规划编制乙级的得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lang w:val="en-US" w:eastAsia="zh-CN"/>
              </w:rPr>
              <w:t>的不得分。</w:t>
            </w:r>
          </w:p>
          <w:p>
            <w:pPr>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2.具有工程设计建筑行业（建筑工程）甲级资质的得5分；具有工程设计建筑行业（建筑工程）乙级资质的得2分；其他的不得分。</w:t>
            </w:r>
          </w:p>
          <w:p>
            <w:pPr>
              <w:snapToGrid w:val="0"/>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3.具有风景园林工程设计专项甲级资质得5分，具有风景园林工程设计专项乙级资质得2分。</w:t>
            </w:r>
          </w:p>
          <w:p>
            <w:pPr>
              <w:pStyle w:val="2"/>
              <w:ind w:firstLine="0" w:firstLineChars="0"/>
              <w:rPr>
                <w:rFonts w:hint="eastAsia" w:ascii="宋体" w:hAnsi="宋体" w:eastAsia="宋体"/>
                <w:sz w:val="21"/>
                <w:szCs w:val="21"/>
                <w:lang w:val="en-US" w:eastAsia="zh-CN"/>
              </w:rPr>
            </w:pPr>
            <w:r>
              <w:rPr>
                <w:rFonts w:hint="eastAsia" w:ascii="宋体" w:hAnsi="宋体" w:eastAsia="宋体" w:cs="宋体"/>
                <w:color w:val="auto"/>
                <w:sz w:val="21"/>
                <w:szCs w:val="21"/>
                <w:highlight w:val="none"/>
                <w:lang w:eastAsia="zh-CN"/>
              </w:rPr>
              <w:t>本项累计得</w:t>
            </w:r>
            <w:r>
              <w:rPr>
                <w:rFonts w:hint="eastAsia" w:ascii="宋体" w:hAnsi="宋体" w:eastAsia="宋体" w:cs="宋体"/>
                <w:color w:val="auto"/>
                <w:sz w:val="21"/>
                <w:szCs w:val="21"/>
                <w:highlight w:val="none"/>
                <w:lang w:val="en-US" w:eastAsia="zh-CN"/>
              </w:rPr>
              <w:t>15分。</w:t>
            </w:r>
          </w:p>
          <w:p>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注：需提供资质证书复印件，否则不得分。</w:t>
            </w:r>
          </w:p>
        </w:tc>
      </w:tr>
      <w:tr>
        <w:tblPrEx>
          <w:tblCellMar>
            <w:top w:w="0" w:type="dxa"/>
            <w:left w:w="108" w:type="dxa"/>
            <w:bottom w:w="0" w:type="dxa"/>
            <w:right w:w="108" w:type="dxa"/>
          </w:tblCellMar>
        </w:tblPrEx>
        <w:trPr>
          <w:trHeight w:val="1023" w:hRule="atLeast"/>
          <w:jc w:val="center"/>
        </w:trPr>
        <w:tc>
          <w:tcPr>
            <w:tcW w:w="767" w:type="dxa"/>
            <w:vMerge w:val="restart"/>
            <w:tcBorders>
              <w:left w:val="single" w:color="auto" w:sz="6" w:space="0"/>
              <w:right w:val="single" w:color="auto" w:sz="6" w:space="0"/>
            </w:tcBorders>
            <w:noWrap/>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商务技术部分（</w:t>
            </w:r>
            <w:r>
              <w:rPr>
                <w:rFonts w:hint="eastAsia" w:ascii="宋体" w:hAnsi="宋体" w:eastAsia="宋体" w:cs="宋体"/>
                <w:color w:val="auto"/>
                <w:szCs w:val="21"/>
                <w:lang w:val="en-US" w:eastAsia="zh-CN"/>
              </w:rPr>
              <w:t>9</w:t>
            </w:r>
            <w:r>
              <w:rPr>
                <w:rFonts w:hint="eastAsia" w:ascii="宋体" w:hAnsi="宋体" w:eastAsia="宋体" w:cs="宋体"/>
                <w:color w:val="auto"/>
                <w:szCs w:val="21"/>
              </w:rPr>
              <w:t>0分）</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rPr>
              <w:t>项目业绩</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35</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年1月1日至今</w:t>
            </w:r>
            <w:r>
              <w:rPr>
                <w:rFonts w:hint="eastAsia" w:ascii="宋体" w:hAnsi="宋体" w:eastAsia="宋体" w:cs="宋体"/>
                <w:color w:val="auto"/>
                <w:highlight w:val="none"/>
                <w:lang w:eastAsia="zh-CN"/>
              </w:rPr>
              <w:t>承接过</w:t>
            </w:r>
            <w:r>
              <w:rPr>
                <w:rFonts w:hint="eastAsia" w:ascii="宋体" w:hAnsi="宋体" w:eastAsia="宋体" w:cs="宋体"/>
                <w:color w:val="auto"/>
                <w:highlight w:val="none"/>
                <w:lang w:val="en-US" w:eastAsia="zh-CN"/>
              </w:rPr>
              <w:t>老旧小区微改造实施方案，设计方案（工程设计）编业绩，</w:t>
            </w:r>
            <w:r>
              <w:rPr>
                <w:rFonts w:hint="eastAsia" w:ascii="宋体" w:hAnsi="宋体" w:eastAsia="宋体" w:cs="宋体"/>
                <w:color w:val="auto"/>
                <w:highlight w:val="none"/>
              </w:rPr>
              <w:t>每项得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分。</w:t>
            </w:r>
          </w:p>
          <w:p/>
          <w:p>
            <w:pPr>
              <w:autoSpaceDE w:val="0"/>
              <w:autoSpaceDN w:val="0"/>
              <w:adjustRightInd w:val="0"/>
              <w:snapToGrid w:val="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Cs w:val="0"/>
                <w:color w:val="auto"/>
                <w:highlight w:val="none"/>
                <w:lang w:val="en-US" w:eastAsia="zh-CN"/>
              </w:rPr>
              <w:t>注：须提供合同关键页复印件，时间以签订合同时间为准，否则不得分。</w:t>
            </w:r>
            <w:r>
              <w:rPr>
                <w:rFonts w:hint="eastAsia" w:ascii="宋体" w:hAnsi="宋体" w:eastAsia="宋体" w:cs="宋体"/>
                <w:bCs w:val="0"/>
                <w:color w:val="auto"/>
                <w:highlight w:val="none"/>
                <w:lang w:val="zh-CN"/>
              </w:rPr>
              <w:t>本项累计最高得3</w:t>
            </w:r>
            <w:r>
              <w:rPr>
                <w:rFonts w:hint="eastAsia" w:ascii="宋体" w:hAnsi="宋体" w:eastAsia="宋体" w:cs="宋体"/>
                <w:bCs w:val="0"/>
                <w:color w:val="auto"/>
                <w:highlight w:val="none"/>
                <w:lang w:val="en-US" w:eastAsia="zh-CN"/>
              </w:rPr>
              <w:t>5</w:t>
            </w:r>
            <w:r>
              <w:rPr>
                <w:rFonts w:hint="eastAsia" w:ascii="宋体" w:hAnsi="宋体" w:eastAsia="宋体" w:cs="宋体"/>
                <w:bCs w:val="0"/>
                <w:color w:val="auto"/>
                <w:highlight w:val="none"/>
                <w:lang w:val="zh-CN"/>
              </w:rPr>
              <w:t>分。</w:t>
            </w:r>
          </w:p>
        </w:tc>
      </w:tr>
      <w:tr>
        <w:tblPrEx>
          <w:tblCellMar>
            <w:top w:w="0" w:type="dxa"/>
            <w:left w:w="108" w:type="dxa"/>
            <w:bottom w:w="0" w:type="dxa"/>
            <w:right w:w="108" w:type="dxa"/>
          </w:tblCellMar>
        </w:tblPrEx>
        <w:trPr>
          <w:trHeight w:val="1270"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jc w:val="center"/>
              <w:rPr>
                <w:rFonts w:ascii="宋体" w:hAnsi="宋体" w:eastAsia="宋体" w:cs="宋体"/>
                <w:color w:val="auto"/>
                <w:szCs w:val="21"/>
              </w:rPr>
            </w:pP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ascii="宋体" w:hAnsi="宋体" w:eastAsia="宋体" w:cs="宋体"/>
                <w:color w:val="auto"/>
                <w:szCs w:val="21"/>
                <w:lang w:val="zh-CN"/>
              </w:rPr>
            </w:pPr>
            <w:r>
              <w:rPr>
                <w:rFonts w:hint="eastAsia" w:ascii="宋体" w:hAnsi="宋体" w:eastAsia="宋体" w:cs="宋体"/>
                <w:color w:val="auto"/>
                <w:szCs w:val="21"/>
                <w:lang w:val="zh-CN"/>
              </w:rPr>
              <w:t>获奖情况</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none"/>
                <w:lang w:val="en-US" w:eastAsia="zh-CN"/>
              </w:rPr>
              <w:t>6</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1.2019年1月1日至今获省级优秀城市规划设计一等奖每项得3分；二等奖每项得2分；三等奖每项得1分，累计最高得</w:t>
            </w: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分。</w:t>
            </w:r>
          </w:p>
          <w:p>
            <w:pPr>
              <w:autoSpaceDE w:val="0"/>
              <w:autoSpaceDN w:val="0"/>
              <w:adjustRightInd w:val="0"/>
              <w:snapToGrid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2.2019年1月1日至今获省级优秀工程勘察设计奖一等奖每项得3分；二等奖每项得2分；三等奖每项得1分，累计最高得3分。</w:t>
            </w:r>
          </w:p>
          <w:p>
            <w:pPr>
              <w:autoSpaceDE w:val="0"/>
              <w:autoSpaceDN w:val="0"/>
              <w:adjustRightInd w:val="0"/>
              <w:snapToGrid w:val="0"/>
              <w:rPr>
                <w:rFonts w:ascii="宋体" w:hAnsi="宋体" w:eastAsia="宋体" w:cs="宋体"/>
                <w:color w:val="auto"/>
              </w:rPr>
            </w:pPr>
            <w:r>
              <w:rPr>
                <w:rFonts w:hint="eastAsia" w:ascii="宋体" w:hAnsi="宋体" w:eastAsia="宋体" w:cs="宋体"/>
                <w:color w:val="auto"/>
                <w:highlight w:val="none"/>
                <w:lang w:val="en-US" w:eastAsia="zh-CN"/>
              </w:rPr>
              <w:t>注：奖项须提供相关获奖证书复印件并加盖公章。（同一获奖项目，按获奖最高级别计算，不重复计分，以获奖证书的颁发时间为准。）本项总累计最高得6分。</w:t>
            </w:r>
          </w:p>
        </w:tc>
      </w:tr>
      <w:tr>
        <w:tblPrEx>
          <w:tblCellMar>
            <w:top w:w="0" w:type="dxa"/>
            <w:left w:w="108" w:type="dxa"/>
            <w:bottom w:w="0" w:type="dxa"/>
            <w:right w:w="108" w:type="dxa"/>
          </w:tblCellMar>
        </w:tblPrEx>
        <w:trPr>
          <w:trHeight w:val="1963"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spacing w:line="400" w:lineRule="exact"/>
              <w:jc w:val="center"/>
              <w:rPr>
                <w:rFonts w:ascii="宋体" w:hAnsi="宋体" w:eastAsia="宋体" w:cs="宋体"/>
                <w:color w:val="auto"/>
                <w:szCs w:val="21"/>
                <w:lang w:val="zh-CN"/>
              </w:rPr>
            </w:pPr>
          </w:p>
        </w:tc>
        <w:tc>
          <w:tcPr>
            <w:tcW w:w="110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pacing w:line="240" w:lineRule="exact"/>
              <w:jc w:val="center"/>
              <w:rPr>
                <w:rFonts w:ascii="宋体" w:hAnsi="宋体" w:eastAsia="宋体" w:cs="宋体"/>
                <w:color w:val="auto"/>
                <w:szCs w:val="21"/>
                <w:lang w:val="zh-CN"/>
              </w:rPr>
            </w:pPr>
            <w:r>
              <w:rPr>
                <w:rFonts w:hint="eastAsia" w:ascii="宋体" w:hAnsi="宋体" w:eastAsia="宋体" w:cs="宋体"/>
                <w:color w:val="auto"/>
                <w:szCs w:val="21"/>
                <w:lang w:val="zh-CN"/>
              </w:rPr>
              <w:t>人员配备及技术水平</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8</w:t>
            </w:r>
          </w:p>
        </w:tc>
        <w:tc>
          <w:tcPr>
            <w:tcW w:w="7078" w:type="dxa"/>
            <w:tcBorders>
              <w:top w:val="single" w:color="auto" w:sz="6" w:space="0"/>
              <w:left w:val="single" w:color="auto" w:sz="6" w:space="0"/>
              <w:bottom w:val="single" w:color="auto" w:sz="4" w:space="0"/>
              <w:right w:val="single" w:color="auto" w:sz="6" w:space="0"/>
            </w:tcBorders>
            <w:noWrap/>
            <w:vAlign w:val="center"/>
          </w:tcPr>
          <w:p>
            <w:pPr>
              <w:pStyle w:val="26"/>
              <w:autoSpaceDE w:val="0"/>
              <w:autoSpaceDN w:val="0"/>
              <w:adjustRightInd w:val="0"/>
              <w:snapToGrid w:val="0"/>
              <w:rPr>
                <w:rFonts w:ascii="宋体" w:hAnsi="宋体" w:cs="宋体"/>
                <w:color w:val="auto"/>
              </w:rPr>
            </w:pPr>
            <w:r>
              <w:rPr>
                <w:rFonts w:hint="eastAsia" w:ascii="宋体" w:hAnsi="宋体" w:cs="宋体"/>
                <w:color w:val="auto"/>
              </w:rPr>
              <w:t>1.项目负责人具备注册城乡规划师得</w:t>
            </w:r>
            <w:r>
              <w:rPr>
                <w:rFonts w:hint="eastAsia" w:ascii="宋体" w:hAnsi="宋体" w:cs="宋体"/>
                <w:color w:val="auto"/>
                <w:lang w:val="en-US" w:eastAsia="zh-CN"/>
              </w:rPr>
              <w:t>6</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lang w:val="en-US" w:eastAsia="zh-CN"/>
              </w:rPr>
              <w:t>同时具备高级城乡规划师、注册高级国土空间规划师、注册高级国土资源管理工程师证书的，每项加2分，本项最高12分</w:t>
            </w:r>
            <w:r>
              <w:rPr>
                <w:rFonts w:hint="eastAsia" w:ascii="宋体" w:hAnsi="宋体" w:cs="宋体"/>
                <w:color w:val="auto"/>
              </w:rPr>
              <w:t>。</w:t>
            </w:r>
          </w:p>
          <w:p>
            <w:pPr>
              <w:pStyle w:val="26"/>
              <w:rPr>
                <w:rFonts w:ascii="宋体" w:hAnsi="宋体" w:cs="宋体"/>
                <w:color w:val="auto"/>
              </w:rPr>
            </w:pPr>
            <w:r>
              <w:rPr>
                <w:rFonts w:hint="eastAsia" w:ascii="宋体" w:hAnsi="宋体" w:cs="宋体"/>
                <w:color w:val="auto"/>
              </w:rPr>
              <w:t>2.除项目负责人外，项目组成员，涵盖</w:t>
            </w:r>
            <w:r>
              <w:rPr>
                <w:rFonts w:hint="eastAsia" w:ascii="宋体" w:hAnsi="宋体" w:cs="宋体"/>
                <w:color w:val="auto"/>
                <w:lang w:val="en-US" w:eastAsia="zh-CN"/>
              </w:rPr>
              <w:t>咨询、城市道路桥梁与交通工程</w:t>
            </w:r>
            <w:r>
              <w:rPr>
                <w:rFonts w:hint="eastAsia" w:ascii="宋体" w:hAnsi="宋体" w:cs="宋体"/>
                <w:color w:val="auto"/>
              </w:rPr>
              <w:t>规划、建筑、结构、电气（供配电）、给排水、造价</w:t>
            </w:r>
            <w:r>
              <w:rPr>
                <w:rFonts w:hint="eastAsia" w:ascii="宋体" w:hAnsi="宋体" w:cs="宋体"/>
                <w:color w:val="auto"/>
                <w:lang w:val="en-US" w:eastAsia="zh-CN"/>
              </w:rPr>
              <w:t>、园林</w:t>
            </w:r>
            <w:r>
              <w:rPr>
                <w:rFonts w:hint="eastAsia" w:ascii="宋体" w:hAnsi="宋体" w:cs="宋体"/>
                <w:color w:val="auto"/>
              </w:rPr>
              <w:t>人员，每个专业</w:t>
            </w:r>
            <w:r>
              <w:rPr>
                <w:rFonts w:hint="eastAsia" w:ascii="宋体" w:hAnsi="宋体" w:cs="宋体"/>
                <w:color w:val="auto"/>
                <w:lang w:val="en-US" w:eastAsia="zh-CN"/>
              </w:rPr>
              <w:t>具有高级及以上职称的</w:t>
            </w:r>
            <w:r>
              <w:rPr>
                <w:rFonts w:hint="eastAsia" w:ascii="宋体" w:hAnsi="宋体" w:cs="宋体"/>
                <w:color w:val="auto"/>
              </w:rPr>
              <w:t>得3分，同一专业不重复得分，本项最高得</w:t>
            </w:r>
            <w:r>
              <w:rPr>
                <w:rFonts w:hint="eastAsia" w:ascii="宋体" w:hAnsi="宋体" w:cs="宋体"/>
                <w:color w:val="auto"/>
                <w:lang w:val="en-US" w:eastAsia="zh-CN"/>
              </w:rPr>
              <w:t>16</w:t>
            </w:r>
            <w:r>
              <w:rPr>
                <w:rFonts w:hint="eastAsia" w:ascii="宋体" w:hAnsi="宋体" w:cs="宋体"/>
                <w:color w:val="auto"/>
              </w:rPr>
              <w:t>分。</w:t>
            </w:r>
          </w:p>
          <w:p>
            <w:pPr>
              <w:pStyle w:val="26"/>
              <w:rPr>
                <w:rFonts w:ascii="宋体" w:hAnsi="宋体" w:cs="宋体"/>
                <w:color w:val="auto"/>
                <w:szCs w:val="21"/>
                <w:lang w:val="zh-CN"/>
              </w:rPr>
            </w:pPr>
            <w:r>
              <w:rPr>
                <w:rFonts w:hint="eastAsia" w:ascii="宋体" w:hAnsi="宋体" w:cs="宋体"/>
                <w:bCs/>
                <w:color w:val="auto"/>
                <w:szCs w:val="21"/>
              </w:rPr>
              <w:t>注：提供相关证明资料复印件并加盖公章，同一人员不重复计分。本项累计最高得2</w:t>
            </w:r>
            <w:r>
              <w:rPr>
                <w:rFonts w:hint="eastAsia" w:ascii="宋体" w:hAnsi="宋体" w:cs="宋体"/>
                <w:bCs/>
                <w:color w:val="auto"/>
                <w:szCs w:val="21"/>
                <w:lang w:val="en-US" w:eastAsia="zh-CN"/>
              </w:rPr>
              <w:t>8</w:t>
            </w:r>
            <w:r>
              <w:rPr>
                <w:rFonts w:hint="eastAsia" w:ascii="宋体" w:hAnsi="宋体" w:cs="宋体"/>
                <w:bCs/>
                <w:color w:val="auto"/>
                <w:szCs w:val="21"/>
              </w:rPr>
              <w:t>分。</w:t>
            </w:r>
          </w:p>
        </w:tc>
      </w:tr>
      <w:tr>
        <w:tblPrEx>
          <w:tblCellMar>
            <w:top w:w="0" w:type="dxa"/>
            <w:left w:w="108" w:type="dxa"/>
            <w:bottom w:w="0" w:type="dxa"/>
            <w:right w:w="108" w:type="dxa"/>
          </w:tblCellMar>
        </w:tblPrEx>
        <w:trPr>
          <w:trHeight w:val="796" w:hRule="atLeast"/>
          <w:jc w:val="center"/>
        </w:trPr>
        <w:tc>
          <w:tcPr>
            <w:tcW w:w="767"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jc w:val="center"/>
              <w:rPr>
                <w:rFonts w:ascii="宋体" w:hAnsi="宋体" w:eastAsia="宋体" w:cs="宋体"/>
                <w:color w:val="auto"/>
                <w:szCs w:val="21"/>
                <w:lang w:val="zh-CN"/>
              </w:rPr>
            </w:pP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eastAsia="zh-CN"/>
              </w:rPr>
              <w:t>认证体系</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7078" w:type="dxa"/>
            <w:tcBorders>
              <w:top w:val="single" w:color="auto" w:sz="6" w:space="0"/>
              <w:left w:val="single" w:color="auto" w:sz="6" w:space="0"/>
              <w:bottom w:val="single" w:color="auto" w:sz="6" w:space="0"/>
              <w:right w:val="single" w:color="auto" w:sz="6" w:space="0"/>
            </w:tcBorders>
            <w:noWrap/>
            <w:vAlign w:val="center"/>
          </w:tcPr>
          <w:p>
            <w:pPr>
              <w:pStyle w:val="26"/>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具有质量管理体系认证体系、环境管理体系认证、职业健康安全管理体系认证证书且在有效期内的，每项得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分；最高得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tc>
      </w:tr>
      <w:tr>
        <w:tblPrEx>
          <w:tblCellMar>
            <w:top w:w="0" w:type="dxa"/>
            <w:left w:w="108" w:type="dxa"/>
            <w:bottom w:w="0" w:type="dxa"/>
            <w:right w:w="108" w:type="dxa"/>
          </w:tblCellMar>
        </w:tblPrEx>
        <w:trPr>
          <w:trHeight w:val="2269" w:hRule="atLeast"/>
          <w:jc w:val="center"/>
        </w:trPr>
        <w:tc>
          <w:tcPr>
            <w:tcW w:w="767"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hint="eastAsia" w:ascii="宋体" w:hAnsi="宋体" w:eastAsia="宋体" w:cs="宋体"/>
                <w:color w:val="auto"/>
                <w:szCs w:val="21"/>
                <w:lang w:eastAsia="zh-CN"/>
              </w:rPr>
            </w:pPr>
            <w:r>
              <w:rPr>
                <w:rFonts w:hint="eastAsia" w:ascii="宋体" w:hAnsi="宋体" w:eastAsia="宋体" w:cs="宋体"/>
                <w:color w:val="auto"/>
                <w:szCs w:val="21"/>
              </w:rPr>
              <w:t>报价</w:t>
            </w:r>
          </w:p>
          <w:p>
            <w:pPr>
              <w:autoSpaceDE w:val="0"/>
              <w:autoSpaceDN w:val="0"/>
              <w:adjustRightInd w:val="0"/>
              <w:jc w:val="center"/>
              <w:rPr>
                <w:rFonts w:hint="eastAsia" w:ascii="宋体" w:hAnsi="宋体" w:eastAsia="宋体" w:cs="宋体"/>
                <w:color w:val="auto"/>
                <w:szCs w:val="21"/>
                <w:lang w:eastAsia="zh-CN"/>
              </w:rPr>
            </w:pPr>
            <w:r>
              <w:rPr>
                <w:rFonts w:hint="eastAsia" w:ascii="宋体" w:hAnsi="宋体" w:eastAsia="宋体" w:cs="宋体"/>
                <w:color w:val="auto"/>
                <w:szCs w:val="21"/>
              </w:rPr>
              <w:t>部分</w:t>
            </w:r>
          </w:p>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（10分）</w:t>
            </w:r>
          </w:p>
        </w:tc>
        <w:tc>
          <w:tcPr>
            <w:tcW w:w="1105"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eastAsia="宋体" w:cs="宋体"/>
                <w:color w:val="auto"/>
                <w:szCs w:val="21"/>
              </w:rPr>
            </w:pPr>
            <w:r>
              <w:rPr>
                <w:rFonts w:hint="eastAsia" w:ascii="宋体" w:hAnsi="宋体" w:eastAsia="宋体" w:cs="宋体"/>
                <w:color w:val="auto"/>
                <w:szCs w:val="21"/>
              </w:rPr>
              <w:t>报价</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eastAsia="宋体" w:cs="宋体"/>
                <w:color w:val="auto"/>
                <w:szCs w:val="21"/>
              </w:rPr>
            </w:pPr>
            <w:r>
              <w:rPr>
                <w:rFonts w:hint="eastAsia" w:ascii="宋体" w:hAnsi="宋体" w:eastAsia="宋体" w:cs="宋体"/>
                <w:color w:val="auto"/>
                <w:szCs w:val="21"/>
              </w:rPr>
              <w:t>10</w:t>
            </w:r>
          </w:p>
        </w:tc>
        <w:tc>
          <w:tcPr>
            <w:tcW w:w="7078" w:type="dxa"/>
            <w:tcBorders>
              <w:top w:val="single" w:color="auto" w:sz="6" w:space="0"/>
              <w:left w:val="single" w:color="auto" w:sz="6" w:space="0"/>
              <w:bottom w:val="single" w:color="auto" w:sz="6" w:space="0"/>
              <w:right w:val="single" w:color="auto" w:sz="6" w:space="0"/>
            </w:tcBorders>
            <w:noWrap/>
            <w:vAlign w:val="center"/>
          </w:tcPr>
          <w:p>
            <w:pPr>
              <w:ind w:firstLine="31" w:firstLineChars="15"/>
              <w:rPr>
                <w:rFonts w:ascii="宋体" w:hAnsi="宋体" w:eastAsia="宋体" w:cs="宋体"/>
                <w:color w:val="auto"/>
                <w:kern w:val="0"/>
                <w:szCs w:val="21"/>
              </w:rPr>
            </w:pPr>
            <w:r>
              <w:rPr>
                <w:rFonts w:hint="eastAsia" w:ascii="宋体" w:hAnsi="宋体" w:eastAsia="宋体" w:cs="宋体"/>
                <w:color w:val="auto"/>
                <w:kern w:val="0"/>
                <w:szCs w:val="21"/>
              </w:rPr>
              <w:t>当有效报价等于报价基准价时，报价得分为10分，报价每高于报价基准价1%，扣0.5分，每低于1%，扣0.3分，扣至0分为止，计算出报价得分，精确到小数点后两位。</w:t>
            </w:r>
          </w:p>
          <w:p>
            <w:pPr>
              <w:pStyle w:val="11"/>
              <w:jc w:val="left"/>
              <w:rPr>
                <w:rFonts w:hAnsi="宋体" w:eastAsia="宋体" w:cs="宋体"/>
                <w:color w:val="auto"/>
              </w:rPr>
            </w:pPr>
            <w:r>
              <w:rPr>
                <w:rFonts w:hint="eastAsia" w:hAnsi="宋体" w:eastAsia="宋体" w:cs="宋体"/>
                <w:color w:val="auto"/>
                <w:kern w:val="0"/>
                <w:szCs w:val="21"/>
              </w:rPr>
              <w:t>注：当有效报价人大于或等于5家时，去掉一个最高价和一个最低价，取余下有效报价的算术平均值的作为报价基准价。当有效报价人小于5家时，取所有入围有效报价的算术平均值作为报价基准价。（保留小数点后二位，第三位小数四舍五入）</w:t>
            </w:r>
          </w:p>
        </w:tc>
      </w:tr>
      <w:tr>
        <w:tblPrEx>
          <w:tblCellMar>
            <w:top w:w="0" w:type="dxa"/>
            <w:left w:w="108" w:type="dxa"/>
            <w:bottom w:w="0" w:type="dxa"/>
            <w:right w:w="108" w:type="dxa"/>
          </w:tblCellMar>
        </w:tblPrEx>
        <w:trPr>
          <w:trHeight w:val="342" w:hRule="atLeast"/>
          <w:jc w:val="center"/>
        </w:trPr>
        <w:tc>
          <w:tcPr>
            <w:tcW w:w="187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lang w:val="zh-CN"/>
              </w:rPr>
              <w:t>总计</w:t>
            </w:r>
          </w:p>
        </w:tc>
        <w:tc>
          <w:tcPr>
            <w:tcW w:w="761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100</w:t>
            </w:r>
          </w:p>
        </w:tc>
      </w:tr>
    </w:tbl>
    <w:p>
      <w:pPr>
        <w:pStyle w:val="26"/>
        <w:rPr>
          <w:rFonts w:ascii="宋体" w:hAnsi="宋体" w:cs="宋体"/>
          <w:color w:val="auto"/>
          <w:sz w:val="21"/>
          <w:szCs w:val="21"/>
          <w:lang w:val="zh-CN"/>
        </w:rPr>
      </w:pPr>
      <w:r>
        <w:rPr>
          <w:rFonts w:hint="eastAsia" w:ascii="宋体" w:hAnsi="宋体" w:cs="宋体"/>
          <w:color w:val="auto"/>
          <w:sz w:val="21"/>
          <w:szCs w:val="21"/>
          <w:lang w:val="zh-CN"/>
        </w:rPr>
        <w:t>注：</w:t>
      </w:r>
      <w:r>
        <w:rPr>
          <w:rFonts w:hint="eastAsia" w:ascii="宋体" w:hAnsi="宋体" w:cs="宋体"/>
          <w:color w:val="auto"/>
          <w:sz w:val="21"/>
          <w:szCs w:val="21"/>
        </w:rPr>
        <w:t>1.</w:t>
      </w:r>
      <w:r>
        <w:rPr>
          <w:rFonts w:hint="eastAsia" w:ascii="宋体" w:hAnsi="宋体" w:cs="宋体"/>
          <w:color w:val="auto"/>
          <w:sz w:val="21"/>
          <w:szCs w:val="21"/>
          <w:lang w:val="zh-CN"/>
        </w:rPr>
        <w:t>企业业绩证明材料须提供合同关键页复印件。（以合同签订时间为准），同一项目只计分一次。</w:t>
      </w:r>
    </w:p>
    <w:p>
      <w:pPr>
        <w:pStyle w:val="26"/>
        <w:rPr>
          <w:rFonts w:ascii="宋体" w:hAnsi="宋体" w:cs="宋体"/>
          <w:color w:val="auto"/>
          <w:sz w:val="21"/>
          <w:szCs w:val="21"/>
        </w:rPr>
        <w:sectPr>
          <w:pgSz w:w="11906" w:h="16838"/>
          <w:pgMar w:top="1134" w:right="1134" w:bottom="850" w:left="1134" w:header="851" w:footer="595" w:gutter="0"/>
          <w:cols w:space="0" w:num="1"/>
          <w:docGrid w:type="lines" w:linePitch="312" w:charSpace="0"/>
        </w:sectPr>
      </w:pPr>
      <w:r>
        <w:rPr>
          <w:rFonts w:hint="eastAsia" w:ascii="宋体" w:hAnsi="宋体" w:cs="宋体"/>
          <w:color w:val="auto"/>
          <w:sz w:val="21"/>
          <w:szCs w:val="21"/>
        </w:rPr>
        <w:t xml:space="preserve">    2.项目人员须按要求提供职称证、注册证复印件且</w:t>
      </w:r>
      <w:r>
        <w:rPr>
          <w:rFonts w:hint="eastAsia" w:ascii="宋体" w:hAnsi="宋体" w:cs="宋体"/>
          <w:color w:val="auto"/>
          <w:sz w:val="21"/>
          <w:szCs w:val="21"/>
          <w:lang w:val="zh-CN"/>
        </w:rPr>
        <w:t>为报价单位人员，以提供的本单位近</w:t>
      </w:r>
      <w:r>
        <w:rPr>
          <w:rFonts w:hint="eastAsia" w:ascii="宋体" w:hAnsi="宋体" w:cs="宋体"/>
          <w:color w:val="auto"/>
          <w:sz w:val="21"/>
          <w:szCs w:val="21"/>
        </w:rPr>
        <w:t>1</w:t>
      </w:r>
      <w:r>
        <w:rPr>
          <w:rFonts w:hint="eastAsia" w:ascii="宋体" w:hAnsi="宋体" w:cs="宋体"/>
          <w:color w:val="auto"/>
          <w:sz w:val="21"/>
          <w:szCs w:val="21"/>
          <w:lang w:val="zh-CN"/>
        </w:rPr>
        <w:t>月社保证明为准，若不能提供的则本项不给予评分。</w:t>
      </w:r>
    </w:p>
    <w:p>
      <w:pPr>
        <w:pStyle w:val="26"/>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附件三</w:t>
      </w:r>
    </w:p>
    <w:p>
      <w:pPr>
        <w:pStyle w:val="37"/>
        <w:ind w:firstLine="0" w:firstLineChars="0"/>
        <w:jc w:val="center"/>
        <w:rPr>
          <w:rFonts w:ascii="宋体" w:hAnsi="宋体" w:cs="宋体"/>
          <w:b/>
          <w:snapToGrid/>
          <w:color w:val="auto"/>
          <w:spacing w:val="0"/>
          <w:kern w:val="2"/>
          <w:sz w:val="28"/>
          <w:szCs w:val="28"/>
        </w:rPr>
      </w:pPr>
      <w:r>
        <w:rPr>
          <w:rFonts w:hint="eastAsia" w:ascii="宋体" w:hAnsi="宋体" w:cs="宋体"/>
          <w:b/>
          <w:snapToGrid/>
          <w:color w:val="auto"/>
          <w:spacing w:val="0"/>
          <w:kern w:val="2"/>
          <w:sz w:val="28"/>
          <w:szCs w:val="28"/>
        </w:rPr>
        <w:t>报价表</w:t>
      </w:r>
    </w:p>
    <w:p>
      <w:pPr>
        <w:pStyle w:val="37"/>
        <w:ind w:firstLine="218" w:firstLineChars="100"/>
        <w:jc w:val="left"/>
        <w:rPr>
          <w:rFonts w:ascii="宋体" w:hAnsi="宋体" w:cs="宋体"/>
          <w:bCs/>
          <w:snapToGrid/>
          <w:color w:val="auto"/>
          <w:spacing w:val="0"/>
          <w:kern w:val="2"/>
          <w:sz w:val="21"/>
          <w:szCs w:val="21"/>
          <w:highlight w:val="none"/>
        </w:rPr>
      </w:pPr>
      <w:r>
        <w:rPr>
          <w:rFonts w:hint="eastAsia" w:ascii="宋体" w:hAnsi="宋体" w:cs="宋体"/>
          <w:bCs/>
          <w:color w:val="auto"/>
          <w:sz w:val="21"/>
          <w:szCs w:val="21"/>
        </w:rPr>
        <w:t>项目名称：</w:t>
      </w:r>
      <w:r>
        <w:rPr>
          <w:rFonts w:hint="eastAsia" w:ascii="宋体" w:hAnsi="宋体" w:cs="宋体"/>
          <w:color w:val="auto"/>
          <w:sz w:val="21"/>
          <w:szCs w:val="21"/>
          <w:highlight w:val="none"/>
          <w:u w:val="single"/>
          <w:lang w:val="en-US" w:eastAsia="zh-CN"/>
        </w:rPr>
        <w:t>金花</w:t>
      </w:r>
      <w:r>
        <w:rPr>
          <w:rFonts w:hint="eastAsia" w:ascii="宋体" w:hAnsi="宋体" w:cs="宋体"/>
          <w:color w:val="auto"/>
          <w:sz w:val="21"/>
          <w:szCs w:val="21"/>
          <w:highlight w:val="none"/>
          <w:u w:val="single"/>
        </w:rPr>
        <w:t>街</w:t>
      </w:r>
      <w:r>
        <w:rPr>
          <w:rFonts w:hint="eastAsia" w:ascii="宋体" w:hAnsi="宋体" w:cs="宋体"/>
          <w:color w:val="auto"/>
          <w:sz w:val="21"/>
          <w:szCs w:val="21"/>
          <w:highlight w:val="none"/>
          <w:u w:val="single"/>
          <w:lang w:val="en-US" w:eastAsia="zh-CN"/>
        </w:rPr>
        <w:t>林苑片区微改造（林苑、世纪社区）</w:t>
      </w:r>
      <w:r>
        <w:rPr>
          <w:rFonts w:hint="eastAsia" w:ascii="宋体" w:hAnsi="宋体" w:cs="宋体"/>
          <w:color w:val="auto"/>
          <w:sz w:val="21"/>
          <w:szCs w:val="21"/>
          <w:highlight w:val="none"/>
          <w:u w:val="single"/>
        </w:rPr>
        <w:t>实施方案编制</w:t>
      </w:r>
    </w:p>
    <w:tbl>
      <w:tblPr>
        <w:tblStyle w:val="20"/>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145" w:type="dxa"/>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服务内容</w:t>
            </w:r>
          </w:p>
        </w:tc>
        <w:tc>
          <w:tcPr>
            <w:tcW w:w="1575" w:type="dxa"/>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最高限价（元）</w:t>
            </w:r>
          </w:p>
        </w:tc>
        <w:tc>
          <w:tcPr>
            <w:tcW w:w="1440" w:type="dxa"/>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1517" w:type="dxa"/>
            <w:tcBorders>
              <w:bottom w:val="single" w:color="auto" w:sz="4" w:space="0"/>
            </w:tcBorders>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报价下浮率（%）</w:t>
            </w:r>
          </w:p>
        </w:tc>
        <w:tc>
          <w:tcPr>
            <w:tcW w:w="1933" w:type="dxa"/>
            <w:tcBorders>
              <w:bottom w:val="single" w:color="auto" w:sz="4" w:space="0"/>
            </w:tcBorders>
            <w:vAlign w:val="center"/>
          </w:tcPr>
          <w:p>
            <w:pPr>
              <w:adjustRightInd w:val="0"/>
              <w:snapToGrid w:val="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exact"/>
          <w:jc w:val="center"/>
        </w:trPr>
        <w:tc>
          <w:tcPr>
            <w:tcW w:w="707" w:type="dxa"/>
            <w:vAlign w:val="center"/>
          </w:tcPr>
          <w:p>
            <w:pPr>
              <w:adjustRightInd w:val="0"/>
              <w:snapToGrid w:val="0"/>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p>
        </w:tc>
        <w:tc>
          <w:tcPr>
            <w:tcW w:w="2145" w:type="dxa"/>
            <w:vAlign w:val="center"/>
          </w:tcPr>
          <w:p>
            <w:pPr>
              <w:adjustRightInd w:val="0"/>
              <w:snapToGrid w:val="0"/>
              <w:jc w:val="center"/>
              <w:rPr>
                <w:rFonts w:ascii="宋体" w:hAnsi="宋体" w:eastAsia="宋体" w:cs="宋体"/>
                <w:color w:val="auto"/>
                <w:highlight w:val="none"/>
                <w:u w:val="single"/>
              </w:rPr>
            </w:pPr>
            <w:r>
              <w:rPr>
                <w:rFonts w:hint="eastAsia" w:ascii="宋体" w:hAnsi="宋体" w:eastAsia="宋体" w:cs="宋体"/>
                <w:color w:val="auto"/>
                <w:highlight w:val="none"/>
                <w:u w:val="single"/>
              </w:rPr>
              <w:t>实施方案编制</w:t>
            </w:r>
          </w:p>
        </w:tc>
        <w:tc>
          <w:tcPr>
            <w:tcW w:w="1575" w:type="dxa"/>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0000.00</w:t>
            </w:r>
          </w:p>
        </w:tc>
        <w:tc>
          <w:tcPr>
            <w:tcW w:w="1440" w:type="dxa"/>
            <w:tcBorders>
              <w:right w:val="single" w:color="auto" w:sz="4" w:space="0"/>
            </w:tcBorders>
            <w:vAlign w:val="center"/>
          </w:tcPr>
          <w:p>
            <w:pPr>
              <w:keepNext/>
              <w:keepLines/>
              <w:spacing w:before="340" w:after="330" w:line="360" w:lineRule="auto"/>
              <w:jc w:val="center"/>
              <w:outlineLvl w:val="0"/>
              <w:rPr>
                <w:rFonts w:ascii="宋体" w:hAnsi="宋体" w:eastAsia="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宋体" w:hAnsi="宋体" w:eastAsia="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有效报价下浮率为0-10%。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报价总金额（单位：人民币元）</w:t>
            </w:r>
          </w:p>
        </w:tc>
        <w:tc>
          <w:tcPr>
            <w:tcW w:w="4890" w:type="dxa"/>
            <w:gridSpan w:val="3"/>
            <w:vAlign w:val="center"/>
          </w:tcPr>
          <w:p>
            <w:pPr>
              <w:pStyle w:val="15"/>
              <w:adjustRightInd w:val="0"/>
              <w:snapToGrid w:val="0"/>
              <w:spacing w:after="156" w:afterLines="50" w:line="360" w:lineRule="auto"/>
              <w:rPr>
                <w:rFonts w:ascii="宋体" w:hAnsi="宋体" w:cs="宋体"/>
                <w:color w:val="auto"/>
                <w:sz w:val="24"/>
              </w:rPr>
            </w:pPr>
            <w:r>
              <w:rPr>
                <w:rFonts w:hint="eastAsia" w:ascii="宋体" w:hAnsi="宋体" w:cs="宋体"/>
                <w:color w:val="auto"/>
                <w:sz w:val="24"/>
              </w:rPr>
              <w:t>大写：</w:t>
            </w:r>
          </w:p>
          <w:p>
            <w:pPr>
              <w:keepNext/>
              <w:keepLines/>
              <w:adjustRightInd w:val="0"/>
              <w:snapToGrid w:val="0"/>
              <w:spacing w:before="260" w:after="260" w:line="360" w:lineRule="auto"/>
              <w:outlineLvl w:val="2"/>
              <w:rPr>
                <w:rFonts w:ascii="宋体" w:hAnsi="宋体" w:eastAsia="宋体" w:cs="宋体"/>
                <w:color w:val="auto"/>
                <w:sz w:val="24"/>
                <w:szCs w:val="24"/>
              </w:rPr>
            </w:pPr>
            <w:r>
              <w:rPr>
                <w:rFonts w:hint="eastAsia" w:ascii="宋体" w:hAnsi="宋体" w:eastAsia="宋体" w:cs="宋体"/>
                <w:color w:val="auto"/>
                <w:sz w:val="24"/>
                <w:szCs w:val="24"/>
              </w:rPr>
              <w:t>小写：</w:t>
            </w:r>
          </w:p>
        </w:tc>
      </w:tr>
    </w:tbl>
    <w:p>
      <w:pPr>
        <w:adjustRightInd w:val="0"/>
        <w:snapToGrid w:val="0"/>
        <w:ind w:firstLine="210" w:firstLineChars="100"/>
        <w:jc w:val="left"/>
        <w:rPr>
          <w:rFonts w:ascii="宋体" w:hAnsi="宋体" w:cs="宋体"/>
          <w:color w:val="auto"/>
          <w:szCs w:val="21"/>
        </w:rPr>
      </w:pPr>
      <w:r>
        <w:rPr>
          <w:rFonts w:hint="eastAsia" w:ascii="宋体" w:hAnsi="宋体" w:cs="宋体"/>
          <w:color w:val="auto"/>
          <w:szCs w:val="21"/>
        </w:rPr>
        <w:t>注：1.该报价金额保留小数点后两位，第三位四舍五入，若大小写不一致时，以大写为准。</w:t>
      </w:r>
    </w:p>
    <w:p>
      <w:pPr>
        <w:pStyle w:val="26"/>
        <w:rPr>
          <w:rFonts w:asciiTheme="minorEastAsia" w:hAnsiTheme="minorEastAsia" w:eastAsiaTheme="minorEastAsia" w:cstheme="minorEastAsia"/>
          <w:color w:val="auto"/>
          <w:sz w:val="24"/>
          <w:szCs w:val="24"/>
        </w:rPr>
      </w:pPr>
      <w:r>
        <w:rPr>
          <w:rFonts w:hint="eastAsia" w:ascii="宋体" w:hAnsi="宋体" w:cs="宋体"/>
          <w:color w:val="auto"/>
          <w:szCs w:val="21"/>
        </w:rPr>
        <w:t xml:space="preserve">      2.若报价总金额与报价下浮率不一致时，以报价总金额为准，并修改报价下浮率。</w:t>
      </w:r>
    </w:p>
    <w:p>
      <w:pPr>
        <w:pStyle w:val="26"/>
        <w:ind w:firstLine="630" w:firstLineChars="300"/>
        <w:rPr>
          <w:rFonts w:ascii="宋体" w:hAnsi="宋体" w:cs="宋体"/>
          <w:color w:val="auto"/>
          <w:szCs w:val="21"/>
        </w:rPr>
      </w:pPr>
      <w:r>
        <w:rPr>
          <w:rFonts w:hint="eastAsia" w:ascii="宋体" w:hAnsi="宋体" w:cs="宋体"/>
          <w:color w:val="auto"/>
          <w:szCs w:val="21"/>
        </w:rPr>
        <w:t>3.报价应包括报价人履行本项目合同（如果中选）所必须的劳务（含技术人员及阶段性驻场技术人员）、设备（含各种车辆、办公用品、软件等使用费、进出场费）、文印费、差旅交通、报告编写费、各项管理费、就餐、住宿、管理、利润、规费、税金、保险等所有全部相关费用，以及合同明示或暗示的所有责任、义务和一般风险（含施工工期的延长），是对完成合同的全部偿付，与方案编制（含修编及调整）工作相关的其它辅助工作，其相关费用（含评审费）已包含在报价人的报价中，不再另行支付。</w:t>
      </w:r>
    </w:p>
    <w:p>
      <w:pPr>
        <w:pStyle w:val="26"/>
        <w:spacing w:line="360" w:lineRule="auto"/>
        <w:rPr>
          <w:rFonts w:asciiTheme="minorEastAsia" w:hAnsiTheme="minorEastAsia" w:eastAsiaTheme="minorEastAsia" w:cstheme="minorEastAsia"/>
          <w:color w:val="auto"/>
          <w:sz w:val="24"/>
          <w:szCs w:val="24"/>
        </w:rPr>
      </w:pPr>
    </w:p>
    <w:p>
      <w:pPr>
        <w:pStyle w:val="26"/>
        <w:spacing w:line="360" w:lineRule="auto"/>
        <w:rPr>
          <w:rFonts w:asciiTheme="minorEastAsia" w:hAnsiTheme="minorEastAsia" w:eastAsiaTheme="minorEastAsia" w:cstheme="minorEastAsia"/>
          <w:color w:val="auto"/>
          <w:sz w:val="24"/>
          <w:szCs w:val="24"/>
        </w:rPr>
      </w:pPr>
    </w:p>
    <w:p>
      <w:pPr>
        <w:pStyle w:val="26"/>
        <w:spacing w:line="360" w:lineRule="auto"/>
        <w:rPr>
          <w:rFonts w:asciiTheme="minorEastAsia" w:hAnsiTheme="minorEastAsia" w:eastAsiaTheme="minorEastAsia" w:cstheme="minorEastAsia"/>
          <w:color w:val="auto"/>
          <w:sz w:val="24"/>
          <w:szCs w:val="24"/>
        </w:rPr>
      </w:pP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报价人（公章）：</w:t>
      </w:r>
      <w:r>
        <w:rPr>
          <w:rFonts w:hint="eastAsia" w:asciiTheme="minorEastAsia" w:hAnsiTheme="minorEastAsia" w:cstheme="minorEastAsia"/>
          <w:color w:val="auto"/>
          <w:sz w:val="24"/>
          <w:szCs w:val="24"/>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法定代表人或授权代表（签字或盖章）：</w:t>
      </w:r>
      <w:r>
        <w:rPr>
          <w:rFonts w:hint="eastAsia" w:asciiTheme="minorEastAsia" w:hAnsiTheme="minorEastAsia" w:cstheme="minorEastAsia"/>
          <w:color w:val="auto"/>
          <w:sz w:val="24"/>
          <w:szCs w:val="24"/>
          <w:u w:val="single"/>
        </w:rPr>
        <w:t xml:space="preserve">        </w:t>
      </w:r>
    </w:p>
    <w:p>
      <w:pPr>
        <w:pStyle w:val="11"/>
        <w:adjustRightInd w:val="0"/>
        <w:snapToGrid w:val="0"/>
        <w:spacing w:line="360" w:lineRule="auto"/>
        <w:jc w:val="center"/>
        <w:rPr>
          <w:rFonts w:asciiTheme="minorEastAsia" w:hAnsiTheme="minorEastAsia" w:eastAsiaTheme="minorEastAsia" w:cstheme="minorEastAsia"/>
          <w:color w:val="auto"/>
          <w:sz w:val="24"/>
          <w:szCs w:val="24"/>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color w:val="auto"/>
          <w:sz w:val="24"/>
          <w:szCs w:val="24"/>
        </w:rPr>
        <w:t xml:space="preserve">       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26"/>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附件四</w:t>
      </w:r>
    </w:p>
    <w:p>
      <w:pPr>
        <w:pStyle w:val="11"/>
        <w:adjustRightInd w:val="0"/>
        <w:snapToGrid w:val="0"/>
        <w:spacing w:line="360" w:lineRule="auto"/>
        <w:jc w:val="center"/>
        <w:rPr>
          <w:rFonts w:hAnsi="宋体" w:eastAsia="宋体" w:cs="宋体"/>
          <w:b/>
          <w:color w:val="auto"/>
          <w:sz w:val="24"/>
          <w:szCs w:val="24"/>
        </w:rPr>
      </w:pPr>
      <w:r>
        <w:rPr>
          <w:rFonts w:hint="eastAsia" w:hAnsi="宋体" w:eastAsia="宋体" w:cs="宋体"/>
          <w:b/>
          <w:bCs/>
          <w:color w:val="auto"/>
          <w:sz w:val="24"/>
          <w:szCs w:val="24"/>
        </w:rPr>
        <w:t>业绩</w:t>
      </w:r>
      <w:r>
        <w:rPr>
          <w:rFonts w:hint="eastAsia" w:hAnsi="宋体" w:eastAsia="宋体" w:cs="宋体"/>
          <w:b/>
          <w:color w:val="auto"/>
          <w:sz w:val="24"/>
          <w:szCs w:val="24"/>
        </w:rPr>
        <w:t>情况汇总表</w:t>
      </w:r>
    </w:p>
    <w:p>
      <w:pPr>
        <w:pStyle w:val="11"/>
        <w:adjustRightInd w:val="0"/>
        <w:snapToGrid w:val="0"/>
        <w:spacing w:line="360" w:lineRule="auto"/>
        <w:jc w:val="center"/>
        <w:rPr>
          <w:rFonts w:hAnsi="宋体" w:eastAsia="宋体" w:cs="宋体"/>
          <w:b/>
          <w:color w:val="auto"/>
          <w:sz w:val="24"/>
          <w:szCs w:val="24"/>
        </w:rPr>
      </w:pPr>
      <w:r>
        <w:rPr>
          <w:rFonts w:hint="eastAsia" w:hAnsi="宋体" w:eastAsia="宋体" w:cs="宋体"/>
          <w:b/>
          <w:color w:val="auto"/>
          <w:sz w:val="24"/>
          <w:szCs w:val="24"/>
        </w:rPr>
        <w:t>（20</w:t>
      </w:r>
      <w:r>
        <w:rPr>
          <w:rFonts w:hint="eastAsia" w:hAnsi="宋体" w:eastAsia="宋体" w:cs="宋体"/>
          <w:b/>
          <w:color w:val="auto"/>
          <w:sz w:val="24"/>
          <w:szCs w:val="24"/>
          <w:u w:val="single"/>
        </w:rPr>
        <w:t xml:space="preserve">  </w:t>
      </w:r>
      <w:r>
        <w:rPr>
          <w:rFonts w:hint="eastAsia" w:hAnsi="宋体" w:eastAsia="宋体" w:cs="宋体"/>
          <w:b/>
          <w:color w:val="auto"/>
          <w:sz w:val="24"/>
          <w:szCs w:val="24"/>
        </w:rPr>
        <w:t>年1月1日至今）</w:t>
      </w:r>
    </w:p>
    <w:p>
      <w:pPr>
        <w:pStyle w:val="11"/>
        <w:adjustRightInd w:val="0"/>
        <w:snapToGrid w:val="0"/>
        <w:spacing w:line="360" w:lineRule="auto"/>
        <w:jc w:val="left"/>
        <w:rPr>
          <w:rFonts w:hAnsi="宋体" w:eastAsia="宋体" w:cs="宋体"/>
          <w:b/>
          <w:color w:val="auto"/>
          <w:szCs w:val="21"/>
        </w:rPr>
      </w:pPr>
      <w:r>
        <w:rPr>
          <w:rFonts w:hint="eastAsia" w:hAnsi="宋体" w:eastAsia="宋体" w:cs="宋体"/>
          <w:b/>
          <w:color w:val="auto"/>
          <w:sz w:val="24"/>
          <w:szCs w:val="24"/>
        </w:rPr>
        <w:t xml:space="preserve">   </w:t>
      </w:r>
      <w:r>
        <w:rPr>
          <w:rFonts w:hint="eastAsia" w:hAnsi="宋体" w:eastAsia="宋体" w:cs="宋体"/>
          <w:bCs/>
          <w:color w:val="auto"/>
          <w:szCs w:val="21"/>
        </w:rPr>
        <w:t>项目名称：</w:t>
      </w:r>
      <w:r>
        <w:rPr>
          <w:rFonts w:hint="eastAsia" w:hAnsi="宋体" w:eastAsia="宋体" w:cs="宋体"/>
          <w:color w:val="auto"/>
          <w:szCs w:val="21"/>
          <w:u w:val="single"/>
          <w:lang w:val="en-US" w:eastAsia="zh-CN"/>
        </w:rPr>
        <w:t>金花</w:t>
      </w:r>
      <w:r>
        <w:rPr>
          <w:rFonts w:hint="eastAsia" w:hAnsi="宋体" w:eastAsia="宋体" w:cs="宋体"/>
          <w:color w:val="auto"/>
          <w:szCs w:val="21"/>
          <w:u w:val="single"/>
        </w:rPr>
        <w:t>街</w:t>
      </w:r>
      <w:r>
        <w:rPr>
          <w:rFonts w:hint="eastAsia" w:hAnsi="宋体" w:eastAsia="宋体" w:cs="宋体"/>
          <w:color w:val="auto"/>
          <w:szCs w:val="21"/>
          <w:u w:val="single"/>
          <w:lang w:val="en-US" w:eastAsia="zh-CN"/>
        </w:rPr>
        <w:t>林苑片区微改造（林苑、世纪社区）</w:t>
      </w:r>
      <w:r>
        <w:rPr>
          <w:rFonts w:hint="eastAsia" w:hAnsi="宋体" w:eastAsia="宋体" w:cs="宋体"/>
          <w:color w:val="auto"/>
          <w:szCs w:val="21"/>
          <w:u w:val="single"/>
        </w:rPr>
        <w:t>实施方案编制</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04" w:type="dxa"/>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465" w:type="dxa"/>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项目业主</w:t>
            </w:r>
          </w:p>
        </w:tc>
        <w:tc>
          <w:tcPr>
            <w:tcW w:w="1596" w:type="dxa"/>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中标价或合同价（万元）</w:t>
            </w:r>
          </w:p>
        </w:tc>
        <w:tc>
          <w:tcPr>
            <w:tcW w:w="2013" w:type="dxa"/>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项目类型</w:t>
            </w:r>
          </w:p>
        </w:tc>
        <w:tc>
          <w:tcPr>
            <w:tcW w:w="2064" w:type="dxa"/>
            <w:vAlign w:val="center"/>
          </w:tcPr>
          <w:p>
            <w:pPr>
              <w:jc w:val="center"/>
              <w:rPr>
                <w:rFonts w:ascii="宋体" w:hAnsi="宋体" w:eastAsia="宋体" w:cs="宋体"/>
                <w:b/>
                <w:bCs/>
                <w:color w:val="auto"/>
                <w:sz w:val="24"/>
                <w:szCs w:val="24"/>
              </w:rPr>
            </w:pPr>
            <w:r>
              <w:rPr>
                <w:rFonts w:hint="eastAsia" w:ascii="宋体" w:hAnsi="宋体" w:eastAsia="宋体" w:cs="宋体"/>
                <w:b/>
                <w:color w:val="auto"/>
                <w:sz w:val="24"/>
                <w:szCs w:val="24"/>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w:t>
            </w:r>
          </w:p>
        </w:tc>
        <w:tc>
          <w:tcPr>
            <w:tcW w:w="1304" w:type="dxa"/>
            <w:vAlign w:val="center"/>
          </w:tcPr>
          <w:p>
            <w:pPr>
              <w:spacing w:line="360" w:lineRule="auto"/>
              <w:jc w:val="center"/>
              <w:rPr>
                <w:rFonts w:ascii="宋体" w:hAnsi="宋体" w:eastAsia="宋体" w:cs="宋体"/>
                <w:bCs/>
                <w:color w:val="auto"/>
                <w:sz w:val="24"/>
                <w:szCs w:val="24"/>
              </w:rPr>
            </w:pPr>
          </w:p>
        </w:tc>
        <w:tc>
          <w:tcPr>
            <w:tcW w:w="1465" w:type="dxa"/>
            <w:vAlign w:val="center"/>
          </w:tcPr>
          <w:p>
            <w:pPr>
              <w:spacing w:line="360" w:lineRule="auto"/>
              <w:jc w:val="center"/>
              <w:rPr>
                <w:rFonts w:ascii="宋体" w:hAnsi="宋体" w:eastAsia="宋体" w:cs="宋体"/>
                <w:bCs/>
                <w:color w:val="auto"/>
                <w:sz w:val="24"/>
                <w:szCs w:val="24"/>
              </w:rPr>
            </w:pPr>
          </w:p>
        </w:tc>
        <w:tc>
          <w:tcPr>
            <w:tcW w:w="1596" w:type="dxa"/>
            <w:vAlign w:val="center"/>
          </w:tcPr>
          <w:p>
            <w:pPr>
              <w:spacing w:line="360" w:lineRule="auto"/>
              <w:jc w:val="center"/>
              <w:rPr>
                <w:rFonts w:ascii="宋体" w:hAnsi="宋体" w:eastAsia="宋体" w:cs="宋体"/>
                <w:bCs/>
                <w:color w:val="auto"/>
                <w:sz w:val="24"/>
                <w:szCs w:val="24"/>
              </w:rPr>
            </w:pPr>
          </w:p>
        </w:tc>
        <w:tc>
          <w:tcPr>
            <w:tcW w:w="2013" w:type="dxa"/>
            <w:vAlign w:val="center"/>
          </w:tcPr>
          <w:p>
            <w:pPr>
              <w:spacing w:line="360" w:lineRule="auto"/>
              <w:jc w:val="center"/>
              <w:rPr>
                <w:rFonts w:ascii="宋体" w:hAnsi="宋体" w:eastAsia="宋体" w:cs="宋体"/>
                <w:bCs/>
                <w:color w:val="auto"/>
                <w:sz w:val="24"/>
                <w:szCs w:val="24"/>
              </w:rPr>
            </w:pPr>
          </w:p>
        </w:tc>
        <w:tc>
          <w:tcPr>
            <w:tcW w:w="2064" w:type="dxa"/>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w:t>
            </w:r>
          </w:p>
        </w:tc>
        <w:tc>
          <w:tcPr>
            <w:tcW w:w="1304" w:type="dxa"/>
            <w:vAlign w:val="center"/>
          </w:tcPr>
          <w:p>
            <w:pPr>
              <w:spacing w:line="360" w:lineRule="auto"/>
              <w:jc w:val="center"/>
              <w:rPr>
                <w:rFonts w:ascii="宋体" w:hAnsi="宋体" w:eastAsia="宋体" w:cs="宋体"/>
                <w:bCs/>
                <w:color w:val="auto"/>
                <w:sz w:val="24"/>
                <w:szCs w:val="24"/>
              </w:rPr>
            </w:pPr>
          </w:p>
        </w:tc>
        <w:tc>
          <w:tcPr>
            <w:tcW w:w="1465" w:type="dxa"/>
            <w:vAlign w:val="center"/>
          </w:tcPr>
          <w:p>
            <w:pPr>
              <w:spacing w:line="360" w:lineRule="auto"/>
              <w:jc w:val="center"/>
              <w:rPr>
                <w:rFonts w:ascii="宋体" w:hAnsi="宋体" w:eastAsia="宋体" w:cs="宋体"/>
                <w:bCs/>
                <w:color w:val="auto"/>
                <w:sz w:val="24"/>
                <w:szCs w:val="24"/>
              </w:rPr>
            </w:pPr>
          </w:p>
        </w:tc>
        <w:tc>
          <w:tcPr>
            <w:tcW w:w="1596" w:type="dxa"/>
            <w:vAlign w:val="center"/>
          </w:tcPr>
          <w:p>
            <w:pPr>
              <w:spacing w:line="360" w:lineRule="auto"/>
              <w:jc w:val="center"/>
              <w:rPr>
                <w:rFonts w:ascii="宋体" w:hAnsi="宋体" w:eastAsia="宋体" w:cs="宋体"/>
                <w:bCs/>
                <w:color w:val="auto"/>
                <w:sz w:val="24"/>
                <w:szCs w:val="24"/>
              </w:rPr>
            </w:pPr>
          </w:p>
        </w:tc>
        <w:tc>
          <w:tcPr>
            <w:tcW w:w="2013" w:type="dxa"/>
            <w:vAlign w:val="center"/>
          </w:tcPr>
          <w:p>
            <w:pPr>
              <w:spacing w:line="360" w:lineRule="auto"/>
              <w:jc w:val="center"/>
              <w:rPr>
                <w:rFonts w:ascii="宋体" w:hAnsi="宋体" w:eastAsia="宋体" w:cs="宋体"/>
                <w:bCs/>
                <w:color w:val="auto"/>
                <w:sz w:val="24"/>
                <w:szCs w:val="24"/>
              </w:rPr>
            </w:pPr>
          </w:p>
        </w:tc>
        <w:tc>
          <w:tcPr>
            <w:tcW w:w="2064" w:type="dxa"/>
            <w:vAlign w:val="center"/>
          </w:tcPr>
          <w:p>
            <w:pPr>
              <w:spacing w:line="360" w:lineRule="auto"/>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1304" w:type="dxa"/>
            <w:vAlign w:val="center"/>
          </w:tcPr>
          <w:p>
            <w:pPr>
              <w:spacing w:line="360" w:lineRule="auto"/>
              <w:jc w:val="center"/>
              <w:rPr>
                <w:rFonts w:ascii="宋体" w:hAnsi="宋体" w:eastAsia="宋体" w:cs="宋体"/>
                <w:bCs/>
                <w:color w:val="auto"/>
                <w:sz w:val="24"/>
                <w:szCs w:val="24"/>
              </w:rPr>
            </w:pPr>
          </w:p>
        </w:tc>
        <w:tc>
          <w:tcPr>
            <w:tcW w:w="1465" w:type="dxa"/>
            <w:vAlign w:val="center"/>
          </w:tcPr>
          <w:p>
            <w:pPr>
              <w:spacing w:line="360" w:lineRule="auto"/>
              <w:jc w:val="center"/>
              <w:rPr>
                <w:rFonts w:ascii="宋体" w:hAnsi="宋体" w:eastAsia="宋体" w:cs="宋体"/>
                <w:bCs/>
                <w:color w:val="auto"/>
                <w:sz w:val="24"/>
                <w:szCs w:val="24"/>
              </w:rPr>
            </w:pPr>
          </w:p>
        </w:tc>
        <w:tc>
          <w:tcPr>
            <w:tcW w:w="1596" w:type="dxa"/>
            <w:vAlign w:val="center"/>
          </w:tcPr>
          <w:p>
            <w:pPr>
              <w:spacing w:line="360" w:lineRule="auto"/>
              <w:jc w:val="center"/>
              <w:rPr>
                <w:rFonts w:ascii="宋体" w:hAnsi="宋体" w:eastAsia="宋体" w:cs="宋体"/>
                <w:bCs/>
                <w:color w:val="auto"/>
                <w:sz w:val="24"/>
                <w:szCs w:val="24"/>
              </w:rPr>
            </w:pPr>
          </w:p>
        </w:tc>
        <w:tc>
          <w:tcPr>
            <w:tcW w:w="2013" w:type="dxa"/>
            <w:vAlign w:val="center"/>
          </w:tcPr>
          <w:p>
            <w:pPr>
              <w:spacing w:line="360" w:lineRule="auto"/>
              <w:jc w:val="center"/>
              <w:rPr>
                <w:rFonts w:ascii="宋体" w:hAnsi="宋体" w:eastAsia="宋体" w:cs="宋体"/>
                <w:bCs/>
                <w:color w:val="auto"/>
                <w:sz w:val="24"/>
                <w:szCs w:val="24"/>
              </w:rPr>
            </w:pPr>
          </w:p>
        </w:tc>
        <w:tc>
          <w:tcPr>
            <w:tcW w:w="2064" w:type="dxa"/>
            <w:vAlign w:val="center"/>
          </w:tcPr>
          <w:p>
            <w:pPr>
              <w:spacing w:line="360" w:lineRule="auto"/>
              <w:jc w:val="center"/>
              <w:rPr>
                <w:rFonts w:ascii="宋体" w:hAnsi="宋体" w:eastAsia="宋体" w:cs="宋体"/>
                <w:bCs/>
                <w:color w:val="auto"/>
                <w:sz w:val="24"/>
                <w:szCs w:val="24"/>
              </w:rPr>
            </w:pPr>
          </w:p>
        </w:tc>
      </w:tr>
    </w:tbl>
    <w:p>
      <w:pPr>
        <w:adjustRightInd w:val="0"/>
        <w:snapToGrid w:val="0"/>
        <w:spacing w:line="360" w:lineRule="auto"/>
        <w:ind w:firstLine="420" w:firstLineChars="200"/>
        <w:rPr>
          <w:rFonts w:asciiTheme="minorEastAsia" w:hAnsiTheme="minorEastAsia" w:cstheme="minorEastAsia"/>
          <w:color w:val="auto"/>
          <w:szCs w:val="21"/>
        </w:rPr>
      </w:pPr>
      <w:r>
        <w:rPr>
          <w:rFonts w:hint="eastAsia" w:ascii="宋体" w:hAnsi="宋体" w:eastAsia="宋体" w:cs="宋体"/>
          <w:bCs/>
          <w:color w:val="auto"/>
          <w:szCs w:val="21"/>
        </w:rPr>
        <w:t>注：</w:t>
      </w:r>
      <w:r>
        <w:rPr>
          <w:rFonts w:hint="eastAsia" w:ascii="宋体" w:hAnsi="宋体" w:eastAsia="宋体" w:cs="宋体"/>
          <w:color w:val="auto"/>
          <w:szCs w:val="21"/>
        </w:rPr>
        <w:t>本表后应按要求附业绩证明材料。</w:t>
      </w: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rPr>
      </w:pP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报价人（公章）：</w:t>
      </w:r>
      <w:r>
        <w:rPr>
          <w:rFonts w:hint="eastAsia" w:asciiTheme="minorEastAsia" w:hAnsiTheme="minorEastAsia" w:cstheme="minorEastAsia"/>
          <w:color w:val="auto"/>
          <w:sz w:val="24"/>
          <w:szCs w:val="24"/>
          <w:u w:val="single"/>
        </w:rPr>
        <w:t xml:space="preserve">                        </w:t>
      </w: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法定代表人或授权代表（签字或盖章）：</w:t>
      </w:r>
      <w:r>
        <w:rPr>
          <w:rFonts w:hint="eastAsia" w:asciiTheme="minorEastAsia" w:hAnsiTheme="minorEastAsia" w:cstheme="minorEastAsia"/>
          <w:color w:val="auto"/>
          <w:sz w:val="24"/>
          <w:szCs w:val="24"/>
          <w:u w:val="single"/>
        </w:rPr>
        <w:t xml:space="preserve">        </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sz w:val="24"/>
          <w:szCs w:val="24"/>
        </w:rPr>
        <w:t xml:space="preserve">                                日期：</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日</w:t>
      </w:r>
    </w:p>
    <w:p>
      <w:pP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 xml:space="preserve">  </w:t>
      </w: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rPr>
          <w:rFonts w:asciiTheme="minorEastAsia" w:hAnsiTheme="minorEastAsia" w:cstheme="minorEastAsia"/>
          <w:b/>
          <w:color w:val="auto"/>
          <w:sz w:val="28"/>
          <w:szCs w:val="28"/>
        </w:rPr>
      </w:pPr>
    </w:p>
    <w:p>
      <w:pPr>
        <w:pStyle w:val="26"/>
        <w:rPr>
          <w:rFonts w:asciiTheme="minorEastAsia" w:hAnsiTheme="minorEastAsia" w:eastAsiaTheme="minorEastAsia" w:cstheme="minorEastAsia"/>
          <w:color w:val="auto"/>
        </w:rPr>
      </w:pP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br w:type="page"/>
      </w:r>
    </w:p>
    <w:p>
      <w:pPr>
        <w:pStyle w:val="11"/>
        <w:spacing w:line="360" w:lineRule="auto"/>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附件五</w:t>
      </w:r>
    </w:p>
    <w:p>
      <w:pPr>
        <w:pStyle w:val="11"/>
        <w:adjustRightInd w:val="0"/>
        <w:snapToGrid w:val="0"/>
        <w:spacing w:line="360" w:lineRule="auto"/>
        <w:jc w:val="center"/>
        <w:rPr>
          <w:rFonts w:hAnsi="宋体" w:eastAsia="宋体" w:cs="宋体"/>
          <w:color w:val="auto"/>
          <w:sz w:val="24"/>
          <w:szCs w:val="24"/>
        </w:rPr>
      </w:pPr>
    </w:p>
    <w:p>
      <w:pPr>
        <w:pStyle w:val="11"/>
        <w:adjustRightInd w:val="0"/>
        <w:snapToGrid w:val="0"/>
        <w:spacing w:line="360" w:lineRule="auto"/>
        <w:jc w:val="center"/>
        <w:rPr>
          <w:rFonts w:hAnsi="宋体" w:eastAsia="宋体" w:cs="宋体"/>
          <w:b/>
          <w:color w:val="auto"/>
          <w:sz w:val="24"/>
          <w:szCs w:val="24"/>
        </w:rPr>
      </w:pPr>
      <w:r>
        <w:rPr>
          <w:rFonts w:hint="eastAsia" w:hAnsi="宋体" w:eastAsia="宋体" w:cs="宋体"/>
          <w:b/>
          <w:color w:val="auto"/>
          <w:sz w:val="24"/>
          <w:szCs w:val="24"/>
        </w:rPr>
        <w:t>项目负责人及其他人员配备情况表</w:t>
      </w:r>
    </w:p>
    <w:p>
      <w:pPr>
        <w:pStyle w:val="11"/>
        <w:adjustRightInd w:val="0"/>
        <w:snapToGrid w:val="0"/>
        <w:spacing w:line="360" w:lineRule="auto"/>
        <w:ind w:firstLine="210" w:firstLineChars="100"/>
        <w:jc w:val="left"/>
        <w:rPr>
          <w:rFonts w:hAnsi="宋体" w:eastAsia="宋体" w:cs="宋体"/>
          <w:b/>
          <w:color w:val="auto"/>
          <w:szCs w:val="21"/>
        </w:rPr>
      </w:pPr>
      <w:r>
        <w:rPr>
          <w:rFonts w:hint="eastAsia" w:hAnsi="宋体" w:eastAsia="宋体" w:cs="宋体"/>
          <w:color w:val="auto"/>
          <w:szCs w:val="21"/>
        </w:rPr>
        <w:t>项目名称：</w:t>
      </w:r>
      <w:r>
        <w:rPr>
          <w:rFonts w:hint="eastAsia" w:hAnsi="宋体" w:eastAsia="宋体" w:cs="宋体"/>
          <w:color w:val="auto"/>
          <w:szCs w:val="21"/>
          <w:u w:val="single"/>
          <w:lang w:val="en-US" w:eastAsia="zh-CN"/>
        </w:rPr>
        <w:t>金花</w:t>
      </w:r>
      <w:r>
        <w:rPr>
          <w:rFonts w:hint="eastAsia" w:hAnsi="宋体" w:eastAsia="宋体" w:cs="宋体"/>
          <w:color w:val="auto"/>
          <w:szCs w:val="21"/>
          <w:u w:val="single"/>
        </w:rPr>
        <w:t>街</w:t>
      </w:r>
      <w:r>
        <w:rPr>
          <w:rFonts w:hint="eastAsia" w:hAnsi="宋体" w:eastAsia="宋体" w:cs="宋体"/>
          <w:color w:val="auto"/>
          <w:szCs w:val="21"/>
          <w:u w:val="single"/>
          <w:lang w:val="en-US" w:eastAsia="zh-CN"/>
        </w:rPr>
        <w:t>林苑片区微改造（林苑、世纪社区）</w:t>
      </w:r>
      <w:r>
        <w:rPr>
          <w:rFonts w:hint="eastAsia" w:hAnsi="宋体" w:eastAsia="宋体" w:cs="宋体"/>
          <w:color w:val="auto"/>
          <w:szCs w:val="21"/>
          <w:u w:val="single"/>
        </w:rPr>
        <w:t>实施方案编制</w:t>
      </w: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518" w:type="dxa"/>
            <w:vAlign w:val="center"/>
          </w:tcPr>
          <w:p>
            <w:pPr>
              <w:autoSpaceDE w:val="0"/>
              <w:autoSpaceDN w:val="0"/>
              <w:adjustRightInd w:val="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职责</w:t>
            </w:r>
          </w:p>
          <w:p>
            <w:pPr>
              <w:tabs>
                <w:tab w:val="left" w:pos="1322"/>
              </w:tabs>
              <w:jc w:val="center"/>
              <w:rPr>
                <w:rFonts w:ascii="宋体" w:hAnsi="宋体" w:eastAsia="宋体" w:cs="宋体"/>
                <w:color w:val="auto"/>
                <w:sz w:val="24"/>
                <w:szCs w:val="24"/>
                <w:lang w:val="en-GB"/>
              </w:rPr>
            </w:pPr>
            <w:r>
              <w:rPr>
                <w:rFonts w:hint="eastAsia" w:ascii="宋体" w:hAnsi="宋体" w:eastAsia="宋体" w:cs="宋体"/>
                <w:b/>
                <w:bCs/>
                <w:color w:val="auto"/>
                <w:kern w:val="0"/>
                <w:sz w:val="24"/>
                <w:szCs w:val="24"/>
              </w:rPr>
              <w:t>分工</w:t>
            </w:r>
          </w:p>
        </w:tc>
        <w:tc>
          <w:tcPr>
            <w:tcW w:w="1620" w:type="dxa"/>
            <w:vAlign w:val="center"/>
          </w:tcPr>
          <w:p>
            <w:pPr>
              <w:tabs>
                <w:tab w:val="left" w:pos="1322"/>
              </w:tabs>
              <w:jc w:val="center"/>
              <w:rPr>
                <w:rFonts w:ascii="宋体" w:hAnsi="宋体" w:eastAsia="宋体" w:cs="宋体"/>
                <w:color w:val="auto"/>
                <w:sz w:val="24"/>
                <w:szCs w:val="24"/>
                <w:lang w:val="en-GB"/>
              </w:rPr>
            </w:pPr>
            <w:r>
              <w:rPr>
                <w:rFonts w:hint="eastAsia" w:ascii="宋体" w:hAnsi="宋体" w:eastAsia="宋体" w:cs="宋体"/>
                <w:b/>
                <w:bCs/>
                <w:color w:val="auto"/>
                <w:kern w:val="0"/>
                <w:sz w:val="24"/>
                <w:szCs w:val="24"/>
              </w:rPr>
              <w:t>姓名</w:t>
            </w:r>
          </w:p>
        </w:tc>
        <w:tc>
          <w:tcPr>
            <w:tcW w:w="1424" w:type="dxa"/>
            <w:vAlign w:val="center"/>
          </w:tcPr>
          <w:p>
            <w:pPr>
              <w:tabs>
                <w:tab w:val="left" w:pos="1322"/>
              </w:tabs>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学历</w:t>
            </w:r>
          </w:p>
        </w:tc>
        <w:tc>
          <w:tcPr>
            <w:tcW w:w="1399" w:type="dxa"/>
            <w:vAlign w:val="center"/>
          </w:tcPr>
          <w:p>
            <w:pPr>
              <w:tabs>
                <w:tab w:val="left" w:pos="1322"/>
              </w:tabs>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职称/注册执业资格</w:t>
            </w:r>
          </w:p>
        </w:tc>
        <w:tc>
          <w:tcPr>
            <w:tcW w:w="2269" w:type="dxa"/>
            <w:vAlign w:val="center"/>
          </w:tcPr>
          <w:p>
            <w:pPr>
              <w:tabs>
                <w:tab w:val="left" w:pos="1322"/>
              </w:tabs>
              <w:jc w:val="center"/>
              <w:rPr>
                <w:rFonts w:ascii="宋体" w:hAnsi="宋体" w:eastAsia="宋体" w:cs="宋体"/>
                <w:color w:val="auto"/>
                <w:sz w:val="24"/>
                <w:szCs w:val="24"/>
                <w:lang w:val="en-GB"/>
              </w:rPr>
            </w:pPr>
            <w:r>
              <w:rPr>
                <w:rFonts w:hint="eastAsia" w:ascii="宋体" w:hAnsi="宋体" w:eastAsia="宋体" w:cs="宋体"/>
                <w:b/>
                <w:bCs/>
                <w:color w:val="auto"/>
                <w:kern w:val="0"/>
                <w:sz w:val="24"/>
                <w:szCs w:val="24"/>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1518" w:type="dxa"/>
            <w:vAlign w:val="center"/>
          </w:tcPr>
          <w:p>
            <w:pPr>
              <w:tabs>
                <w:tab w:val="left" w:pos="1322"/>
              </w:tabs>
              <w:spacing w:line="360" w:lineRule="auto"/>
              <w:jc w:val="center"/>
              <w:rPr>
                <w:rFonts w:ascii="宋体" w:hAnsi="宋体" w:eastAsia="宋体" w:cs="宋体"/>
                <w:color w:val="auto"/>
                <w:sz w:val="24"/>
                <w:szCs w:val="24"/>
                <w:lang w:val="en-GB"/>
              </w:rPr>
            </w:pPr>
            <w:r>
              <w:rPr>
                <w:rFonts w:hint="eastAsia" w:ascii="宋体" w:hAnsi="宋体" w:eastAsia="宋体" w:cs="宋体"/>
                <w:color w:val="auto"/>
                <w:kern w:val="0"/>
                <w:sz w:val="24"/>
                <w:szCs w:val="24"/>
              </w:rPr>
              <w:t>项目负责人</w:t>
            </w:r>
          </w:p>
        </w:tc>
        <w:tc>
          <w:tcPr>
            <w:tcW w:w="1620"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424"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399" w:type="dxa"/>
            <w:vAlign w:val="center"/>
          </w:tcPr>
          <w:p>
            <w:pPr>
              <w:tabs>
                <w:tab w:val="left" w:pos="1322"/>
              </w:tabs>
              <w:spacing w:line="360" w:lineRule="auto"/>
              <w:jc w:val="center"/>
              <w:rPr>
                <w:rFonts w:ascii="宋体" w:hAnsi="宋体" w:eastAsia="宋体" w:cs="宋体"/>
                <w:color w:val="auto"/>
                <w:sz w:val="24"/>
                <w:szCs w:val="24"/>
                <w:lang w:val="en-GB"/>
              </w:rPr>
            </w:pPr>
          </w:p>
        </w:tc>
        <w:tc>
          <w:tcPr>
            <w:tcW w:w="2269" w:type="dxa"/>
            <w:vAlign w:val="center"/>
          </w:tcPr>
          <w:p>
            <w:pPr>
              <w:tabs>
                <w:tab w:val="left" w:pos="1322"/>
              </w:tabs>
              <w:spacing w:line="360" w:lineRule="auto"/>
              <w:jc w:val="center"/>
              <w:rPr>
                <w:rFonts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18" w:type="dxa"/>
            <w:vMerge w:val="restart"/>
            <w:vAlign w:val="center"/>
          </w:tcPr>
          <w:p>
            <w:pPr>
              <w:tabs>
                <w:tab w:val="left" w:pos="1322"/>
              </w:tabs>
              <w:spacing w:line="360" w:lineRule="auto"/>
              <w:jc w:val="center"/>
              <w:rPr>
                <w:rFonts w:ascii="宋体" w:hAnsi="宋体" w:eastAsia="宋体" w:cs="宋体"/>
                <w:color w:val="auto"/>
                <w:sz w:val="24"/>
                <w:szCs w:val="24"/>
                <w:lang w:val="en-GB"/>
              </w:rPr>
            </w:pPr>
            <w:r>
              <w:rPr>
                <w:rFonts w:hint="eastAsia" w:ascii="宋体" w:hAnsi="宋体" w:eastAsia="宋体" w:cs="宋体"/>
                <w:color w:val="auto"/>
                <w:kern w:val="0"/>
                <w:sz w:val="24"/>
                <w:szCs w:val="24"/>
              </w:rPr>
              <w:t>主要经办人员及其他人员配备情况</w:t>
            </w:r>
          </w:p>
        </w:tc>
        <w:tc>
          <w:tcPr>
            <w:tcW w:w="1620"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424"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399" w:type="dxa"/>
            <w:vAlign w:val="center"/>
          </w:tcPr>
          <w:p>
            <w:pPr>
              <w:tabs>
                <w:tab w:val="left" w:pos="1322"/>
              </w:tabs>
              <w:spacing w:line="360" w:lineRule="auto"/>
              <w:jc w:val="center"/>
              <w:rPr>
                <w:rFonts w:ascii="宋体" w:hAnsi="宋体" w:eastAsia="宋体" w:cs="宋体"/>
                <w:color w:val="auto"/>
                <w:sz w:val="24"/>
                <w:szCs w:val="24"/>
                <w:lang w:val="en-GB"/>
              </w:rPr>
            </w:pPr>
          </w:p>
        </w:tc>
        <w:tc>
          <w:tcPr>
            <w:tcW w:w="2269" w:type="dxa"/>
            <w:vAlign w:val="center"/>
          </w:tcPr>
          <w:p>
            <w:pPr>
              <w:tabs>
                <w:tab w:val="left" w:pos="1322"/>
              </w:tabs>
              <w:spacing w:line="360" w:lineRule="auto"/>
              <w:jc w:val="center"/>
              <w:rPr>
                <w:rFonts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18" w:type="dxa"/>
            <w:vMerge w:val="continue"/>
            <w:vAlign w:val="center"/>
          </w:tcPr>
          <w:p>
            <w:pPr>
              <w:tabs>
                <w:tab w:val="left" w:pos="1322"/>
              </w:tabs>
              <w:spacing w:line="360" w:lineRule="auto"/>
              <w:jc w:val="center"/>
              <w:rPr>
                <w:rFonts w:ascii="宋体" w:hAnsi="宋体" w:eastAsia="宋体" w:cs="宋体"/>
                <w:color w:val="auto"/>
                <w:kern w:val="0"/>
                <w:sz w:val="24"/>
                <w:szCs w:val="24"/>
              </w:rPr>
            </w:pPr>
          </w:p>
        </w:tc>
        <w:tc>
          <w:tcPr>
            <w:tcW w:w="1620"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424"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399" w:type="dxa"/>
            <w:vAlign w:val="center"/>
          </w:tcPr>
          <w:p>
            <w:pPr>
              <w:tabs>
                <w:tab w:val="left" w:pos="1322"/>
              </w:tabs>
              <w:spacing w:line="360" w:lineRule="auto"/>
              <w:jc w:val="center"/>
              <w:rPr>
                <w:rFonts w:ascii="宋体" w:hAnsi="宋体" w:eastAsia="宋体" w:cs="宋体"/>
                <w:color w:val="auto"/>
                <w:sz w:val="24"/>
                <w:szCs w:val="24"/>
                <w:lang w:val="en-GB"/>
              </w:rPr>
            </w:pPr>
          </w:p>
        </w:tc>
        <w:tc>
          <w:tcPr>
            <w:tcW w:w="2269" w:type="dxa"/>
            <w:vAlign w:val="center"/>
          </w:tcPr>
          <w:p>
            <w:pPr>
              <w:tabs>
                <w:tab w:val="left" w:pos="1322"/>
              </w:tabs>
              <w:spacing w:line="360" w:lineRule="auto"/>
              <w:jc w:val="center"/>
              <w:rPr>
                <w:rFonts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18" w:type="dxa"/>
            <w:vMerge w:val="continue"/>
            <w:vAlign w:val="center"/>
          </w:tcPr>
          <w:p>
            <w:pPr>
              <w:tabs>
                <w:tab w:val="left" w:pos="1322"/>
              </w:tabs>
              <w:spacing w:line="360" w:lineRule="auto"/>
              <w:jc w:val="center"/>
              <w:rPr>
                <w:rFonts w:ascii="宋体" w:hAnsi="宋体" w:eastAsia="宋体" w:cs="宋体"/>
                <w:color w:val="auto"/>
                <w:kern w:val="0"/>
                <w:sz w:val="24"/>
                <w:szCs w:val="24"/>
              </w:rPr>
            </w:pPr>
          </w:p>
        </w:tc>
        <w:tc>
          <w:tcPr>
            <w:tcW w:w="1620"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424"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399" w:type="dxa"/>
            <w:vAlign w:val="center"/>
          </w:tcPr>
          <w:p>
            <w:pPr>
              <w:tabs>
                <w:tab w:val="left" w:pos="1322"/>
              </w:tabs>
              <w:spacing w:line="360" w:lineRule="auto"/>
              <w:jc w:val="center"/>
              <w:rPr>
                <w:rFonts w:ascii="宋体" w:hAnsi="宋体" w:eastAsia="宋体" w:cs="宋体"/>
                <w:color w:val="auto"/>
                <w:sz w:val="24"/>
                <w:szCs w:val="24"/>
                <w:lang w:val="en-GB"/>
              </w:rPr>
            </w:pPr>
          </w:p>
        </w:tc>
        <w:tc>
          <w:tcPr>
            <w:tcW w:w="2269" w:type="dxa"/>
            <w:vAlign w:val="center"/>
          </w:tcPr>
          <w:p>
            <w:pPr>
              <w:tabs>
                <w:tab w:val="left" w:pos="1322"/>
              </w:tabs>
              <w:spacing w:line="360" w:lineRule="auto"/>
              <w:jc w:val="center"/>
              <w:rPr>
                <w:rFonts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518" w:type="dxa"/>
            <w:vMerge w:val="continue"/>
            <w:vAlign w:val="center"/>
          </w:tcPr>
          <w:p>
            <w:pPr>
              <w:tabs>
                <w:tab w:val="left" w:pos="1322"/>
              </w:tabs>
              <w:spacing w:line="360" w:lineRule="auto"/>
              <w:jc w:val="center"/>
              <w:rPr>
                <w:rFonts w:ascii="宋体" w:hAnsi="宋体" w:eastAsia="宋体" w:cs="宋体"/>
                <w:color w:val="auto"/>
                <w:kern w:val="0"/>
                <w:sz w:val="24"/>
                <w:szCs w:val="24"/>
              </w:rPr>
            </w:pPr>
          </w:p>
        </w:tc>
        <w:tc>
          <w:tcPr>
            <w:tcW w:w="1620"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424" w:type="dxa"/>
            <w:vAlign w:val="center"/>
          </w:tcPr>
          <w:p>
            <w:pPr>
              <w:tabs>
                <w:tab w:val="left" w:pos="1322"/>
              </w:tabs>
              <w:spacing w:line="360" w:lineRule="auto"/>
              <w:jc w:val="center"/>
              <w:rPr>
                <w:rFonts w:ascii="宋体" w:hAnsi="宋体" w:eastAsia="宋体" w:cs="宋体"/>
                <w:color w:val="auto"/>
                <w:sz w:val="24"/>
                <w:szCs w:val="24"/>
                <w:lang w:val="en-GB"/>
              </w:rPr>
            </w:pPr>
          </w:p>
        </w:tc>
        <w:tc>
          <w:tcPr>
            <w:tcW w:w="1399" w:type="dxa"/>
            <w:vAlign w:val="center"/>
          </w:tcPr>
          <w:p>
            <w:pPr>
              <w:tabs>
                <w:tab w:val="left" w:pos="1322"/>
              </w:tabs>
              <w:spacing w:line="360" w:lineRule="auto"/>
              <w:jc w:val="center"/>
              <w:rPr>
                <w:rFonts w:ascii="宋体" w:hAnsi="宋体" w:eastAsia="宋体" w:cs="宋体"/>
                <w:color w:val="auto"/>
                <w:sz w:val="24"/>
                <w:szCs w:val="24"/>
                <w:lang w:val="en-GB"/>
              </w:rPr>
            </w:pPr>
          </w:p>
        </w:tc>
        <w:tc>
          <w:tcPr>
            <w:tcW w:w="2269" w:type="dxa"/>
            <w:vAlign w:val="center"/>
          </w:tcPr>
          <w:p>
            <w:pPr>
              <w:tabs>
                <w:tab w:val="left" w:pos="1322"/>
              </w:tabs>
              <w:spacing w:line="360" w:lineRule="auto"/>
              <w:jc w:val="center"/>
              <w:rPr>
                <w:rFonts w:ascii="宋体" w:hAnsi="宋体" w:eastAsia="宋体" w:cs="宋体"/>
                <w:color w:val="auto"/>
                <w:sz w:val="24"/>
                <w:szCs w:val="24"/>
                <w:lang w:val="en-GB"/>
              </w:rPr>
            </w:pPr>
          </w:p>
        </w:tc>
      </w:tr>
    </w:tbl>
    <w:p>
      <w:pPr>
        <w:adjustRightInd w:val="0"/>
        <w:snapToGrid w:val="0"/>
        <w:spacing w:line="360" w:lineRule="auto"/>
        <w:ind w:firstLine="210" w:firstLineChars="100"/>
        <w:rPr>
          <w:rFonts w:asciiTheme="minorEastAsia" w:hAnsiTheme="minorEastAsia" w:cstheme="minorEastAsia"/>
          <w:bCs/>
          <w:color w:val="auto"/>
          <w:kern w:val="0"/>
          <w:szCs w:val="21"/>
        </w:rPr>
      </w:pPr>
      <w:r>
        <w:rPr>
          <w:rFonts w:hint="eastAsia" w:ascii="宋体" w:hAnsi="宋体" w:eastAsia="宋体" w:cs="宋体"/>
          <w:bCs/>
          <w:color w:val="auto"/>
          <w:kern w:val="0"/>
          <w:szCs w:val="21"/>
        </w:rPr>
        <w:t>注：</w:t>
      </w:r>
      <w:r>
        <w:rPr>
          <w:rFonts w:hint="eastAsia" w:ascii="宋体" w:hAnsi="宋体" w:eastAsia="宋体" w:cs="宋体"/>
          <w:color w:val="auto"/>
          <w:szCs w:val="21"/>
        </w:rPr>
        <w:t>本表后应按要求附相关人员的资格证书证明材料及本单位近1个月的个人社保证明页。</w:t>
      </w:r>
    </w:p>
    <w:p>
      <w:pPr>
        <w:tabs>
          <w:tab w:val="left" w:pos="1260"/>
        </w:tabs>
        <w:adjustRightInd w:val="0"/>
        <w:snapToGrid w:val="0"/>
        <w:spacing w:line="360" w:lineRule="auto"/>
        <w:rPr>
          <w:rFonts w:asciiTheme="minorEastAsia" w:hAnsiTheme="minorEastAsia" w:cstheme="minorEastAsia"/>
          <w:b/>
          <w:color w:val="auto"/>
          <w:sz w:val="24"/>
          <w:szCs w:val="24"/>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报价人（公章）：</w:t>
      </w:r>
      <w:r>
        <w:rPr>
          <w:rFonts w:hint="eastAsia" w:asciiTheme="minorEastAsia" w:hAnsiTheme="minorEastAsia" w:cstheme="minorEastAsia"/>
          <w:color w:val="auto"/>
          <w:sz w:val="24"/>
          <w:szCs w:val="24"/>
          <w:u w:val="single"/>
        </w:rPr>
        <w:t xml:space="preserve">                        </w:t>
      </w: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法定代表人或授权代表（签字或盖章）：</w:t>
      </w:r>
      <w:r>
        <w:rPr>
          <w:rFonts w:hint="eastAsia" w:asciiTheme="minorEastAsia" w:hAnsiTheme="minorEastAsia" w:cstheme="minorEastAsia"/>
          <w:color w:val="auto"/>
          <w:sz w:val="24"/>
          <w:szCs w:val="24"/>
          <w:u w:val="single"/>
        </w:rPr>
        <w:t xml:space="preserve">        </w:t>
      </w:r>
    </w:p>
    <w:p>
      <w:pPr>
        <w:pStyle w:val="11"/>
        <w:spacing w:line="360" w:lineRule="auto"/>
        <w:ind w:firstLine="3360" w:firstLineChars="1400"/>
        <w:rPr>
          <w:rFonts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11"/>
        <w:adjustRightInd w:val="0"/>
        <w:snapToGrid w:val="0"/>
        <w:spacing w:line="360" w:lineRule="auto"/>
        <w:jc w:val="left"/>
        <w:rPr>
          <w:rFonts w:asciiTheme="minorEastAsia" w:hAnsiTheme="minorEastAsia" w:eastAsiaTheme="minorEastAsia" w:cstheme="minorEastAsia"/>
          <w:color w:val="auto"/>
          <w:sz w:val="24"/>
          <w:szCs w:val="24"/>
        </w:rPr>
      </w:pPr>
    </w:p>
    <w:p>
      <w:pPr>
        <w:adjustRightInd w:val="0"/>
        <w:snapToGrid w:val="0"/>
        <w:spacing w:line="360" w:lineRule="auto"/>
        <w:jc w:val="center"/>
        <w:rPr>
          <w:rFonts w:asciiTheme="minorEastAsia" w:hAnsiTheme="minorEastAsia" w:cstheme="minorEastAsia"/>
          <w:b/>
          <w:bCs/>
          <w:color w:val="auto"/>
          <w:sz w:val="48"/>
          <w:szCs w:val="48"/>
        </w:rPr>
      </w:pPr>
    </w:p>
    <w:p>
      <w:pPr>
        <w:adjustRightInd w:val="0"/>
        <w:snapToGrid w:val="0"/>
        <w:spacing w:line="360" w:lineRule="auto"/>
        <w:jc w:val="center"/>
        <w:rPr>
          <w:rFonts w:asciiTheme="minorEastAsia" w:hAnsiTheme="minorEastAsia" w:cstheme="minorEastAsia"/>
          <w:b/>
          <w:bCs/>
          <w:color w:val="auto"/>
          <w:sz w:val="48"/>
          <w:szCs w:val="48"/>
        </w:rPr>
      </w:pPr>
    </w:p>
    <w:p>
      <w:pPr>
        <w:adjustRightInd w:val="0"/>
        <w:snapToGrid w:val="0"/>
        <w:spacing w:line="360" w:lineRule="auto"/>
        <w:jc w:val="center"/>
        <w:rPr>
          <w:rFonts w:asciiTheme="minorEastAsia" w:hAnsiTheme="minorEastAsia" w:cstheme="minorEastAsia"/>
          <w:b/>
          <w:bCs/>
          <w:color w:val="auto"/>
          <w:sz w:val="48"/>
          <w:szCs w:val="48"/>
        </w:rPr>
      </w:pPr>
    </w:p>
    <w:p>
      <w:pPr>
        <w:pStyle w:val="11"/>
        <w:spacing w:line="360" w:lineRule="auto"/>
        <w:rPr>
          <w:rFonts w:asciiTheme="minorEastAsia" w:hAnsiTheme="minorEastAsia" w:eastAsiaTheme="minorEastAsia" w:cstheme="minorEastAsia"/>
          <w:color w:val="auto"/>
          <w:sz w:val="24"/>
          <w:szCs w:val="24"/>
        </w:rPr>
      </w:pPr>
    </w:p>
    <w:p>
      <w:pPr>
        <w:pStyle w:val="11"/>
        <w:spacing w:line="360" w:lineRule="auto"/>
        <w:rPr>
          <w:rFonts w:asciiTheme="minorEastAsia" w:hAnsiTheme="minorEastAsia" w:eastAsiaTheme="minorEastAsia" w:cstheme="minorEastAsia"/>
          <w:color w:val="auto"/>
          <w:sz w:val="24"/>
          <w:szCs w:val="24"/>
        </w:rPr>
      </w:pP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br w:type="page"/>
      </w:r>
    </w:p>
    <w:p>
      <w:pPr>
        <w:pStyle w:val="11"/>
        <w:spacing w:line="360" w:lineRule="auto"/>
        <w:rPr>
          <w:rFonts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24"/>
          <w:szCs w:val="24"/>
        </w:rPr>
        <w:t>附件六</w:t>
      </w:r>
    </w:p>
    <w:p>
      <w:pPr>
        <w:adjustRightInd w:val="0"/>
        <w:snapToGrid w:val="0"/>
        <w:spacing w:line="360" w:lineRule="auto"/>
        <w:jc w:val="center"/>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承诺书</w:t>
      </w:r>
    </w:p>
    <w:p>
      <w:pPr>
        <w:adjustRightInd w:val="0"/>
        <w:snapToGrid w:val="0"/>
        <w:spacing w:line="360" w:lineRule="auto"/>
        <w:ind w:firstLine="560" w:firstLineChars="200"/>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本公司承诺本次关于</w:t>
      </w:r>
      <w:r>
        <w:rPr>
          <w:rFonts w:hint="eastAsia" w:asciiTheme="minorEastAsia" w:hAnsiTheme="minorEastAsia" w:cstheme="minorEastAsia"/>
          <w:color w:val="auto"/>
          <w:sz w:val="28"/>
          <w:szCs w:val="28"/>
          <w:u w:val="single"/>
          <w:lang w:val="en-US" w:eastAsia="zh-CN"/>
        </w:rPr>
        <w:t>金花</w:t>
      </w:r>
      <w:r>
        <w:rPr>
          <w:rFonts w:hint="eastAsia" w:asciiTheme="minorEastAsia" w:hAnsiTheme="minorEastAsia" w:cstheme="minorEastAsia"/>
          <w:color w:val="auto"/>
          <w:sz w:val="28"/>
          <w:szCs w:val="28"/>
          <w:u w:val="single"/>
        </w:rPr>
        <w:t>街</w:t>
      </w:r>
      <w:r>
        <w:rPr>
          <w:rFonts w:hint="eastAsia" w:asciiTheme="minorEastAsia" w:hAnsiTheme="minorEastAsia" w:cstheme="minorEastAsia"/>
          <w:color w:val="auto"/>
          <w:sz w:val="28"/>
          <w:szCs w:val="28"/>
          <w:u w:val="single"/>
          <w:lang w:val="en-US" w:eastAsia="zh-CN"/>
        </w:rPr>
        <w:t>林苑片区微改造（林苑、世纪社区）</w:t>
      </w:r>
      <w:r>
        <w:rPr>
          <w:rFonts w:hint="eastAsia" w:asciiTheme="minorEastAsia" w:hAnsiTheme="minorEastAsia" w:cstheme="minorEastAsia"/>
          <w:color w:val="auto"/>
          <w:sz w:val="28"/>
          <w:szCs w:val="28"/>
          <w:u w:val="single"/>
        </w:rPr>
        <w:t>实施方案编制</w:t>
      </w:r>
      <w:r>
        <w:rPr>
          <w:rFonts w:hint="eastAsia" w:asciiTheme="minorEastAsia" w:hAnsiTheme="minorEastAsia" w:cstheme="minorEastAsia"/>
          <w:color w:val="auto"/>
          <w:sz w:val="28"/>
          <w:szCs w:val="28"/>
        </w:rPr>
        <w:t>报价文件中所提供的全部材料均为属实，提交本承诺书的前3年内在经营活动中没有重大违法记录，如有虚假，本公司将承担一切后果及法律责任，特此承诺。</w:t>
      </w:r>
    </w:p>
    <w:p>
      <w:pPr>
        <w:spacing w:line="360" w:lineRule="auto"/>
        <w:jc w:val="left"/>
        <w:rPr>
          <w:rFonts w:asciiTheme="minorEastAsia" w:hAnsiTheme="minorEastAsia" w:cstheme="minorEastAsia"/>
          <w:b/>
          <w:bCs/>
          <w:color w:val="auto"/>
          <w:sz w:val="36"/>
          <w:szCs w:val="36"/>
        </w:rPr>
      </w:pPr>
      <w:r>
        <w:rPr>
          <w:rFonts w:hint="eastAsia" w:asciiTheme="minorEastAsia" w:hAnsiTheme="minorEastAsia" w:cstheme="minorEastAsia"/>
          <w:color w:val="auto"/>
          <w:sz w:val="28"/>
          <w:szCs w:val="28"/>
        </w:rPr>
        <w:t xml:space="preserve">       </w:t>
      </w:r>
    </w:p>
    <w:p>
      <w:pPr>
        <w:adjustRightInd w:val="0"/>
        <w:snapToGrid w:val="0"/>
        <w:spacing w:line="360" w:lineRule="auto"/>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 xml:space="preserve"> </w:t>
      </w:r>
    </w:p>
    <w:p>
      <w:pPr>
        <w:adjustRightInd w:val="0"/>
        <w:snapToGrid w:val="0"/>
        <w:spacing w:line="360" w:lineRule="auto"/>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 xml:space="preserve"> </w:t>
      </w:r>
    </w:p>
    <w:p>
      <w:pPr>
        <w:adjustRightInd w:val="0"/>
        <w:snapToGrid w:val="0"/>
        <w:spacing w:line="360" w:lineRule="auto"/>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报价人（公章）：</w:t>
      </w:r>
      <w:r>
        <w:rPr>
          <w:rFonts w:hint="eastAsia" w:asciiTheme="minorEastAsia" w:hAnsiTheme="minorEastAsia" w:cstheme="minorEastAsia"/>
          <w:color w:val="auto"/>
          <w:sz w:val="24"/>
          <w:szCs w:val="24"/>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法定代表人或授权代表（签字或盖章）：</w:t>
      </w:r>
      <w:r>
        <w:rPr>
          <w:rFonts w:hint="eastAsia" w:asciiTheme="minorEastAsia" w:hAnsiTheme="minorEastAsia" w:cstheme="minorEastAsia"/>
          <w:color w:val="auto"/>
          <w:sz w:val="24"/>
          <w:szCs w:val="24"/>
          <w:u w:val="single"/>
        </w:rPr>
        <w:t xml:space="preserve">        </w:t>
      </w:r>
    </w:p>
    <w:p>
      <w:pPr>
        <w:adjustRightInd w:val="0"/>
        <w:snapToGrid w:val="0"/>
        <w:spacing w:line="360" w:lineRule="auto"/>
        <w:ind w:right="480" w:firstLine="3600" w:firstLineChars="1500"/>
        <w:rPr>
          <w:rFonts w:asciiTheme="minorEastAsia" w:hAnsiTheme="minorEastAsia" w:cstheme="minorEastAsia"/>
          <w:color w:val="auto"/>
        </w:rPr>
      </w:pPr>
      <w:r>
        <w:rPr>
          <w:rFonts w:hint="eastAsia" w:asciiTheme="minorEastAsia" w:hAnsiTheme="minorEastAsia" w:cstheme="minorEastAsia"/>
          <w:color w:val="auto"/>
          <w:sz w:val="24"/>
          <w:szCs w:val="24"/>
        </w:rPr>
        <w:t>日期：</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日</w:t>
      </w:r>
    </w:p>
    <w:p>
      <w:pPr>
        <w:adjustRightInd w:val="0"/>
        <w:snapToGrid w:val="0"/>
        <w:spacing w:line="360" w:lineRule="auto"/>
        <w:ind w:right="480" w:firstLine="3150" w:firstLineChars="1500"/>
        <w:rPr>
          <w:rFonts w:asciiTheme="minorEastAsia" w:hAnsiTheme="minorEastAsia" w:cstheme="minorEastAsia"/>
          <w:color w:val="auto"/>
        </w:rPr>
      </w:pPr>
    </w:p>
    <w:p>
      <w:pPr>
        <w:adjustRightInd w:val="0"/>
        <w:snapToGrid w:val="0"/>
        <w:spacing w:line="360" w:lineRule="auto"/>
        <w:ind w:right="480" w:firstLine="3600" w:firstLineChars="1500"/>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p>
    <w:p>
      <w:pPr>
        <w:pStyle w:val="26"/>
        <w:jc w:val="center"/>
        <w:rPr>
          <w:rFonts w:asciiTheme="minorEastAsia" w:hAnsiTheme="minorEastAsia" w:cstheme="minorEastAsia"/>
          <w:color w:val="auto"/>
          <w:kern w:val="0"/>
          <w:sz w:val="24"/>
          <w:szCs w:val="24"/>
        </w:rPr>
      </w:pPr>
    </w:p>
    <w:p>
      <w:pPr>
        <w:pStyle w:val="26"/>
        <w:jc w:val="center"/>
        <w:rPr>
          <w:rFonts w:asciiTheme="minorEastAsia" w:hAnsiTheme="minorEastAsia" w:cstheme="minorEastAsia"/>
          <w:color w:val="auto"/>
          <w:kern w:val="0"/>
          <w:sz w:val="24"/>
          <w:szCs w:val="24"/>
        </w:rPr>
        <w:sectPr>
          <w:pgSz w:w="11906" w:h="16838"/>
          <w:pgMar w:top="1134" w:right="1134" w:bottom="1134" w:left="1134" w:header="851" w:footer="992" w:gutter="0"/>
          <w:cols w:space="425" w:num="1"/>
          <w:docGrid w:type="lines" w:linePitch="312" w:charSpace="0"/>
        </w:sectPr>
      </w:pPr>
    </w:p>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附件七                      </w:t>
      </w:r>
    </w:p>
    <w:p>
      <w:pPr>
        <w:pStyle w:val="26"/>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附图</w:t>
      </w:r>
    </w:p>
    <w:p>
      <w:pPr>
        <w:pStyle w:val="26"/>
        <w:rPr>
          <w:rFonts w:asciiTheme="minorEastAsia" w:hAnsiTheme="minorEastAsia" w:cstheme="minorEastAsia"/>
          <w:color w:val="auto"/>
          <w:kern w:val="0"/>
          <w:sz w:val="24"/>
          <w:szCs w:val="24"/>
        </w:rPr>
      </w:pPr>
    </w:p>
    <w:p>
      <w:pPr>
        <w:pStyle w:val="26"/>
        <w:rPr>
          <w:rFonts w:asciiTheme="minorEastAsia" w:hAnsiTheme="minorEastAsia" w:cstheme="minorEastAsia"/>
          <w:color w:val="auto"/>
          <w:kern w:val="0"/>
          <w:sz w:val="24"/>
          <w:szCs w:val="24"/>
        </w:rPr>
      </w:pPr>
      <w:r>
        <w:drawing>
          <wp:inline distT="0" distB="0" distL="114300" distR="114300">
            <wp:extent cx="6111240" cy="3265170"/>
            <wp:effectExtent l="0" t="0" r="381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11240" cy="3265170"/>
                    </a:xfrm>
                    <a:prstGeom prst="rect">
                      <a:avLst/>
                    </a:prstGeom>
                    <a:noFill/>
                    <a:ln>
                      <a:noFill/>
                    </a:ln>
                  </pic:spPr>
                </pic:pic>
              </a:graphicData>
            </a:graphic>
          </wp:inline>
        </w:drawing>
      </w:r>
    </w:p>
    <w:p>
      <w:pPr>
        <w:pStyle w:val="26"/>
        <w:rPr>
          <w:rFonts w:asciiTheme="minorEastAsia" w:hAnsiTheme="minorEastAsia" w:cstheme="minorEastAsia"/>
          <w:color w:val="auto"/>
          <w:kern w:val="0"/>
          <w:sz w:val="24"/>
          <w:szCs w:val="24"/>
        </w:rPr>
      </w:pPr>
    </w:p>
    <w:p>
      <w:pPr>
        <w:rPr>
          <w:rFonts w:asciiTheme="minorEastAsia" w:hAnsiTheme="minorEastAsia" w:cstheme="minorEastAsia"/>
          <w:b/>
          <w:bCs/>
          <w:color w:val="auto"/>
          <w:kern w:val="0"/>
          <w:sz w:val="24"/>
          <w:szCs w:val="24"/>
        </w:rPr>
      </w:pPr>
    </w:p>
    <w:p>
      <w:pPr>
        <w:pStyle w:val="26"/>
        <w:rPr>
          <w:color w:val="auto"/>
        </w:rPr>
      </w:pPr>
    </w:p>
    <w:p>
      <w:pPr>
        <w:rPr>
          <w:rFonts w:hint="eastAsia" w:asciiTheme="minorEastAsia" w:hAnsiTheme="minorEastAsia" w:eastAsiaTheme="minorEastAsia" w:cstheme="minorEastAsia"/>
          <w:b/>
          <w:bCs/>
          <w:color w:val="auto"/>
          <w:kern w:val="0"/>
          <w:sz w:val="24"/>
          <w:szCs w:val="24"/>
          <w:lang w:eastAsia="zh-CN"/>
        </w:rPr>
      </w:pPr>
    </w:p>
    <w:p>
      <w:pPr>
        <w:rPr>
          <w:rFonts w:hint="eastAsia"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br w:type="page"/>
      </w:r>
    </w:p>
    <w:p>
      <w:pPr>
        <w:pStyle w:val="26"/>
        <w:jc w:val="center"/>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第四章 合同</w:t>
      </w:r>
    </w:p>
    <w:p>
      <w:pPr>
        <w:rPr>
          <w:rFonts w:ascii="黑体" w:hAnsi="黑体" w:eastAsia="黑体"/>
          <w:color w:val="auto"/>
          <w:sz w:val="28"/>
          <w:szCs w:val="28"/>
        </w:rPr>
      </w:pPr>
      <w:r>
        <w:rPr>
          <w:rFonts w:hint="eastAsia" w:asciiTheme="minorEastAsia" w:hAnsiTheme="minorEastAsia" w:cstheme="minorEastAsia"/>
          <w:b/>
          <w:bCs/>
          <w:color w:val="auto"/>
          <w:sz w:val="28"/>
          <w:szCs w:val="28"/>
        </w:rPr>
        <w:t xml:space="preserve"> </w:t>
      </w:r>
      <w:r>
        <w:rPr>
          <w:rFonts w:hint="eastAsia" w:asciiTheme="minorEastAsia" w:hAnsiTheme="minorEastAsia" w:cstheme="minorEastAsia"/>
          <w:b/>
          <w:bCs/>
          <w:color w:val="auto"/>
          <w:sz w:val="28"/>
          <w:szCs w:val="28"/>
          <w:lang w:eastAsia="zh-CN"/>
        </w:rPr>
        <w:t>合</w:t>
      </w:r>
      <w:r>
        <w:rPr>
          <w:rFonts w:hint="eastAsia" w:eastAsia="黑体" w:cs="黑体"/>
          <w:color w:val="auto"/>
          <w:sz w:val="28"/>
          <w:szCs w:val="28"/>
        </w:rPr>
        <w:t>同编号：</w:t>
      </w:r>
    </w:p>
    <w:p>
      <w:pPr>
        <w:rPr>
          <w:rFonts w:ascii="黑体" w:eastAsia="黑体"/>
          <w:color w:val="auto"/>
          <w:sz w:val="28"/>
          <w:szCs w:val="28"/>
        </w:rPr>
      </w:pPr>
    </w:p>
    <w:p>
      <w:pPr>
        <w:rPr>
          <w:rFonts w:ascii="黑体" w:eastAsia="黑体"/>
          <w:color w:val="auto"/>
          <w:sz w:val="28"/>
          <w:szCs w:val="28"/>
        </w:rPr>
      </w:pPr>
    </w:p>
    <w:p>
      <w:pPr>
        <w:ind w:left="360" w:right="271"/>
        <w:rPr>
          <w:rFonts w:ascii="黑体" w:eastAsia="黑体"/>
          <w:color w:val="auto"/>
          <w:sz w:val="28"/>
          <w:szCs w:val="28"/>
        </w:rPr>
      </w:pPr>
      <w:r>
        <w:rPr>
          <w:rFonts w:ascii="宋体" w:hAnsi="宋体" w:cs="宋体"/>
          <w:color w:val="auto"/>
          <w:sz w:val="24"/>
          <w:szCs w:val="24"/>
        </w:rPr>
        <w:t xml:space="preserve">      </w:t>
      </w:r>
      <w:r>
        <w:rPr>
          <w:rFonts w:ascii="黑体" w:eastAsia="黑体" w:cs="黑体"/>
          <w:color w:val="auto"/>
          <w:sz w:val="28"/>
          <w:szCs w:val="28"/>
        </w:rPr>
        <w:t xml:space="preserve">      </w:t>
      </w:r>
    </w:p>
    <w:p>
      <w:pPr>
        <w:ind w:left="360" w:right="271"/>
        <w:rPr>
          <w:color w:val="auto"/>
          <w:sz w:val="28"/>
          <w:szCs w:val="28"/>
        </w:rPr>
      </w:pPr>
    </w:p>
    <w:p>
      <w:pPr>
        <w:ind w:left="360" w:right="271"/>
        <w:rPr>
          <w:color w:val="auto"/>
          <w:sz w:val="28"/>
          <w:szCs w:val="28"/>
        </w:rPr>
      </w:pPr>
    </w:p>
    <w:p>
      <w:pPr>
        <w:ind w:left="360" w:right="271"/>
        <w:rPr>
          <w:color w:val="auto"/>
          <w:sz w:val="28"/>
          <w:szCs w:val="28"/>
        </w:rPr>
      </w:pPr>
    </w:p>
    <w:p>
      <w:pPr>
        <w:tabs>
          <w:tab w:val="left" w:pos="2520"/>
        </w:tabs>
        <w:ind w:left="360" w:right="271"/>
        <w:jc w:val="center"/>
        <w:rPr>
          <w:rFonts w:eastAsia="黑体" w:cs="黑体"/>
          <w:b/>
          <w:bCs/>
          <w:color w:val="auto"/>
          <w:spacing w:val="40"/>
          <w:sz w:val="44"/>
          <w:szCs w:val="44"/>
        </w:rPr>
      </w:pPr>
      <w:r>
        <w:rPr>
          <w:rFonts w:hint="eastAsia" w:eastAsia="黑体" w:cs="黑体"/>
          <w:b/>
          <w:bCs/>
          <w:color w:val="auto"/>
          <w:spacing w:val="40"/>
          <w:sz w:val="44"/>
          <w:szCs w:val="44"/>
        </w:rPr>
        <w:t>技术咨询合同</w:t>
      </w:r>
    </w:p>
    <w:p>
      <w:pPr>
        <w:tabs>
          <w:tab w:val="left" w:pos="2520"/>
        </w:tabs>
        <w:ind w:left="360" w:right="271"/>
        <w:jc w:val="center"/>
        <w:rPr>
          <w:rFonts w:eastAsia="黑体"/>
          <w:b/>
          <w:bCs/>
          <w:color w:val="auto"/>
          <w:spacing w:val="40"/>
          <w:sz w:val="44"/>
          <w:szCs w:val="44"/>
        </w:rPr>
      </w:pPr>
    </w:p>
    <w:p>
      <w:pPr>
        <w:tabs>
          <w:tab w:val="left" w:pos="2520"/>
        </w:tabs>
        <w:ind w:left="360" w:right="271"/>
        <w:jc w:val="center"/>
        <w:rPr>
          <w:rFonts w:eastAsia="黑体"/>
          <w:b/>
          <w:bCs/>
          <w:color w:val="auto"/>
          <w:spacing w:val="40"/>
          <w:sz w:val="44"/>
          <w:szCs w:val="44"/>
        </w:rPr>
      </w:pPr>
    </w:p>
    <w:p>
      <w:pPr>
        <w:ind w:left="360" w:right="271"/>
        <w:rPr>
          <w:color w:val="auto"/>
          <w:sz w:val="28"/>
          <w:szCs w:val="28"/>
        </w:rPr>
      </w:pPr>
    </w:p>
    <w:p>
      <w:pPr>
        <w:ind w:left="2037" w:leftChars="170" w:hanging="1680" w:hangingChars="600"/>
        <w:jc w:val="left"/>
        <w:rPr>
          <w:rFonts w:ascii="宋体" w:hAnsi="宋体"/>
          <w:color w:val="auto"/>
          <w:sz w:val="28"/>
          <w:szCs w:val="28"/>
          <w:u w:val="single"/>
        </w:rPr>
      </w:pPr>
      <w:r>
        <w:rPr>
          <w:rFonts w:hint="eastAsia" w:cs="宋体"/>
          <w:color w:val="auto"/>
          <w:sz w:val="28"/>
          <w:szCs w:val="28"/>
        </w:rPr>
        <w:t>合同名称：</w:t>
      </w:r>
      <w:r>
        <w:rPr>
          <w:rFonts w:hint="eastAsia"/>
          <w:b/>
          <w:bCs/>
          <w:color w:val="auto"/>
          <w:sz w:val="28"/>
          <w:szCs w:val="28"/>
          <w:u w:val="single"/>
        </w:rPr>
        <w:t xml:space="preserve"> </w:t>
      </w:r>
      <w:r>
        <w:rPr>
          <w:rFonts w:hint="eastAsia"/>
          <w:b/>
          <w:bCs/>
          <w:color w:val="auto"/>
          <w:sz w:val="28"/>
          <w:szCs w:val="28"/>
          <w:u w:val="single"/>
          <w:lang w:val="en-US" w:eastAsia="zh-CN"/>
        </w:rPr>
        <w:t>金花</w:t>
      </w:r>
      <w:r>
        <w:rPr>
          <w:rFonts w:hint="eastAsia"/>
          <w:b/>
          <w:bCs/>
          <w:color w:val="auto"/>
          <w:sz w:val="28"/>
          <w:szCs w:val="28"/>
          <w:u w:val="single"/>
        </w:rPr>
        <w:t>街</w:t>
      </w:r>
      <w:r>
        <w:rPr>
          <w:rFonts w:hint="eastAsia"/>
          <w:b/>
          <w:bCs/>
          <w:color w:val="auto"/>
          <w:sz w:val="28"/>
          <w:szCs w:val="28"/>
          <w:u w:val="single"/>
          <w:lang w:val="en-US" w:eastAsia="zh-CN"/>
        </w:rPr>
        <w:t>林苑片区微改造（林苑、世纪社区）</w:t>
      </w:r>
      <w:r>
        <w:rPr>
          <w:rFonts w:hint="eastAsia"/>
          <w:b/>
          <w:bCs/>
          <w:color w:val="auto"/>
          <w:sz w:val="28"/>
          <w:szCs w:val="28"/>
          <w:u w:val="single"/>
        </w:rPr>
        <w:t xml:space="preserve">实施方案编制 </w:t>
      </w:r>
    </w:p>
    <w:p>
      <w:pPr>
        <w:ind w:left="360" w:right="271"/>
        <w:rPr>
          <w:b/>
          <w:bCs/>
          <w:color w:val="auto"/>
          <w:sz w:val="28"/>
          <w:szCs w:val="28"/>
          <w:u w:val="single"/>
        </w:rPr>
      </w:pPr>
      <w:r>
        <w:rPr>
          <w:rFonts w:hint="eastAsia" w:cs="宋体"/>
          <w:color w:val="auto"/>
          <w:sz w:val="28"/>
          <w:szCs w:val="28"/>
        </w:rPr>
        <w:t>委托方（甲方）：</w:t>
      </w:r>
      <w:r>
        <w:rPr>
          <w:rFonts w:hint="eastAsia"/>
          <w:b/>
          <w:bCs/>
          <w:color w:val="auto"/>
          <w:sz w:val="28"/>
          <w:szCs w:val="28"/>
          <w:u w:val="single"/>
        </w:rPr>
        <w:t xml:space="preserve">  广州市荔湾区</w:t>
      </w:r>
      <w:r>
        <w:rPr>
          <w:rFonts w:hint="eastAsia"/>
          <w:b/>
          <w:bCs/>
          <w:color w:val="auto"/>
          <w:sz w:val="28"/>
          <w:szCs w:val="28"/>
          <w:u w:val="single"/>
          <w:lang w:val="en-US" w:eastAsia="zh-CN"/>
        </w:rPr>
        <w:t>人民政府金花街道办事处</w:t>
      </w:r>
      <w:r>
        <w:rPr>
          <w:rFonts w:hint="eastAsia"/>
          <w:b/>
          <w:bCs/>
          <w:color w:val="auto"/>
          <w:sz w:val="28"/>
          <w:szCs w:val="28"/>
          <w:u w:val="single"/>
        </w:rPr>
        <w:t xml:space="preserve"> </w:t>
      </w:r>
    </w:p>
    <w:p>
      <w:pPr>
        <w:ind w:left="360" w:right="271"/>
        <w:rPr>
          <w:b/>
          <w:bCs/>
          <w:color w:val="auto"/>
          <w:sz w:val="28"/>
          <w:szCs w:val="28"/>
          <w:u w:val="single"/>
        </w:rPr>
      </w:pPr>
      <w:r>
        <w:rPr>
          <w:rFonts w:hint="eastAsia" w:cs="宋体"/>
          <w:color w:val="auto"/>
          <w:sz w:val="28"/>
          <w:szCs w:val="28"/>
        </w:rPr>
        <w:t>受托方（乙方）：</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p>
    <w:p>
      <w:pPr>
        <w:ind w:left="360" w:right="271" w:firstLine="2249" w:firstLineChars="800"/>
        <w:rPr>
          <w:b/>
          <w:bCs/>
          <w:color w:val="auto"/>
          <w:sz w:val="28"/>
          <w:szCs w:val="28"/>
        </w:rPr>
      </w:pP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rPr>
        <w:t xml:space="preserve">  </w:t>
      </w:r>
    </w:p>
    <w:p>
      <w:pPr>
        <w:spacing w:line="360" w:lineRule="auto"/>
        <w:ind w:left="360" w:right="271"/>
        <w:rPr>
          <w:color w:val="auto"/>
        </w:rPr>
      </w:pPr>
      <w:r>
        <w:rPr>
          <w:rFonts w:hint="eastAsia" w:cs="宋体"/>
          <w:color w:val="auto"/>
          <w:sz w:val="28"/>
          <w:szCs w:val="28"/>
        </w:rPr>
        <w:t>签订地点：</w:t>
      </w:r>
      <w:r>
        <w:rPr>
          <w:color w:val="auto"/>
          <w:sz w:val="28"/>
          <w:szCs w:val="28"/>
        </w:rPr>
        <w:t xml:space="preserve"> </w:t>
      </w:r>
      <w:r>
        <w:rPr>
          <w:b/>
          <w:bCs/>
          <w:color w:val="auto"/>
          <w:sz w:val="28"/>
          <w:szCs w:val="28"/>
        </w:rPr>
        <w:t xml:space="preserve">    </w:t>
      </w:r>
      <w:r>
        <w:rPr>
          <w:b/>
          <w:bCs/>
          <w:color w:val="auto"/>
          <w:sz w:val="28"/>
          <w:szCs w:val="28"/>
          <w:u w:val="single"/>
        </w:rPr>
        <w:t xml:space="preserve">   </w:t>
      </w:r>
      <w:r>
        <w:rPr>
          <w:rFonts w:hint="eastAsia"/>
          <w:b/>
          <w:bCs/>
          <w:color w:val="auto"/>
          <w:sz w:val="28"/>
          <w:szCs w:val="28"/>
          <w:u w:val="single"/>
        </w:rPr>
        <w:t xml:space="preserve">广州市荔湾区                  </w:t>
      </w:r>
      <w:r>
        <w:rPr>
          <w:b/>
          <w:bCs/>
          <w:color w:val="auto"/>
          <w:sz w:val="28"/>
          <w:szCs w:val="28"/>
          <w:u w:val="single"/>
        </w:rPr>
        <w:t xml:space="preserve">       </w:t>
      </w:r>
      <w:r>
        <w:rPr>
          <w:b/>
          <w:bCs/>
          <w:color w:val="auto"/>
          <w:sz w:val="28"/>
          <w:szCs w:val="28"/>
        </w:rPr>
        <w:t xml:space="preserve">         </w:t>
      </w:r>
    </w:p>
    <w:p>
      <w:pPr>
        <w:spacing w:line="360" w:lineRule="auto"/>
        <w:ind w:left="360" w:right="271"/>
        <w:rPr>
          <w:b/>
          <w:bCs/>
          <w:color w:val="auto"/>
          <w:sz w:val="28"/>
          <w:szCs w:val="28"/>
        </w:rPr>
      </w:pPr>
      <w:r>
        <w:rPr>
          <w:rFonts w:hint="eastAsia" w:cs="宋体"/>
          <w:color w:val="auto"/>
          <w:sz w:val="28"/>
          <w:szCs w:val="28"/>
        </w:rPr>
        <w:t>有效期限：</w:t>
      </w:r>
      <w:r>
        <w:rPr>
          <w:b/>
          <w:bCs/>
          <w:color w:val="auto"/>
          <w:sz w:val="28"/>
          <w:szCs w:val="28"/>
        </w:rPr>
        <w:t xml:space="preserve">   </w:t>
      </w:r>
      <w:r>
        <w:rPr>
          <w:rFonts w:hint="eastAsia" w:cs="宋体"/>
          <w:b/>
          <w:bCs/>
          <w:color w:val="auto"/>
          <w:sz w:val="28"/>
          <w:szCs w:val="28"/>
        </w:rPr>
        <w:t>签订合同之日起至双方合同义务完成止</w:t>
      </w:r>
    </w:p>
    <w:p>
      <w:pPr>
        <w:ind w:left="178" w:leftChars="85"/>
        <w:jc w:val="center"/>
        <w:rPr>
          <w:b/>
          <w:bCs/>
          <w:color w:val="auto"/>
          <w:sz w:val="28"/>
          <w:szCs w:val="28"/>
        </w:rPr>
      </w:pPr>
    </w:p>
    <w:p>
      <w:pPr>
        <w:ind w:left="178" w:leftChars="85"/>
        <w:jc w:val="center"/>
        <w:rPr>
          <w:b/>
          <w:bCs/>
          <w:color w:val="auto"/>
          <w:sz w:val="28"/>
          <w:szCs w:val="28"/>
        </w:rPr>
      </w:pPr>
    </w:p>
    <w:p>
      <w:pPr>
        <w:rPr>
          <w:b/>
          <w:bCs/>
          <w:color w:val="auto"/>
          <w:sz w:val="28"/>
          <w:szCs w:val="28"/>
        </w:rPr>
      </w:pPr>
    </w:p>
    <w:p>
      <w:pPr>
        <w:ind w:left="178" w:leftChars="85"/>
        <w:jc w:val="center"/>
        <w:rPr>
          <w:b/>
          <w:bCs/>
          <w:color w:val="auto"/>
          <w:sz w:val="28"/>
          <w:szCs w:val="28"/>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6"/>
        <w:rPr>
          <w:color w:val="auto"/>
        </w:rPr>
      </w:pPr>
    </w:p>
    <w:p>
      <w:pPr>
        <w:ind w:left="178" w:leftChars="85"/>
        <w:jc w:val="center"/>
        <w:rPr>
          <w:b/>
          <w:bCs/>
          <w:color w:val="auto"/>
          <w:sz w:val="28"/>
          <w:szCs w:val="28"/>
        </w:rPr>
      </w:pPr>
      <w:r>
        <w:rPr>
          <w:rFonts w:hint="eastAsia" w:cs="宋体"/>
          <w:b/>
          <w:bCs/>
          <w:color w:val="auto"/>
          <w:sz w:val="28"/>
          <w:szCs w:val="28"/>
        </w:rPr>
        <w:t>中华人民共和国科学技术部印刷</w:t>
      </w:r>
    </w:p>
    <w:p>
      <w:pPr>
        <w:jc w:val="center"/>
        <w:rPr>
          <w:b/>
          <w:bCs/>
          <w:color w:val="auto"/>
          <w:sz w:val="32"/>
          <w:szCs w:val="32"/>
        </w:rPr>
      </w:pPr>
      <w:r>
        <w:rPr>
          <w:rFonts w:hint="eastAsia" w:cs="宋体"/>
          <w:b/>
          <w:bCs/>
          <w:color w:val="auto"/>
          <w:sz w:val="32"/>
          <w:szCs w:val="32"/>
        </w:rPr>
        <w:t>填</w:t>
      </w:r>
      <w:r>
        <w:rPr>
          <w:b/>
          <w:bCs/>
          <w:color w:val="auto"/>
          <w:sz w:val="32"/>
          <w:szCs w:val="32"/>
        </w:rPr>
        <w:t xml:space="preserve"> </w:t>
      </w:r>
      <w:r>
        <w:rPr>
          <w:rFonts w:hint="eastAsia" w:cs="宋体"/>
          <w:b/>
          <w:bCs/>
          <w:color w:val="auto"/>
          <w:sz w:val="32"/>
          <w:szCs w:val="32"/>
        </w:rPr>
        <w:t>写</w:t>
      </w:r>
      <w:r>
        <w:rPr>
          <w:b/>
          <w:bCs/>
          <w:color w:val="auto"/>
          <w:sz w:val="32"/>
          <w:szCs w:val="32"/>
        </w:rPr>
        <w:t xml:space="preserve"> </w:t>
      </w:r>
      <w:r>
        <w:rPr>
          <w:rFonts w:hint="eastAsia" w:cs="宋体"/>
          <w:b/>
          <w:bCs/>
          <w:color w:val="auto"/>
          <w:sz w:val="32"/>
          <w:szCs w:val="32"/>
        </w:rPr>
        <w:t>说</w:t>
      </w:r>
      <w:r>
        <w:rPr>
          <w:b/>
          <w:bCs/>
          <w:color w:val="auto"/>
          <w:sz w:val="32"/>
          <w:szCs w:val="32"/>
        </w:rPr>
        <w:t xml:space="preserve"> </w:t>
      </w:r>
      <w:r>
        <w:rPr>
          <w:rFonts w:hint="eastAsia" w:cs="宋体"/>
          <w:b/>
          <w:bCs/>
          <w:color w:val="auto"/>
          <w:sz w:val="32"/>
          <w:szCs w:val="32"/>
        </w:rPr>
        <w:t>明</w:t>
      </w:r>
    </w:p>
    <w:p>
      <w:pPr>
        <w:rPr>
          <w:color w:val="auto"/>
          <w:sz w:val="28"/>
          <w:szCs w:val="28"/>
        </w:rPr>
      </w:pPr>
    </w:p>
    <w:p>
      <w:pPr>
        <w:ind w:firstLine="560"/>
        <w:rPr>
          <w:rFonts w:ascii="宋体" w:hAnsi="宋体" w:eastAsia="宋体" w:cs="宋体"/>
          <w:color w:val="auto"/>
          <w:sz w:val="28"/>
          <w:szCs w:val="28"/>
        </w:rPr>
      </w:pPr>
      <w:r>
        <w:rPr>
          <w:rFonts w:hint="eastAsia" w:ascii="宋体" w:hAnsi="宋体" w:eastAsia="宋体" w:cs="宋体"/>
          <w:color w:val="auto"/>
          <w:sz w:val="28"/>
          <w:szCs w:val="28"/>
        </w:rPr>
        <w:t>一、本合同为中华人民共和国科学技术部印刷的技术服务合同示范文本，各技术合同登记机构可推介技术合同当事人参照使用。</w:t>
      </w:r>
    </w:p>
    <w:p>
      <w:pPr>
        <w:ind w:firstLine="560"/>
        <w:rPr>
          <w:rFonts w:ascii="宋体" w:hAnsi="宋体" w:eastAsia="宋体" w:cs="宋体"/>
          <w:color w:val="auto"/>
          <w:sz w:val="28"/>
          <w:szCs w:val="28"/>
        </w:rPr>
      </w:pPr>
      <w:r>
        <w:rPr>
          <w:rFonts w:hint="eastAsia" w:ascii="宋体" w:hAnsi="宋体" w:eastAsia="宋体" w:cs="宋体"/>
          <w:color w:val="auto"/>
          <w:sz w:val="28"/>
          <w:szCs w:val="28"/>
        </w:rPr>
        <w:t>二、本合同书适用于一方当事人（受托方）为另一方（委托方）就特定技术项目提供可行性论证、技术预测、专题技术调查、分析评价报告所订立的合同。</w:t>
      </w:r>
    </w:p>
    <w:p>
      <w:pPr>
        <w:pStyle w:val="2"/>
        <w:rPr>
          <w:rFonts w:ascii="宋体" w:hAnsi="宋体" w:eastAsia="宋体" w:cs="宋体"/>
          <w:color w:val="auto"/>
        </w:rPr>
      </w:pPr>
      <w:r>
        <w:rPr>
          <w:rFonts w:hint="eastAsia" w:ascii="宋体" w:hAnsi="宋体" w:eastAsia="宋体" w:cs="宋体"/>
          <w:color w:val="auto"/>
        </w:rPr>
        <w:t>三、签约一方为多个当事人的，可按各自在合同关系中的作用等，在“委托方”、“受托方”项下（增页）分别排列为共同委托人或共同受托人。</w:t>
      </w:r>
    </w:p>
    <w:p>
      <w:pPr>
        <w:ind w:firstLine="560"/>
        <w:rPr>
          <w:rFonts w:ascii="宋体" w:hAnsi="宋体" w:eastAsia="宋体" w:cs="宋体"/>
          <w:color w:val="auto"/>
          <w:sz w:val="28"/>
          <w:szCs w:val="28"/>
        </w:rPr>
      </w:pPr>
      <w:r>
        <w:rPr>
          <w:rFonts w:hint="eastAsia" w:ascii="宋体" w:hAnsi="宋体" w:eastAsia="宋体" w:cs="宋体"/>
          <w:color w:val="auto"/>
          <w:sz w:val="28"/>
          <w:szCs w:val="28"/>
        </w:rPr>
        <w:t>四、本合同书未尽事项，可由当事人附页另行约定，并作为本合同的组成部分。</w:t>
      </w:r>
    </w:p>
    <w:p>
      <w:pPr>
        <w:ind w:firstLine="560"/>
        <w:rPr>
          <w:rFonts w:ascii="宋体" w:hAnsi="宋体" w:eastAsia="宋体" w:cs="宋体"/>
          <w:color w:val="auto"/>
          <w:sz w:val="28"/>
          <w:szCs w:val="28"/>
        </w:rPr>
      </w:pPr>
      <w:r>
        <w:rPr>
          <w:rFonts w:hint="eastAsia" w:ascii="宋体" w:hAnsi="宋体" w:eastAsia="宋体" w:cs="宋体"/>
          <w:color w:val="auto"/>
          <w:sz w:val="28"/>
          <w:szCs w:val="28"/>
        </w:rPr>
        <w:t>五、当事人使用本合同书时约定无需填写的条款，应在该条款处注明“无”等字样。</w:t>
      </w:r>
    </w:p>
    <w:p>
      <w:pPr>
        <w:ind w:firstLine="560"/>
        <w:rPr>
          <w:color w:val="auto"/>
          <w:sz w:val="28"/>
          <w:szCs w:val="28"/>
        </w:rPr>
      </w:pPr>
    </w:p>
    <w:p>
      <w:pPr>
        <w:ind w:firstLine="560"/>
        <w:rPr>
          <w:color w:val="auto"/>
          <w:sz w:val="28"/>
          <w:szCs w:val="28"/>
        </w:rPr>
      </w:pPr>
    </w:p>
    <w:p>
      <w:pPr>
        <w:ind w:firstLine="560"/>
        <w:rPr>
          <w:color w:val="auto"/>
          <w:sz w:val="28"/>
          <w:szCs w:val="28"/>
        </w:rPr>
      </w:pPr>
    </w:p>
    <w:p>
      <w:pPr>
        <w:ind w:firstLine="560"/>
        <w:rPr>
          <w:color w:val="auto"/>
          <w:sz w:val="28"/>
          <w:szCs w:val="28"/>
        </w:rPr>
      </w:pPr>
    </w:p>
    <w:p>
      <w:pPr>
        <w:ind w:firstLine="560"/>
        <w:rPr>
          <w:color w:val="auto"/>
          <w:sz w:val="28"/>
          <w:szCs w:val="28"/>
        </w:rPr>
      </w:pPr>
    </w:p>
    <w:p>
      <w:pPr>
        <w:ind w:firstLine="560"/>
        <w:rPr>
          <w:color w:val="auto"/>
          <w:sz w:val="28"/>
          <w:szCs w:val="28"/>
        </w:rPr>
      </w:pPr>
    </w:p>
    <w:p>
      <w:pPr>
        <w:ind w:firstLine="560"/>
        <w:rPr>
          <w:color w:val="auto"/>
          <w:sz w:val="28"/>
          <w:szCs w:val="28"/>
        </w:rPr>
      </w:pPr>
    </w:p>
    <w:p>
      <w:pPr>
        <w:ind w:firstLine="560"/>
        <w:rPr>
          <w:color w:val="auto"/>
          <w:sz w:val="28"/>
          <w:szCs w:val="28"/>
        </w:rPr>
      </w:pPr>
    </w:p>
    <w:p>
      <w:pPr>
        <w:tabs>
          <w:tab w:val="left" w:pos="2520"/>
        </w:tabs>
        <w:spacing w:after="480" w:line="360" w:lineRule="auto"/>
        <w:jc w:val="center"/>
        <w:rPr>
          <w:rFonts w:cs="宋体"/>
          <w:b/>
          <w:bCs/>
          <w:color w:val="auto"/>
          <w:spacing w:val="40"/>
          <w:sz w:val="36"/>
          <w:szCs w:val="36"/>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rFonts w:ascii="Times New Roman" w:hAnsi="Times New Roman" w:cs="Times New Roman"/>
          <w:b/>
          <w:bCs/>
          <w:color w:val="auto"/>
          <w:spacing w:val="40"/>
          <w:sz w:val="36"/>
          <w:szCs w:val="36"/>
        </w:rPr>
      </w:pPr>
      <w:r>
        <w:rPr>
          <w:rFonts w:ascii="Times New Roman" w:hAnsi="Times New Roman" w:cs="Times New Roman"/>
          <w:b/>
          <w:bCs/>
          <w:color w:val="auto"/>
          <w:spacing w:val="40"/>
          <w:sz w:val="36"/>
          <w:szCs w:val="36"/>
        </w:rPr>
        <w:t>技术咨询合同</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本合同甲方委托乙方进行</w:t>
      </w:r>
      <w:r>
        <w:rPr>
          <w:rFonts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金花</w:t>
      </w:r>
      <w:r>
        <w:rPr>
          <w:rFonts w:hint="eastAsia" w:ascii="Times New Roman" w:hAnsi="Times New Roman" w:cs="Times New Roman"/>
          <w:color w:val="auto"/>
          <w:sz w:val="24"/>
          <w:szCs w:val="24"/>
          <w:u w:val="single"/>
        </w:rPr>
        <w:t>街</w:t>
      </w:r>
      <w:r>
        <w:rPr>
          <w:rFonts w:hint="eastAsia" w:ascii="Times New Roman" w:hAnsi="Times New Roman" w:cs="Times New Roman"/>
          <w:color w:val="auto"/>
          <w:sz w:val="24"/>
          <w:szCs w:val="24"/>
          <w:u w:val="single"/>
          <w:lang w:val="en-US" w:eastAsia="zh-CN"/>
        </w:rPr>
        <w:t>林苑片区微改造（林苑、世纪社区）</w:t>
      </w:r>
      <w:r>
        <w:rPr>
          <w:rFonts w:ascii="Times New Roman" w:hAnsi="Times New Roman" w:cs="Times New Roman"/>
          <w:color w:val="auto"/>
          <w:sz w:val="24"/>
          <w:szCs w:val="24"/>
          <w:u w:val="single"/>
        </w:rPr>
        <w:t xml:space="preserve">实施方案 </w:t>
      </w:r>
      <w:r>
        <w:rPr>
          <w:rFonts w:ascii="Times New Roman" w:hAnsi="Times New Roman" w:cs="Times New Roman"/>
          <w:color w:val="auto"/>
          <w:sz w:val="24"/>
          <w:szCs w:val="24"/>
        </w:rPr>
        <w:t>编制工作，并支付咨询报酬。双方经过平等协商，在真实、充分地表达各自意愿的基础上，根据《中华人民共和国民法典》的规定，达成如下协议，并由双方共同恪守。</w:t>
      </w:r>
    </w:p>
    <w:p>
      <w:pPr>
        <w:spacing w:line="360" w:lineRule="auto"/>
        <w:ind w:firstLine="570"/>
        <w:rPr>
          <w:rFonts w:ascii="Times New Roman" w:hAnsi="Times New Roman" w:cs="Times New Roman"/>
          <w:color w:val="auto"/>
          <w:sz w:val="24"/>
          <w:szCs w:val="24"/>
        </w:rPr>
      </w:pPr>
      <w:r>
        <w:rPr>
          <w:rFonts w:ascii="Times New Roman" w:hAnsi="Times New Roman" w:cs="Times New Roman"/>
          <w:b/>
          <w:bCs/>
          <w:color w:val="auto"/>
          <w:sz w:val="24"/>
          <w:szCs w:val="24"/>
        </w:rPr>
        <w:t xml:space="preserve">第一条 </w:t>
      </w:r>
      <w:r>
        <w:rPr>
          <w:rFonts w:hint="eastAsia" w:ascii="Times New Roman" w:hAnsi="Times New Roman" w:eastAsia="宋体" w:cs="Times New Roman"/>
          <w:color w:val="auto"/>
          <w:sz w:val="24"/>
          <w:szCs w:val="24"/>
        </w:rPr>
        <w:t>乙方</w:t>
      </w:r>
      <w:r>
        <w:rPr>
          <w:rFonts w:hint="eastAsia" w:ascii="Times New Roman" w:hAnsi="Times New Roman" w:cs="Times New Roman"/>
          <w:color w:val="auto"/>
          <w:sz w:val="24"/>
          <w:szCs w:val="24"/>
        </w:rPr>
        <w:t>工作</w:t>
      </w:r>
      <w:r>
        <w:rPr>
          <w:rFonts w:ascii="Times New Roman" w:hAnsi="Times New Roman" w:cs="Times New Roman"/>
          <w:color w:val="auto"/>
          <w:sz w:val="24"/>
          <w:szCs w:val="24"/>
        </w:rPr>
        <w:t>内容、要求和方式：</w:t>
      </w:r>
    </w:p>
    <w:p>
      <w:pPr>
        <w:widowControl/>
        <w:adjustRightInd w:val="0"/>
        <w:spacing w:line="360" w:lineRule="auto"/>
        <w:ind w:firstLine="480" w:firstLineChars="200"/>
        <w:jc w:val="left"/>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1.项目内容：</w:t>
      </w:r>
      <w:r>
        <w:rPr>
          <w:rFonts w:ascii="Times New Roman" w:hAnsi="Times New Roman" w:eastAsia="宋体" w:cs="Times New Roman"/>
          <w:color w:val="auto"/>
          <w:sz w:val="24"/>
          <w:szCs w:val="24"/>
          <w:u w:val="single"/>
        </w:rPr>
        <w:t xml:space="preserve"> 开展</w:t>
      </w:r>
      <w:r>
        <w:rPr>
          <w:rFonts w:hint="eastAsia" w:ascii="Times New Roman" w:hAnsi="Times New Roman" w:eastAsia="宋体" w:cs="Times New Roman"/>
          <w:color w:val="auto"/>
          <w:sz w:val="24"/>
          <w:szCs w:val="24"/>
          <w:u w:val="single"/>
          <w:lang w:val="en-US" w:eastAsia="zh-CN"/>
        </w:rPr>
        <w:t>金花</w:t>
      </w:r>
      <w:r>
        <w:rPr>
          <w:rFonts w:hint="eastAsia" w:ascii="Times New Roman" w:hAnsi="Times New Roman" w:eastAsia="宋体" w:cs="Times New Roman"/>
          <w:color w:val="auto"/>
          <w:sz w:val="24"/>
          <w:szCs w:val="24"/>
          <w:u w:val="single"/>
        </w:rPr>
        <w:t>街</w:t>
      </w:r>
      <w:r>
        <w:rPr>
          <w:rFonts w:hint="eastAsia" w:ascii="Times New Roman" w:hAnsi="Times New Roman" w:eastAsia="宋体" w:cs="Times New Roman"/>
          <w:color w:val="auto"/>
          <w:sz w:val="24"/>
          <w:szCs w:val="24"/>
          <w:u w:val="single"/>
          <w:lang w:val="en-US" w:eastAsia="zh-CN"/>
        </w:rPr>
        <w:t>林苑片区微改造（林苑、世纪社区）</w:t>
      </w:r>
      <w:r>
        <w:rPr>
          <w:rFonts w:ascii="Times New Roman" w:hAnsi="Times New Roman" w:eastAsia="宋体" w:cs="Times New Roman"/>
          <w:color w:val="auto"/>
          <w:sz w:val="24"/>
          <w:szCs w:val="24"/>
          <w:u w:val="single"/>
        </w:rPr>
        <w:t xml:space="preserve">实施方案编制工作。 </w:t>
      </w:r>
    </w:p>
    <w:p>
      <w:pPr>
        <w:spacing w:line="360" w:lineRule="auto"/>
        <w:ind w:firstLine="480" w:firstLineChars="200"/>
        <w:jc w:val="left"/>
        <w:textAlignment w:val="top"/>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项目</w:t>
      </w:r>
      <w:r>
        <w:rPr>
          <w:rFonts w:ascii="Times New Roman" w:hAnsi="Times New Roman" w:eastAsia="宋体" w:cs="Times New Roman"/>
          <w:color w:val="auto"/>
          <w:sz w:val="24"/>
          <w:szCs w:val="24"/>
          <w:highlight w:val="none"/>
        </w:rPr>
        <w:t>范围：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项目位于广州市荔湾区</w:t>
      </w:r>
      <w:r>
        <w:rPr>
          <w:rFonts w:hint="eastAsia" w:ascii="Times New Roman" w:hAnsi="Times New Roman" w:eastAsia="宋体" w:cs="Times New Roman"/>
          <w:color w:val="auto"/>
          <w:sz w:val="24"/>
          <w:szCs w:val="24"/>
          <w:highlight w:val="none"/>
          <w:u w:val="single"/>
          <w:lang w:val="en-US" w:eastAsia="zh-CN"/>
        </w:rPr>
        <w:t>金花</w:t>
      </w:r>
      <w:r>
        <w:rPr>
          <w:rFonts w:hint="eastAsia" w:ascii="Times New Roman" w:hAnsi="Times New Roman" w:eastAsia="宋体" w:cs="Times New Roman"/>
          <w:color w:val="auto"/>
          <w:sz w:val="24"/>
          <w:szCs w:val="24"/>
          <w:highlight w:val="none"/>
          <w:u w:val="single"/>
        </w:rPr>
        <w:t>街</w:t>
      </w:r>
      <w:r>
        <w:rPr>
          <w:rFonts w:hint="eastAsia" w:ascii="Times New Roman" w:hAnsi="Times New Roman" w:eastAsia="宋体" w:cs="Times New Roman"/>
          <w:color w:val="auto"/>
          <w:sz w:val="24"/>
          <w:szCs w:val="24"/>
          <w:highlight w:val="none"/>
          <w:u w:val="single"/>
          <w:lang w:val="en-US" w:eastAsia="zh-CN"/>
        </w:rPr>
        <w:t>林苑、世纪</w:t>
      </w:r>
      <w:r>
        <w:rPr>
          <w:rFonts w:hint="eastAsia" w:ascii="Times New Roman" w:hAnsi="Times New Roman" w:eastAsia="宋体" w:cs="Times New Roman"/>
          <w:color w:val="auto"/>
          <w:sz w:val="24"/>
          <w:szCs w:val="24"/>
          <w:highlight w:val="none"/>
          <w:u w:val="single"/>
        </w:rPr>
        <w:t>社区，属于荔湾区</w:t>
      </w:r>
      <w:r>
        <w:rPr>
          <w:rFonts w:hint="eastAsia" w:ascii="Times New Roman" w:hAnsi="Times New Roman" w:eastAsia="宋体" w:cs="Times New Roman"/>
          <w:color w:val="auto"/>
          <w:sz w:val="24"/>
          <w:szCs w:val="24"/>
          <w:highlight w:val="none"/>
          <w:u w:val="single"/>
          <w:lang w:val="en-US" w:eastAsia="zh-CN"/>
        </w:rPr>
        <w:t>金花</w:t>
      </w:r>
      <w:r>
        <w:rPr>
          <w:rFonts w:hint="eastAsia" w:ascii="Times New Roman" w:hAnsi="Times New Roman" w:eastAsia="宋体" w:cs="Times New Roman"/>
          <w:color w:val="auto"/>
          <w:sz w:val="24"/>
          <w:szCs w:val="24"/>
          <w:highlight w:val="none"/>
          <w:u w:val="single"/>
        </w:rPr>
        <w:t>街道，总用地面积约</w:t>
      </w:r>
      <w:r>
        <w:rPr>
          <w:rFonts w:hint="eastAsia" w:ascii="Times New Roman" w:hAnsi="Times New Roman" w:eastAsia="宋体" w:cs="Times New Roman"/>
          <w:color w:val="auto"/>
          <w:sz w:val="24"/>
          <w:szCs w:val="24"/>
          <w:highlight w:val="none"/>
          <w:u w:val="single"/>
          <w:lang w:val="en-US" w:eastAsia="zh-CN"/>
        </w:rPr>
        <w:t>5.26</w:t>
      </w:r>
      <w:r>
        <w:rPr>
          <w:rFonts w:hint="eastAsia" w:ascii="Times New Roman" w:hAnsi="Times New Roman" w:eastAsia="宋体" w:cs="Times New Roman"/>
          <w:color w:val="auto"/>
          <w:sz w:val="24"/>
          <w:szCs w:val="24"/>
          <w:highlight w:val="none"/>
          <w:u w:val="single"/>
        </w:rPr>
        <w:t>公顷。重点改造内容是建筑修缮，基础设施补短板，公共空间品质提升等内容，打造“老城区，新活力”的社区新貌。</w:t>
      </w:r>
      <w:r>
        <w:rPr>
          <w:rFonts w:hint="eastAsia" w:ascii="Times New Roman" w:hAnsi="Times New Roman" w:eastAsia="宋体" w:cs="Times New Roman"/>
          <w:color w:val="auto"/>
          <w:sz w:val="24"/>
          <w:szCs w:val="24"/>
          <w:highlight w:val="none"/>
          <w:u w:val="single"/>
          <w:lang w:val="en-US" w:eastAsia="zh-CN"/>
        </w:rPr>
        <w:t>林苑、世纪</w:t>
      </w:r>
      <w:r>
        <w:rPr>
          <w:rFonts w:hint="eastAsia" w:ascii="Times New Roman" w:hAnsi="Times New Roman" w:eastAsia="宋体" w:cs="Times New Roman"/>
          <w:color w:val="auto"/>
          <w:sz w:val="24"/>
          <w:szCs w:val="24"/>
          <w:highlight w:val="none"/>
          <w:u w:val="single"/>
        </w:rPr>
        <w:t>社区东起</w:t>
      </w:r>
      <w:r>
        <w:rPr>
          <w:rFonts w:hint="eastAsia" w:ascii="Times New Roman" w:hAnsi="Times New Roman" w:eastAsia="宋体" w:cs="Times New Roman"/>
          <w:color w:val="auto"/>
          <w:sz w:val="24"/>
          <w:szCs w:val="24"/>
          <w:highlight w:val="none"/>
          <w:u w:val="single"/>
          <w:lang w:val="en-US" w:eastAsia="zh-CN"/>
        </w:rPr>
        <w:t>康王中路</w:t>
      </w:r>
      <w:r>
        <w:rPr>
          <w:rFonts w:hint="eastAsia" w:ascii="Times New Roman" w:hAnsi="Times New Roman" w:eastAsia="宋体" w:cs="Times New Roman"/>
          <w:color w:val="auto"/>
          <w:sz w:val="24"/>
          <w:szCs w:val="24"/>
          <w:highlight w:val="none"/>
          <w:u w:val="single"/>
        </w:rPr>
        <w:t>，西至</w:t>
      </w:r>
      <w:r>
        <w:rPr>
          <w:rFonts w:hint="eastAsia" w:ascii="Times New Roman" w:hAnsi="Times New Roman" w:eastAsia="宋体" w:cs="Times New Roman"/>
          <w:color w:val="auto"/>
          <w:sz w:val="24"/>
          <w:szCs w:val="24"/>
          <w:highlight w:val="none"/>
          <w:u w:val="single"/>
          <w:lang w:val="en-US" w:eastAsia="zh-CN"/>
        </w:rPr>
        <w:t>荔湾路</w:t>
      </w:r>
      <w:r>
        <w:rPr>
          <w:rFonts w:hint="eastAsia" w:ascii="Times New Roman" w:hAnsi="Times New Roman" w:eastAsia="宋体" w:cs="Times New Roman"/>
          <w:color w:val="auto"/>
          <w:sz w:val="24"/>
          <w:szCs w:val="24"/>
          <w:highlight w:val="none"/>
          <w:u w:val="single"/>
        </w:rPr>
        <w:t>， 南起</w:t>
      </w:r>
      <w:r>
        <w:rPr>
          <w:rFonts w:hint="eastAsia" w:ascii="Times New Roman" w:hAnsi="Times New Roman" w:eastAsia="宋体" w:cs="Times New Roman"/>
          <w:color w:val="auto"/>
          <w:sz w:val="24"/>
          <w:szCs w:val="24"/>
          <w:highlight w:val="none"/>
          <w:u w:val="single"/>
          <w:lang w:val="en-US" w:eastAsia="zh-CN"/>
        </w:rPr>
        <w:t>龙津西路</w:t>
      </w:r>
      <w:r>
        <w:rPr>
          <w:rFonts w:hint="eastAsia" w:ascii="Times New Roman" w:hAnsi="Times New Roman" w:eastAsia="宋体" w:cs="Times New Roman"/>
          <w:color w:val="auto"/>
          <w:sz w:val="24"/>
          <w:szCs w:val="24"/>
          <w:highlight w:val="none"/>
          <w:u w:val="single"/>
        </w:rPr>
        <w:t>，北至</w:t>
      </w:r>
      <w:r>
        <w:rPr>
          <w:rFonts w:hint="eastAsia" w:ascii="Times New Roman" w:hAnsi="Times New Roman" w:eastAsia="宋体" w:cs="Times New Roman"/>
          <w:color w:val="auto"/>
          <w:sz w:val="24"/>
          <w:szCs w:val="24"/>
          <w:highlight w:val="none"/>
          <w:u w:val="single"/>
          <w:lang w:val="en-US" w:eastAsia="zh-CN"/>
        </w:rPr>
        <w:t>中山七路</w:t>
      </w:r>
      <w:r>
        <w:rPr>
          <w:rFonts w:hint="eastAsia" w:ascii="Times New Roman" w:hAnsi="Times New Roman" w:eastAsia="宋体" w:cs="Times New Roman"/>
          <w:color w:val="auto"/>
          <w:sz w:val="24"/>
          <w:szCs w:val="24"/>
          <w:highlight w:val="none"/>
          <w:u w:val="single"/>
        </w:rPr>
        <w:t>。</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工作</w:t>
      </w:r>
      <w:r>
        <w:rPr>
          <w:rFonts w:ascii="Times New Roman" w:hAnsi="Times New Roman" w:eastAsia="宋体" w:cs="Times New Roman"/>
          <w:color w:val="auto"/>
          <w:sz w:val="24"/>
          <w:szCs w:val="24"/>
          <w:highlight w:val="none"/>
        </w:rPr>
        <w:t>内容：</w:t>
      </w:r>
      <w:r>
        <w:rPr>
          <w:rFonts w:ascii="Times New Roman" w:hAnsi="Times New Roman" w:eastAsia="宋体" w:cs="Times New Roman"/>
          <w:color w:val="auto"/>
          <w:sz w:val="24"/>
          <w:szCs w:val="24"/>
          <w:highlight w:val="none"/>
          <w:u w:val="single"/>
        </w:rPr>
        <w:t xml:space="preserve"> 对</w:t>
      </w:r>
      <w:r>
        <w:rPr>
          <w:rFonts w:hint="eastAsia" w:ascii="Times New Roman" w:hAnsi="Times New Roman" w:eastAsia="宋体" w:cs="Times New Roman"/>
          <w:color w:val="auto"/>
          <w:sz w:val="24"/>
          <w:szCs w:val="24"/>
          <w:highlight w:val="none"/>
          <w:u w:val="single"/>
          <w:lang w:val="en-US" w:eastAsia="zh-CN"/>
        </w:rPr>
        <w:t>金花</w:t>
      </w:r>
      <w:r>
        <w:rPr>
          <w:rFonts w:hint="eastAsia" w:ascii="Times New Roman" w:hAnsi="Times New Roman" w:eastAsia="宋体" w:cs="Times New Roman"/>
          <w:color w:val="auto"/>
          <w:sz w:val="24"/>
          <w:szCs w:val="24"/>
          <w:highlight w:val="none"/>
          <w:u w:val="single"/>
        </w:rPr>
        <w:t>街</w:t>
      </w:r>
      <w:r>
        <w:rPr>
          <w:rFonts w:hint="eastAsia" w:ascii="Times New Roman" w:hAnsi="Times New Roman" w:eastAsia="宋体" w:cs="Times New Roman"/>
          <w:color w:val="auto"/>
          <w:sz w:val="24"/>
          <w:szCs w:val="24"/>
          <w:highlight w:val="none"/>
          <w:u w:val="single"/>
          <w:lang w:val="en-US" w:eastAsia="zh-CN"/>
        </w:rPr>
        <w:t>林苑片区微改造（林苑、世纪社区）</w:t>
      </w:r>
      <w:r>
        <w:rPr>
          <w:rFonts w:ascii="Times New Roman" w:hAnsi="Times New Roman" w:eastAsia="宋体" w:cs="Times New Roman"/>
          <w:color w:val="auto"/>
          <w:sz w:val="24"/>
          <w:szCs w:val="24"/>
          <w:highlight w:val="none"/>
          <w:u w:val="single"/>
        </w:rPr>
        <w:t xml:space="preserve">按照《广州市荔湾区老旧小区改造规划（2021-2025年）》要求，编制完成符合本项目实际需求的实施方案。 </w:t>
      </w:r>
    </w:p>
    <w:p>
      <w:pPr>
        <w:pStyle w:val="26"/>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lang w:val="en-US" w:eastAsia="zh-CN"/>
        </w:rPr>
        <w:t>根据</w:t>
      </w:r>
      <w:r>
        <w:rPr>
          <w:rFonts w:hint="default" w:ascii="Times New Roman" w:hAnsi="Times New Roman" w:cs="Times New Roman"/>
          <w:color w:val="auto"/>
          <w:sz w:val="24"/>
          <w:szCs w:val="24"/>
          <w:highlight w:val="none"/>
          <w:u w:val="single"/>
          <w:lang w:eastAsia="zh-CN"/>
        </w:rPr>
        <w:t>《</w:t>
      </w:r>
      <w:r>
        <w:rPr>
          <w:rFonts w:hint="default" w:ascii="Times New Roman" w:hAnsi="Times New Roman" w:cs="Times New Roman"/>
          <w:color w:val="auto"/>
          <w:sz w:val="24"/>
          <w:szCs w:val="24"/>
          <w:highlight w:val="none"/>
          <w:u w:val="single"/>
          <w:lang w:val="en-US" w:eastAsia="zh-CN"/>
        </w:rPr>
        <w:t>广州市老旧小区</w:t>
      </w:r>
      <w:r>
        <w:rPr>
          <w:rFonts w:hint="eastAsia" w:cs="Times New Roman"/>
          <w:color w:val="auto"/>
          <w:sz w:val="24"/>
          <w:szCs w:val="24"/>
          <w:highlight w:val="none"/>
          <w:u w:val="single"/>
          <w:lang w:val="en-US" w:eastAsia="zh-CN"/>
        </w:rPr>
        <w:t>微改造</w:t>
      </w:r>
      <w:r>
        <w:rPr>
          <w:rFonts w:hint="default" w:ascii="Times New Roman" w:hAnsi="Times New Roman" w:cs="Times New Roman"/>
          <w:color w:val="auto"/>
          <w:sz w:val="24"/>
          <w:szCs w:val="24"/>
          <w:highlight w:val="none"/>
          <w:u w:val="single"/>
          <w:lang w:val="en-US" w:eastAsia="zh-CN"/>
        </w:rPr>
        <w:t>实施方案编制工作指引（试行）</w:t>
      </w:r>
      <w:r>
        <w:rPr>
          <w:rFonts w:hint="default" w:ascii="Times New Roman" w:hAnsi="Times New Roman" w:cs="Times New Roman"/>
          <w:color w:val="auto"/>
          <w:sz w:val="24"/>
          <w:szCs w:val="24"/>
          <w:highlight w:val="none"/>
          <w:u w:val="single"/>
          <w:lang w:eastAsia="zh-CN"/>
        </w:rPr>
        <w:t>》</w:t>
      </w:r>
      <w:r>
        <w:rPr>
          <w:rFonts w:hint="default" w:ascii="Times New Roman" w:hAnsi="Times New Roman" w:cs="Times New Roman"/>
          <w:color w:val="auto"/>
          <w:sz w:val="24"/>
          <w:szCs w:val="24"/>
          <w:highlight w:val="none"/>
          <w:u w:val="single"/>
          <w:lang w:val="en-US" w:eastAsia="zh-CN"/>
        </w:rPr>
        <w:t>要求，</w:t>
      </w:r>
      <w:r>
        <w:rPr>
          <w:rFonts w:hint="default" w:ascii="Times New Roman" w:hAnsi="Times New Roman" w:eastAsia="宋体" w:cs="Times New Roman"/>
          <w:color w:val="auto"/>
          <w:sz w:val="24"/>
          <w:szCs w:val="24"/>
          <w:highlight w:val="none"/>
          <w:u w:val="single"/>
        </w:rPr>
        <w:t>老旧</w:t>
      </w:r>
      <w:r>
        <w:rPr>
          <w:rFonts w:hint="default" w:ascii="Times New Roman" w:hAnsi="Times New Roman" w:cs="Times New Roman"/>
          <w:color w:val="auto"/>
          <w:sz w:val="24"/>
          <w:szCs w:val="24"/>
          <w:highlight w:val="none"/>
          <w:u w:val="single"/>
        </w:rPr>
        <w:t>小区实施方案编制改造内容包括（但不限于）基础类：楼道修缮、小区内道路、排水系统疏通、三线整治、绿化提升、照明、安防系统、消防设施、无障碍设施、公共空间提升等改造，</w:t>
      </w:r>
      <w:r>
        <w:rPr>
          <w:rFonts w:hint="eastAsia" w:ascii="宋体" w:hAnsi="宋体" w:cs="宋体"/>
          <w:color w:val="auto"/>
          <w:kern w:val="2"/>
          <w:sz w:val="24"/>
          <w:szCs w:val="24"/>
          <w:highlight w:val="none"/>
          <w:u w:val="single"/>
          <w:lang w:val="en-US" w:eastAsia="zh-CN" w:bidi="ar-SA"/>
        </w:rPr>
        <w:t>编制历史文化遗产保护专章</w:t>
      </w:r>
      <w:r>
        <w:rPr>
          <w:rFonts w:hint="eastAsia" w:ascii="宋体" w:hAnsi="宋体" w:eastAsia="宋体" w:cs="宋体"/>
          <w:color w:val="auto"/>
          <w:kern w:val="2"/>
          <w:sz w:val="24"/>
          <w:szCs w:val="24"/>
          <w:highlight w:val="none"/>
          <w:u w:val="single"/>
          <w:lang w:val="en-US" w:eastAsia="zh-CN" w:bidi="ar-SA"/>
        </w:rPr>
        <w:t>，</w:t>
      </w:r>
      <w:r>
        <w:rPr>
          <w:rFonts w:hint="default" w:ascii="Times New Roman" w:hAnsi="Times New Roman" w:cs="Times New Roman"/>
          <w:color w:val="auto"/>
          <w:sz w:val="24"/>
          <w:szCs w:val="24"/>
          <w:highlight w:val="none"/>
          <w:u w:val="single"/>
        </w:rPr>
        <w:t>以及根据实际方案需要，对提升类和完善类的建设项目进行改造。</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工作</w:t>
      </w:r>
      <w:r>
        <w:rPr>
          <w:rFonts w:hint="default" w:ascii="Times New Roman" w:hAnsi="Times New Roman" w:eastAsia="宋体" w:cs="Times New Roman"/>
          <w:color w:val="auto"/>
          <w:sz w:val="24"/>
          <w:szCs w:val="24"/>
          <w:highlight w:val="none"/>
        </w:rPr>
        <w:t>要求：</w:t>
      </w:r>
      <w:r>
        <w:rPr>
          <w:rFonts w:hint="default" w:ascii="Times New Roman" w:hAnsi="Times New Roman" w:eastAsia="宋体" w:cs="Times New Roman"/>
          <w:color w:val="auto"/>
          <w:sz w:val="24"/>
          <w:szCs w:val="24"/>
          <w:highlight w:val="none"/>
          <w:u w:val="single"/>
        </w:rPr>
        <w:t>项目成果表达应当清晰、规范，符合相关法律、法规和国家有关标准的要求，同时需满足《广州市老旧小区微改造实施方案编制工作指引（试行）》文件的相关要求。以及协助业主进行项目报批工作等</w:t>
      </w:r>
      <w:r>
        <w:rPr>
          <w:rFonts w:hint="default" w:ascii="Times New Roman" w:hAnsi="Times New Roman" w:eastAsia="宋体" w:cs="Times New Roman"/>
          <w:color w:val="auto"/>
          <w:sz w:val="24"/>
          <w:szCs w:val="24"/>
          <w:highlight w:val="none"/>
          <w:u w:val="single"/>
          <w:lang w:eastAsia="zh-CN"/>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val="en-US" w:eastAsia="zh-CN"/>
        </w:rPr>
        <w:t>技术</w:t>
      </w:r>
      <w:r>
        <w:rPr>
          <w:rFonts w:hint="default" w:ascii="Times New Roman" w:hAnsi="Times New Roman" w:eastAsia="宋体" w:cs="Times New Roman"/>
          <w:color w:val="auto"/>
          <w:sz w:val="24"/>
          <w:szCs w:val="24"/>
          <w:highlight w:val="none"/>
        </w:rPr>
        <w:t>方式：</w:t>
      </w:r>
      <w:r>
        <w:rPr>
          <w:rFonts w:hint="default" w:ascii="Times New Roman" w:hAnsi="Times New Roman" w:eastAsia="宋体" w:cs="Times New Roman"/>
          <w:color w:val="auto"/>
          <w:sz w:val="24"/>
          <w:szCs w:val="24"/>
          <w:highlight w:val="none"/>
          <w:u w:val="single"/>
        </w:rPr>
        <w:t>通过实地踏勘访谈，收集民意资料并汇总形成改造清单，依据居民需求合理选择改造项目，指导方案编制。配合进行前期编制工作汇报，编制过程中，做好与居民</w:t>
      </w:r>
      <w:r>
        <w:rPr>
          <w:rFonts w:hint="eastAsia"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社区、街道</w:t>
      </w:r>
      <w:r>
        <w:rPr>
          <w:rFonts w:hint="default" w:ascii="Times New Roman" w:hAnsi="Times New Roman" w:eastAsia="宋体" w:cs="Times New Roman"/>
          <w:color w:val="auto"/>
          <w:sz w:val="24"/>
          <w:szCs w:val="24"/>
          <w:highlight w:val="none"/>
          <w:u w:val="single"/>
        </w:rPr>
        <w:t>的沟通协调工作，使编制方案充分反映民意，为民所用。</w:t>
      </w:r>
    </w:p>
    <w:p>
      <w:pPr>
        <w:spacing w:line="360" w:lineRule="auto"/>
        <w:ind w:firstLine="480" w:firstLineChars="200"/>
        <w:rPr>
          <w:rFonts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highlight w:val="none"/>
        </w:rPr>
        <w:t>6.提</w:t>
      </w:r>
      <w:r>
        <w:rPr>
          <w:rFonts w:hint="default" w:ascii="Times New Roman" w:hAnsi="Times New Roman" w:cs="Times New Roman"/>
          <w:color w:val="auto"/>
          <w:sz w:val="24"/>
          <w:szCs w:val="24"/>
          <w:highlight w:val="none"/>
        </w:rPr>
        <w:t>供协作：</w:t>
      </w:r>
      <w:r>
        <w:rPr>
          <w:rFonts w:hint="default" w:ascii="Times New Roman" w:hAnsi="Times New Roman" w:eastAsia="宋体" w:cs="Times New Roman"/>
          <w:color w:val="auto"/>
          <w:sz w:val="24"/>
          <w:szCs w:val="24"/>
          <w:highlight w:val="none"/>
          <w:u w:val="single"/>
        </w:rPr>
        <w:t>乙方除向甲方提交本合同约定的实施方案外，尚应协助相关报批工作，及项目汇报、评审工作。</w:t>
      </w:r>
    </w:p>
    <w:p>
      <w:pPr>
        <w:spacing w:line="360" w:lineRule="auto"/>
        <w:ind w:firstLine="482" w:firstLineChars="200"/>
        <w:rPr>
          <w:rFonts w:ascii="Times New Roman" w:hAnsi="Times New Roman" w:eastAsia="宋体" w:cs="Times New Roman"/>
          <w:color w:val="auto"/>
          <w:sz w:val="24"/>
          <w:szCs w:val="24"/>
          <w:u w:val="single"/>
        </w:rPr>
      </w:pPr>
      <w:r>
        <w:rPr>
          <w:rFonts w:ascii="Times New Roman" w:hAnsi="Times New Roman" w:cs="Times New Roman"/>
          <w:b/>
          <w:bCs/>
          <w:color w:val="auto"/>
          <w:sz w:val="24"/>
          <w:szCs w:val="24"/>
        </w:rPr>
        <w:t>第二条</w:t>
      </w:r>
      <w:r>
        <w:rPr>
          <w:rFonts w:ascii="Times New Roman" w:hAnsi="Times New Roman" w:cs="Times New Roman"/>
          <w:color w:val="auto"/>
          <w:sz w:val="24"/>
          <w:szCs w:val="24"/>
        </w:rPr>
        <w:t xml:space="preserve">  乙方应当按照下列进度要求进行本合同项目的技术咨询工作：</w:t>
      </w:r>
      <w:r>
        <w:rPr>
          <w:rFonts w:ascii="Times New Roman" w:hAnsi="Times New Roman" w:eastAsia="宋体" w:cs="Times New Roman"/>
          <w:color w:val="auto"/>
          <w:sz w:val="24"/>
          <w:szCs w:val="24"/>
          <w:u w:val="single"/>
        </w:rPr>
        <w:t>按甲方要求时间、份数提交项目的实施方案并</w:t>
      </w:r>
      <w:r>
        <w:rPr>
          <w:rFonts w:hint="eastAsia" w:ascii="Times New Roman" w:hAnsi="Times New Roman" w:eastAsia="宋体" w:cs="Times New Roman"/>
          <w:color w:val="auto"/>
          <w:sz w:val="24"/>
          <w:szCs w:val="24"/>
          <w:u w:val="single"/>
        </w:rPr>
        <w:t>根据《荔湾区老旧小区微改造工作机制》程序要求进行报批</w:t>
      </w:r>
      <w:r>
        <w:rPr>
          <w:rFonts w:ascii="Times New Roman" w:hAnsi="Times New Roman" w:eastAsia="宋体" w:cs="Times New Roman"/>
          <w:color w:val="auto"/>
          <w:sz w:val="24"/>
          <w:szCs w:val="24"/>
          <w:u w:val="single"/>
        </w:rPr>
        <w:t>。</w:t>
      </w:r>
    </w:p>
    <w:p>
      <w:pPr>
        <w:spacing w:line="360" w:lineRule="auto"/>
        <w:ind w:firstLine="482" w:firstLineChars="200"/>
        <w:rPr>
          <w:rFonts w:ascii="Times New Roman" w:hAnsi="Times New Roman" w:cs="Times New Roman"/>
          <w:color w:val="auto"/>
          <w:sz w:val="24"/>
          <w:szCs w:val="24"/>
        </w:rPr>
      </w:pPr>
      <w:r>
        <w:rPr>
          <w:rFonts w:ascii="Times New Roman" w:hAnsi="Times New Roman" w:cs="Times New Roman"/>
          <w:b/>
          <w:bCs/>
          <w:color w:val="auto"/>
          <w:sz w:val="24"/>
          <w:szCs w:val="24"/>
        </w:rPr>
        <w:t>第三条</w:t>
      </w:r>
      <w:r>
        <w:rPr>
          <w:rFonts w:ascii="Times New Roman" w:hAnsi="Times New Roman" w:cs="Times New Roman"/>
          <w:color w:val="auto"/>
          <w:sz w:val="24"/>
          <w:szCs w:val="24"/>
        </w:rPr>
        <w:t xml:space="preserve"> 为保证乙方有效进行技术咨询工作，甲方应当向乙方提供下列协作事项：</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 提供技术资料：</w:t>
      </w:r>
    </w:p>
    <w:p>
      <w:pPr>
        <w:spacing w:line="360" w:lineRule="auto"/>
        <w:ind w:firstLine="480" w:firstLineChars="200"/>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⑴  本项目有关技术基础资料；</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u w:val="single"/>
        </w:rPr>
        <w:t>⑵  本项目成交通知书。</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甲方提供上述协作事项的时间及方式：甲方在签订本合同后提供上述技术资料。</w:t>
      </w:r>
      <w:r>
        <w:rPr>
          <w:rFonts w:ascii="Times New Roman" w:hAnsi="Times New Roman" w:eastAsia="宋体" w:cs="Times New Roman"/>
          <w:color w:val="auto"/>
          <w:sz w:val="24"/>
          <w:szCs w:val="24"/>
        </w:rPr>
        <w:t>若在甲方提供资料后3个工作日内，乙</w:t>
      </w:r>
      <w:r>
        <w:rPr>
          <w:rFonts w:ascii="Times New Roman" w:hAnsi="Times New Roman" w:cs="Times New Roman"/>
          <w:color w:val="auto"/>
          <w:sz w:val="24"/>
          <w:szCs w:val="24"/>
        </w:rPr>
        <w:t>方未提出书面异议，视为甲方提交的资料完整而准确，乙方不得事后以甲方提供资料不完整或不准确为由主张交付时间顺延。</w:t>
      </w:r>
    </w:p>
    <w:p>
      <w:pPr>
        <w:spacing w:line="360" w:lineRule="auto"/>
        <w:ind w:firstLine="482" w:firstLineChars="200"/>
        <w:rPr>
          <w:rFonts w:ascii="Times New Roman" w:hAnsi="Times New Roman" w:cs="Times New Roman"/>
          <w:color w:val="auto"/>
          <w:sz w:val="24"/>
          <w:szCs w:val="24"/>
        </w:rPr>
      </w:pPr>
      <w:r>
        <w:rPr>
          <w:rFonts w:ascii="Times New Roman" w:hAnsi="Times New Roman" w:cs="Times New Roman"/>
          <w:b/>
          <w:bCs/>
          <w:color w:val="auto"/>
          <w:sz w:val="24"/>
          <w:szCs w:val="24"/>
        </w:rPr>
        <w:t>第四条</w:t>
      </w:r>
      <w:r>
        <w:rPr>
          <w:rFonts w:ascii="Times New Roman" w:hAnsi="Times New Roman" w:cs="Times New Roman"/>
          <w:color w:val="auto"/>
          <w:sz w:val="24"/>
          <w:szCs w:val="24"/>
        </w:rPr>
        <w:t xml:space="preserve"> 甲方向乙方支付报酬及支付方式为：</w:t>
      </w:r>
    </w:p>
    <w:p>
      <w:pPr>
        <w:pStyle w:val="26"/>
        <w:spacing w:line="360" w:lineRule="auto"/>
        <w:ind w:firstLine="560"/>
        <w:rPr>
          <w:color w:val="auto"/>
          <w:sz w:val="24"/>
          <w:szCs w:val="24"/>
        </w:rPr>
      </w:pPr>
      <w:r>
        <w:rPr>
          <w:color w:val="auto"/>
          <w:sz w:val="24"/>
          <w:szCs w:val="24"/>
        </w:rPr>
        <w:t>1.本项目工作技术咨询费合同价暂定为：人民币：</w:t>
      </w:r>
      <w:r>
        <w:rPr>
          <w:color w:val="auto"/>
          <w:sz w:val="24"/>
          <w:szCs w:val="24"/>
          <w:u w:val="single"/>
        </w:rPr>
        <w:t xml:space="preserve">     </w:t>
      </w:r>
      <w:r>
        <w:rPr>
          <w:color w:val="auto"/>
          <w:sz w:val="24"/>
          <w:szCs w:val="24"/>
        </w:rPr>
        <w:t>元（大写：</w:t>
      </w:r>
      <w:r>
        <w:rPr>
          <w:color w:val="auto"/>
          <w:sz w:val="24"/>
          <w:szCs w:val="24"/>
          <w:u w:val="single"/>
        </w:rPr>
        <w:t xml:space="preserve">         </w:t>
      </w:r>
      <w:r>
        <w:rPr>
          <w:color w:val="auto"/>
          <w:sz w:val="24"/>
          <w:szCs w:val="24"/>
        </w:rPr>
        <w:t>）。</w:t>
      </w:r>
    </w:p>
    <w:p>
      <w:pPr>
        <w:pStyle w:val="26"/>
        <w:spacing w:line="360" w:lineRule="auto"/>
        <w:ind w:firstLine="560"/>
        <w:rPr>
          <w:color w:val="auto"/>
          <w:sz w:val="24"/>
          <w:szCs w:val="24"/>
        </w:rPr>
      </w:pPr>
      <w:r>
        <w:rPr>
          <w:color w:val="auto"/>
          <w:sz w:val="24"/>
          <w:szCs w:val="24"/>
        </w:rPr>
        <w:t>2.收费依据</w:t>
      </w:r>
    </w:p>
    <w:p>
      <w:pPr>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本项目实施方案编制费为包干价。</w:t>
      </w:r>
    </w:p>
    <w:p>
      <w:pPr>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highlight w:val="none"/>
        </w:rPr>
        <w:t>该金额已包括但不限于乙方完成本合同项下工作所需的一切人工、现场查勘、交通费、图纸资料、文印费、汇报视频、展览展板、会议组织费用、各种评审时发生的会务费（包含资料费）、专家评审费、专家调研费、根据专家意见修改及调整等费用、成本、利润、税费、赶工费等乙方履行合同项下义务所产生的全部费用等，除此之外，甲方不再向乙方支付本条款明示以外的其他任何费用。</w:t>
      </w:r>
    </w:p>
    <w:p>
      <w:pPr>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3. </w:t>
      </w:r>
      <w:r>
        <w:rPr>
          <w:rFonts w:hint="eastAsia" w:ascii="Times New Roman" w:hAnsi="Times New Roman" w:eastAsia="宋体" w:cs="Times New Roman"/>
          <w:color w:val="auto"/>
          <w:sz w:val="24"/>
          <w:szCs w:val="24"/>
        </w:rPr>
        <w:t>实施方案</w:t>
      </w:r>
      <w:r>
        <w:rPr>
          <w:rFonts w:ascii="Times New Roman" w:hAnsi="Times New Roman" w:eastAsia="宋体" w:cs="Times New Roman"/>
          <w:color w:val="auto"/>
          <w:sz w:val="24"/>
          <w:szCs w:val="24"/>
        </w:rPr>
        <w:t>服务支付</w:t>
      </w:r>
    </w:p>
    <w:p>
      <w:pPr>
        <w:pStyle w:val="26"/>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①合同生效后，根据项目实际情况累计可支付至合同金额的20%；</w:t>
      </w:r>
    </w:p>
    <w:p>
      <w:pPr>
        <w:pStyle w:val="26"/>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②实施方案成果经专家评审后，累计支付至合同金额的50%</w:t>
      </w:r>
    </w:p>
    <w:p>
      <w:pPr>
        <w:spacing w:line="360" w:lineRule="auto"/>
        <w:ind w:firstLine="480" w:firstLineChars="200"/>
        <w:jc w:val="left"/>
        <w:rPr>
          <w:rFonts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highlight w:val="none"/>
          <w:u w:val="single"/>
        </w:rPr>
        <w:t>③实施方案经公示</w:t>
      </w:r>
      <w:r>
        <w:rPr>
          <w:rFonts w:hint="default" w:ascii="Times New Roman" w:hAnsi="Times New Roman" w:cs="Times New Roman"/>
          <w:color w:val="auto"/>
          <w:sz w:val="24"/>
          <w:szCs w:val="24"/>
          <w:highlight w:val="none"/>
          <w:u w:val="single"/>
          <w:lang w:val="en-US" w:eastAsia="zh-CN"/>
        </w:rPr>
        <w:t>无意见并经</w:t>
      </w:r>
      <w:r>
        <w:rPr>
          <w:rFonts w:hint="default" w:ascii="Times New Roman" w:hAnsi="Times New Roman" w:eastAsia="宋体" w:cs="Times New Roman"/>
          <w:color w:val="auto"/>
          <w:sz w:val="24"/>
          <w:szCs w:val="24"/>
          <w:highlight w:val="none"/>
          <w:u w:val="single"/>
        </w:rPr>
        <w:t>区政府审议通过，经甲方确认的成果，并提交结算资料及尾款资金申请资料，经审核后一次性付清余额。</w:t>
      </w:r>
    </w:p>
    <w:p>
      <w:pPr>
        <w:spacing w:line="360" w:lineRule="auto"/>
        <w:ind w:firstLine="480" w:firstLineChars="200"/>
        <w:jc w:val="left"/>
        <w:rPr>
          <w:rFonts w:ascii="Times New Roman" w:hAnsi="Times New Roman" w:eastAsia="宋体" w:cs="Times New Roman"/>
          <w:color w:val="auto"/>
          <w:sz w:val="24"/>
          <w:szCs w:val="24"/>
          <w:u w:val="single"/>
        </w:rPr>
      </w:pPr>
      <w:bookmarkStart w:id="1" w:name="_Hlk38632925"/>
      <w:r>
        <w:rPr>
          <w:rFonts w:ascii="Times New Roman" w:hAnsi="Times New Roman" w:eastAsia="宋体" w:cs="Times New Roman"/>
          <w:color w:val="auto"/>
          <w:sz w:val="24"/>
          <w:szCs w:val="24"/>
          <w:u w:val="single"/>
        </w:rPr>
        <w:t>上述条款中的付款时间，</w:t>
      </w:r>
      <w:r>
        <w:rPr>
          <w:rFonts w:ascii="Times New Roman" w:hAnsi="Times New Roman" w:eastAsia="宋体" w:cs="Times New Roman"/>
          <w:b/>
          <w:bCs/>
          <w:color w:val="auto"/>
          <w:sz w:val="24"/>
          <w:szCs w:val="24"/>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rFonts w:ascii="Times New Roman" w:hAnsi="Times New Roman" w:cs="Times New Roman"/>
          <w:color w:val="auto"/>
          <w:sz w:val="24"/>
          <w:szCs w:val="24"/>
        </w:rPr>
      </w:pPr>
      <w:r>
        <w:rPr>
          <w:rFonts w:ascii="Times New Roman" w:hAnsi="Times New Roman" w:cs="Times New Roman"/>
          <w:color w:val="auto"/>
          <w:sz w:val="24"/>
          <w:szCs w:val="24"/>
        </w:rPr>
        <w:t>乙方开户银行名称、地址和账号为：</w:t>
      </w:r>
    </w:p>
    <w:p>
      <w:pPr>
        <w:spacing w:line="360" w:lineRule="auto"/>
        <w:ind w:firstLine="480" w:firstLineChars="200"/>
        <w:rPr>
          <w:rFonts w:ascii="Times New Roman" w:hAnsi="Times New Roman" w:eastAsia="宋体" w:cs="Times New Roman"/>
          <w:color w:val="auto"/>
          <w:sz w:val="24"/>
          <w:szCs w:val="24"/>
          <w:u w:val="single"/>
        </w:rPr>
      </w:pPr>
      <w:r>
        <w:rPr>
          <w:rFonts w:ascii="Times New Roman" w:hAnsi="Times New Roman" w:cs="Times New Roman"/>
          <w:color w:val="auto"/>
          <w:sz w:val="24"/>
          <w:szCs w:val="24"/>
        </w:rPr>
        <w:t xml:space="preserve">户名： </w:t>
      </w:r>
      <w:r>
        <w:rPr>
          <w:rFonts w:ascii="Times New Roman" w:hAnsi="Times New Roman" w:eastAsia="宋体" w:cs="Times New Roman"/>
          <w:color w:val="auto"/>
          <w:sz w:val="24"/>
          <w:szCs w:val="24"/>
          <w:u w:val="single"/>
        </w:rPr>
        <w:t xml:space="preserve">                               </w:t>
      </w:r>
    </w:p>
    <w:p>
      <w:pPr>
        <w:spacing w:line="360" w:lineRule="auto"/>
        <w:ind w:firstLine="480" w:firstLineChars="200"/>
        <w:rPr>
          <w:rFonts w:ascii="Times New Roman" w:hAnsi="Times New Roman" w:eastAsia="楷体_GB2312" w:cs="Times New Roman"/>
          <w:color w:val="auto"/>
          <w:sz w:val="24"/>
          <w:szCs w:val="24"/>
        </w:rPr>
      </w:pPr>
      <w:r>
        <w:rPr>
          <w:rFonts w:ascii="Times New Roman" w:hAnsi="Times New Roman" w:cs="Times New Roman"/>
          <w:color w:val="auto"/>
          <w:sz w:val="24"/>
          <w:szCs w:val="24"/>
        </w:rPr>
        <w:t>开户银行：</w:t>
      </w:r>
      <w:r>
        <w:rPr>
          <w:rFonts w:ascii="Times New Roman" w:hAnsi="Times New Roman" w:cs="Times New Roman"/>
          <w:color w:val="auto"/>
          <w:sz w:val="24"/>
          <w:szCs w:val="24"/>
          <w:u w:val="single"/>
        </w:rPr>
        <w:t xml:space="preserve"> </w:t>
      </w:r>
      <w:r>
        <w:rPr>
          <w:rFonts w:ascii="Times New Roman" w:hAnsi="Times New Roman" w:eastAsia="宋体" w:cs="Times New Roman"/>
          <w:color w:val="auto"/>
          <w:sz w:val="24"/>
          <w:szCs w:val="24"/>
          <w:u w:val="single"/>
        </w:rPr>
        <w:t xml:space="preserve">         </w:t>
      </w:r>
      <w:r>
        <w:rPr>
          <w:rFonts w:ascii="Times New Roman" w:hAnsi="Times New Roman" w:eastAsia="楷体_GB2312" w:cs="Times New Roman"/>
          <w:color w:val="auto"/>
          <w:sz w:val="24"/>
          <w:szCs w:val="24"/>
          <w:u w:val="single"/>
        </w:rPr>
        <w:t xml:space="preserve">                  </w:t>
      </w:r>
    </w:p>
    <w:p>
      <w:pPr>
        <w:spacing w:line="360" w:lineRule="auto"/>
        <w:ind w:firstLine="480" w:firstLineChars="200"/>
        <w:rPr>
          <w:rFonts w:ascii="Times New Roman" w:hAnsi="Times New Roman" w:eastAsia="楷体_GB2312" w:cs="Times New Roman"/>
          <w:color w:val="auto"/>
          <w:sz w:val="24"/>
          <w:szCs w:val="24"/>
          <w:u w:val="single"/>
        </w:rPr>
      </w:pPr>
      <w:r>
        <w:rPr>
          <w:rFonts w:ascii="Times New Roman" w:hAnsi="Times New Roman" w:cs="Times New Roman"/>
          <w:color w:val="auto"/>
          <w:sz w:val="24"/>
          <w:szCs w:val="24"/>
        </w:rPr>
        <w:t>帐号：</w:t>
      </w:r>
      <w:r>
        <w:rPr>
          <w:rFonts w:ascii="Times New Roman" w:hAnsi="Times New Roman" w:eastAsia="楷体_GB2312" w:cs="Times New Roman"/>
          <w:color w:val="auto"/>
          <w:sz w:val="24"/>
          <w:szCs w:val="24"/>
          <w:u w:val="single"/>
        </w:rPr>
        <w:t xml:space="preserve"> </w:t>
      </w:r>
      <w:r>
        <w:rPr>
          <w:rFonts w:ascii="Times New Roman" w:hAnsi="Times New Roman" w:eastAsia="宋体" w:cs="Times New Roman"/>
          <w:color w:val="auto"/>
          <w:sz w:val="24"/>
          <w:szCs w:val="24"/>
          <w:u w:val="single"/>
        </w:rPr>
        <w:t xml:space="preserve">            </w:t>
      </w:r>
      <w:r>
        <w:rPr>
          <w:rFonts w:ascii="Times New Roman" w:hAnsi="Times New Roman" w:eastAsia="楷体_GB2312" w:cs="Times New Roman"/>
          <w:color w:val="auto"/>
          <w:sz w:val="24"/>
          <w:szCs w:val="24"/>
          <w:u w:val="single"/>
        </w:rPr>
        <w:t xml:space="preserve">                   </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地址：</w:t>
      </w:r>
      <w:r>
        <w:rPr>
          <w:rFonts w:ascii="Times New Roman" w:hAnsi="Times New Roman" w:eastAsia="楷体_GB2312" w:cs="Times New Roman"/>
          <w:color w:val="auto"/>
          <w:sz w:val="24"/>
          <w:szCs w:val="24"/>
          <w:u w:val="single"/>
        </w:rPr>
        <w:t xml:space="preserve"> </w:t>
      </w:r>
      <w:r>
        <w:rPr>
          <w:rFonts w:ascii="Times New Roman" w:hAnsi="Times New Roman" w:eastAsia="宋体" w:cs="Times New Roman"/>
          <w:color w:val="auto"/>
          <w:sz w:val="24"/>
          <w:szCs w:val="24"/>
          <w:u w:val="single"/>
        </w:rPr>
        <w:t xml:space="preserve">                            </w:t>
      </w:r>
      <w:r>
        <w:rPr>
          <w:rFonts w:ascii="Times New Roman" w:hAnsi="Times New Roman" w:eastAsia="楷体_GB2312" w:cs="Times New Roman"/>
          <w:color w:val="auto"/>
          <w:sz w:val="24"/>
          <w:szCs w:val="24"/>
          <w:u w:val="single"/>
        </w:rPr>
        <w:t xml:space="preserve">   </w:t>
      </w:r>
    </w:p>
    <w:p>
      <w:pPr>
        <w:spacing w:line="360" w:lineRule="auto"/>
        <w:ind w:firstLine="482" w:firstLineChars="200"/>
        <w:rPr>
          <w:rFonts w:ascii="Times New Roman" w:hAnsi="Times New Roman" w:cs="Times New Roman"/>
          <w:color w:val="auto"/>
          <w:sz w:val="24"/>
          <w:szCs w:val="24"/>
        </w:rPr>
      </w:pPr>
      <w:r>
        <w:rPr>
          <w:rFonts w:ascii="Times New Roman" w:hAnsi="Times New Roman" w:cs="Times New Roman"/>
          <w:b/>
          <w:bCs/>
          <w:color w:val="auto"/>
          <w:sz w:val="24"/>
          <w:szCs w:val="24"/>
        </w:rPr>
        <w:t>第五条</w:t>
      </w:r>
      <w:r>
        <w:rPr>
          <w:rFonts w:ascii="Times New Roman" w:hAnsi="Times New Roman" w:cs="Times New Roman"/>
          <w:color w:val="auto"/>
          <w:sz w:val="24"/>
          <w:szCs w:val="24"/>
        </w:rPr>
        <w:t xml:space="preserve"> 双方确定因履行本合同应遵守的保密义务如下：</w:t>
      </w:r>
    </w:p>
    <w:p>
      <w:pPr>
        <w:spacing w:line="360" w:lineRule="auto"/>
        <w:ind w:firstLine="570"/>
        <w:rPr>
          <w:rFonts w:ascii="Times New Roman" w:hAnsi="Times New Roman" w:cs="Times New Roman"/>
          <w:color w:val="auto"/>
          <w:sz w:val="24"/>
          <w:szCs w:val="24"/>
        </w:rPr>
      </w:pPr>
      <w:r>
        <w:rPr>
          <w:rFonts w:ascii="Times New Roman" w:hAnsi="Times New Roman" w:cs="Times New Roman"/>
          <w:color w:val="auto"/>
          <w:sz w:val="24"/>
          <w:szCs w:val="24"/>
        </w:rPr>
        <w:t>甲、乙双方均对对方提供的技术情报和资料承担保密义务，甲方对乙方提供的技术情报和资料享有使用权。</w:t>
      </w:r>
    </w:p>
    <w:p>
      <w:pPr>
        <w:spacing w:line="360" w:lineRule="auto"/>
        <w:ind w:firstLine="573"/>
        <w:rPr>
          <w:rFonts w:ascii="Times New Roman" w:hAnsi="Times New Roman" w:cs="Times New Roman"/>
          <w:color w:val="auto"/>
          <w:sz w:val="24"/>
          <w:szCs w:val="24"/>
        </w:rPr>
      </w:pPr>
      <w:r>
        <w:rPr>
          <w:rFonts w:ascii="Times New Roman" w:hAnsi="Times New Roman" w:cs="Times New Roman"/>
          <w:b/>
          <w:bCs/>
          <w:color w:val="auto"/>
          <w:sz w:val="24"/>
          <w:szCs w:val="24"/>
        </w:rPr>
        <w:t>第六条</w:t>
      </w:r>
      <w:r>
        <w:rPr>
          <w:rFonts w:ascii="Times New Roman" w:hAnsi="Times New Roman" w:cs="Times New Roman"/>
          <w:color w:val="auto"/>
          <w:sz w:val="24"/>
          <w:szCs w:val="24"/>
        </w:rPr>
        <w:t xml:space="preserve"> 本合同的变更必须由双方协商一致，并以书面形式确定。但有下列情形的，一方可以向另一方提出变更合同权利与义务的请求，另一方应当在</w:t>
      </w:r>
      <w:r>
        <w:rPr>
          <w:rFonts w:ascii="Times New Roman" w:hAnsi="Times New Roman" w:eastAsia="楷体_GB2312" w:cs="Times New Roman"/>
          <w:color w:val="auto"/>
          <w:sz w:val="24"/>
          <w:szCs w:val="24"/>
          <w:u w:val="single"/>
        </w:rPr>
        <w:t>7</w:t>
      </w:r>
      <w:r>
        <w:rPr>
          <w:rFonts w:ascii="Times New Roman" w:hAnsi="Times New Roman" w:cs="Times New Roman"/>
          <w:color w:val="auto"/>
          <w:sz w:val="24"/>
          <w:szCs w:val="24"/>
        </w:rPr>
        <w:t>日内予以答复；逾期未予以答复的，视为同意：</w:t>
      </w:r>
    </w:p>
    <w:p>
      <w:pPr>
        <w:spacing w:line="360" w:lineRule="auto"/>
        <w:ind w:firstLine="573"/>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 xml:space="preserve">1. </w:t>
      </w:r>
      <w:r>
        <w:rPr>
          <w:rFonts w:ascii="Times New Roman" w:hAnsi="Times New Roman" w:eastAsia="宋体" w:cs="Times New Roman"/>
          <w:color w:val="auto"/>
          <w:sz w:val="24"/>
          <w:szCs w:val="24"/>
          <w:u w:val="single"/>
        </w:rPr>
        <w:t>由于不可抗力；</w:t>
      </w:r>
    </w:p>
    <w:p>
      <w:pPr>
        <w:spacing w:line="360" w:lineRule="auto"/>
        <w:ind w:firstLine="573"/>
        <w:rPr>
          <w:rFonts w:ascii="Times New Roman" w:hAnsi="Times New Roman" w:cs="Times New Roman"/>
          <w:color w:val="auto"/>
          <w:sz w:val="24"/>
          <w:szCs w:val="24"/>
        </w:rPr>
      </w:pPr>
      <w:r>
        <w:rPr>
          <w:rFonts w:ascii="Times New Roman" w:hAnsi="Times New Roman" w:cs="Times New Roman"/>
          <w:b/>
          <w:bCs/>
          <w:color w:val="auto"/>
          <w:sz w:val="24"/>
          <w:szCs w:val="24"/>
        </w:rPr>
        <w:t>第七条</w:t>
      </w:r>
      <w:r>
        <w:rPr>
          <w:rFonts w:ascii="Times New Roman" w:hAnsi="Times New Roman" w:cs="Times New Roman"/>
          <w:color w:val="auto"/>
          <w:sz w:val="24"/>
          <w:szCs w:val="24"/>
        </w:rPr>
        <w:t xml:space="preserve"> 双方确定，按以下标准和方式对乙方提交的技术咨询工作成果进行验收：</w:t>
      </w:r>
    </w:p>
    <w:p>
      <w:pPr>
        <w:spacing w:line="360" w:lineRule="auto"/>
        <w:ind w:firstLine="480" w:firstLineChars="200"/>
        <w:jc w:val="left"/>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1. 乙方完成技术咨询工作成果的形式及时间：</w:t>
      </w:r>
      <w:r>
        <w:rPr>
          <w:rFonts w:ascii="Times New Roman" w:hAnsi="Times New Roman" w:eastAsia="宋体" w:cs="Times New Roman"/>
          <w:color w:val="auto"/>
          <w:sz w:val="24"/>
          <w:szCs w:val="24"/>
          <w:u w:val="single"/>
        </w:rPr>
        <w:t>乙方应在成交通知书发出后10个日历天内向按甲方要求提交纸质版及电子版。有关部门进行评审后5个日历天内完成实施方案的修改。期限结束后，若实施方案仍需修改、调整，</w:t>
      </w:r>
      <w:r>
        <w:rPr>
          <w:rFonts w:ascii="Times New Roman" w:hAnsi="Times New Roman" w:cs="Times New Roman"/>
          <w:color w:val="auto"/>
          <w:sz w:val="24"/>
          <w:szCs w:val="24"/>
          <w:u w:val="single"/>
        </w:rPr>
        <w:t>乙方</w:t>
      </w:r>
      <w:r>
        <w:rPr>
          <w:rFonts w:ascii="Times New Roman" w:hAnsi="Times New Roman" w:eastAsia="宋体" w:cs="Times New Roman"/>
          <w:color w:val="auto"/>
          <w:sz w:val="24"/>
          <w:szCs w:val="24"/>
          <w:u w:val="single"/>
        </w:rPr>
        <w:t>单位应继续提供有关服务。</w:t>
      </w:r>
    </w:p>
    <w:p>
      <w:pPr>
        <w:spacing w:line="360" w:lineRule="auto"/>
        <w:ind w:firstLine="480" w:firstLineChars="200"/>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2. 技术咨询工作成果的验收标准：</w:t>
      </w:r>
      <w:r>
        <w:rPr>
          <w:rFonts w:ascii="Times New Roman" w:hAnsi="Times New Roman" w:eastAsia="宋体" w:cs="Times New Roman"/>
          <w:color w:val="auto"/>
          <w:sz w:val="24"/>
          <w:szCs w:val="24"/>
          <w:u w:val="single"/>
        </w:rPr>
        <w:t>按国家现行的规范、规定、技术条例的要求进行验收。</w:t>
      </w:r>
    </w:p>
    <w:p>
      <w:pPr>
        <w:spacing w:line="360" w:lineRule="auto"/>
        <w:ind w:firstLine="480" w:firstLineChars="200"/>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3. 技术咨询工作成果的验收方法：</w:t>
      </w:r>
      <w:r>
        <w:rPr>
          <w:rFonts w:ascii="Times New Roman" w:hAnsi="Times New Roman" w:eastAsia="宋体" w:cs="Times New Roman"/>
          <w:color w:val="auto"/>
          <w:sz w:val="24"/>
          <w:szCs w:val="24"/>
          <w:u w:val="single"/>
        </w:rPr>
        <w:t>实施方案文本完成经专家评审后，由乙方协助甲方报区政府审议。</w:t>
      </w:r>
    </w:p>
    <w:p>
      <w:pPr>
        <w:spacing w:line="360" w:lineRule="auto"/>
        <w:ind w:firstLine="570"/>
        <w:rPr>
          <w:rFonts w:ascii="Times New Roman" w:hAnsi="Times New Roman" w:eastAsia="楷体_GB2312" w:cs="Times New Roman"/>
          <w:color w:val="auto"/>
          <w:sz w:val="24"/>
          <w:szCs w:val="24"/>
          <w:u w:val="single"/>
        </w:rPr>
      </w:pPr>
      <w:r>
        <w:rPr>
          <w:rFonts w:ascii="Times New Roman" w:hAnsi="Times New Roman" w:eastAsia="宋体" w:cs="Times New Roman"/>
          <w:color w:val="auto"/>
          <w:sz w:val="24"/>
          <w:szCs w:val="24"/>
        </w:rPr>
        <w:t>4. 验</w:t>
      </w:r>
      <w:r>
        <w:rPr>
          <w:rFonts w:ascii="Times New Roman" w:hAnsi="Times New Roman" w:cs="Times New Roman"/>
          <w:color w:val="auto"/>
          <w:sz w:val="24"/>
          <w:szCs w:val="24"/>
        </w:rPr>
        <w:t>收的时间和地点：</w:t>
      </w:r>
      <w:r>
        <w:rPr>
          <w:rFonts w:ascii="Times New Roman" w:hAnsi="Times New Roman" w:eastAsia="宋体" w:cs="Times New Roman"/>
          <w:color w:val="auto"/>
          <w:sz w:val="24"/>
          <w:szCs w:val="24"/>
          <w:u w:val="single"/>
        </w:rPr>
        <w:t>甲方收到实施方案时确定。</w:t>
      </w:r>
    </w:p>
    <w:p>
      <w:pPr>
        <w:spacing w:line="360" w:lineRule="auto"/>
        <w:ind w:firstLine="561"/>
        <w:rPr>
          <w:rFonts w:ascii="Times New Roman" w:hAnsi="Times New Roman" w:cs="Times New Roman"/>
          <w:color w:val="auto"/>
          <w:sz w:val="24"/>
          <w:szCs w:val="24"/>
        </w:rPr>
      </w:pPr>
      <w:r>
        <w:rPr>
          <w:rFonts w:ascii="Times New Roman" w:hAnsi="Times New Roman" w:cs="Times New Roman"/>
          <w:b/>
          <w:bCs/>
          <w:color w:val="auto"/>
          <w:sz w:val="24"/>
          <w:szCs w:val="24"/>
        </w:rPr>
        <w:t>第八条</w:t>
      </w:r>
      <w:r>
        <w:rPr>
          <w:rFonts w:ascii="Times New Roman" w:hAnsi="Times New Roman" w:cs="Times New Roman"/>
          <w:color w:val="auto"/>
          <w:sz w:val="24"/>
          <w:szCs w:val="24"/>
        </w:rPr>
        <w:t xml:space="preserve"> 违约责任：</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1.乙方未能按本合同规定的时间节点完成对应编制或修改工作的，从逾期之日起每日按本合同总价</w:t>
      </w:r>
      <w:r>
        <w:rPr>
          <w:rFonts w:ascii="Times New Roman" w:hAnsi="Times New Roman" w:eastAsia="宋体" w:cs="Times New Roman"/>
          <w:color w:val="auto"/>
          <w:sz w:val="24"/>
          <w:szCs w:val="24"/>
          <w:u w:val="single"/>
        </w:rPr>
        <w:t>2‰</w:t>
      </w:r>
      <w:r>
        <w:rPr>
          <w:rFonts w:ascii="Times New Roman" w:hAnsi="Times New Roman" w:eastAsia="宋体" w:cs="Times New Roman"/>
          <w:color w:val="auto"/>
          <w:sz w:val="24"/>
          <w:szCs w:val="24"/>
        </w:rPr>
        <w:t>的数额向甲方支付违约金。如延误超过</w:t>
      </w:r>
      <w:r>
        <w:rPr>
          <w:rFonts w:ascii="Times New Roman" w:hAnsi="Times New Roman" w:eastAsia="宋体" w:cs="Times New Roman"/>
          <w:color w:val="auto"/>
          <w:sz w:val="24"/>
          <w:szCs w:val="24"/>
          <w:u w:val="single"/>
        </w:rPr>
        <w:t>10</w:t>
      </w:r>
      <w:r>
        <w:rPr>
          <w:rFonts w:ascii="Times New Roman" w:hAnsi="Times New Roman" w:eastAsia="宋体" w:cs="Times New Roman"/>
          <w:color w:val="auto"/>
          <w:sz w:val="24"/>
          <w:szCs w:val="24"/>
        </w:rPr>
        <w:t>日仍未完工的，甲方有权解除合同并不予支付任何费用，并有权要求乙方支付合同总价</w:t>
      </w:r>
      <w:r>
        <w:rPr>
          <w:rFonts w:ascii="Times New Roman" w:hAnsi="Times New Roman" w:eastAsia="宋体" w:cs="Times New Roman"/>
          <w:color w:val="auto"/>
          <w:sz w:val="24"/>
          <w:szCs w:val="24"/>
          <w:u w:val="single"/>
        </w:rPr>
        <w:t>20%</w:t>
      </w:r>
      <w:r>
        <w:rPr>
          <w:rFonts w:ascii="Times New Roman" w:hAnsi="Times New Roman" w:eastAsia="宋体" w:cs="Times New Roman"/>
          <w:color w:val="auto"/>
          <w:sz w:val="24"/>
          <w:szCs w:val="24"/>
        </w:rPr>
        <w:t>的款项作为违约金。此外，乙方还应退还已收的全部费用。</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bookmarkStart w:id="2" w:name="_Hlk41563911"/>
      <w:bookmarkStart w:id="3" w:name="_Hlk41563966"/>
      <w:r>
        <w:rPr>
          <w:rFonts w:ascii="Times New Roman" w:hAnsi="Times New Roman" w:eastAsia="宋体" w:cs="Times New Roman"/>
          <w:color w:val="auto"/>
          <w:sz w:val="24"/>
          <w:szCs w:val="24"/>
        </w:rPr>
        <w:t>乙方提供的工作成果文件</w:t>
      </w:r>
      <w:bookmarkEnd w:id="2"/>
      <w:r>
        <w:rPr>
          <w:rFonts w:ascii="Times New Roman" w:hAnsi="Times New Roman" w:eastAsia="宋体" w:cs="Times New Roman"/>
          <w:color w:val="auto"/>
          <w:sz w:val="24"/>
          <w:szCs w:val="24"/>
        </w:rPr>
        <w:t>未通过相关部门审批的，应支付合同总价</w:t>
      </w:r>
      <w:r>
        <w:rPr>
          <w:rFonts w:ascii="Times New Roman" w:hAnsi="Times New Roman" w:eastAsia="宋体" w:cs="Times New Roman"/>
          <w:color w:val="auto"/>
          <w:sz w:val="24"/>
          <w:szCs w:val="24"/>
          <w:u w:val="single"/>
        </w:rPr>
        <w:t xml:space="preserve">20 </w:t>
      </w:r>
      <w:r>
        <w:rPr>
          <w:rFonts w:ascii="Times New Roman" w:hAnsi="Times New Roman" w:eastAsia="宋体" w:cs="Times New Roman"/>
          <w:color w:val="auto"/>
          <w:sz w:val="24"/>
          <w:szCs w:val="24"/>
        </w:rPr>
        <w:t>%的违约金，并且在</w:t>
      </w:r>
      <w:r>
        <w:rPr>
          <w:rFonts w:ascii="Times New Roman" w:hAnsi="Times New Roman" w:eastAsia="宋体" w:cs="Times New Roman"/>
          <w:color w:val="auto"/>
          <w:sz w:val="24"/>
          <w:szCs w:val="24"/>
          <w:u w:val="single"/>
        </w:rPr>
        <w:t xml:space="preserve"> 10 </w:t>
      </w:r>
      <w:r>
        <w:rPr>
          <w:rFonts w:ascii="Times New Roman" w:hAnsi="Times New Roman" w:eastAsia="宋体" w:cs="Times New Roman"/>
          <w:color w:val="auto"/>
          <w:sz w:val="24"/>
          <w:szCs w:val="24"/>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3.乙方无正当理由不履行本协议时，甲方有权单方解除本合同，乙方除应退还甲方已付给乙方的所有费用，还应向甲方支付本合同暂定总价金额的</w:t>
      </w:r>
      <w:r>
        <w:rPr>
          <w:rFonts w:ascii="Times New Roman" w:hAnsi="Times New Roman" w:eastAsia="宋体" w:cs="Times New Roman"/>
          <w:color w:val="auto"/>
          <w:sz w:val="24"/>
          <w:szCs w:val="24"/>
          <w:u w:val="single"/>
        </w:rPr>
        <w:t>20%</w:t>
      </w:r>
      <w:r>
        <w:rPr>
          <w:rFonts w:ascii="Times New Roman" w:hAnsi="Times New Roman" w:eastAsia="宋体" w:cs="Times New Roman"/>
          <w:color w:val="auto"/>
          <w:sz w:val="24"/>
          <w:szCs w:val="24"/>
        </w:rPr>
        <w:t>作为违约金。</w:t>
      </w:r>
    </w:p>
    <w:p>
      <w:pPr>
        <w:spacing w:line="360" w:lineRule="auto"/>
        <w:ind w:firstLine="540"/>
        <w:rPr>
          <w:rFonts w:ascii="Times New Roman" w:hAnsi="Times New Roman" w:cs="Times New Roman"/>
          <w:color w:val="auto"/>
          <w:sz w:val="24"/>
          <w:szCs w:val="24"/>
        </w:rPr>
      </w:pPr>
      <w:r>
        <w:rPr>
          <w:rFonts w:ascii="Times New Roman" w:hAnsi="Times New Roman" w:cs="Times New Roman"/>
          <w:b/>
          <w:bCs/>
          <w:color w:val="auto"/>
          <w:sz w:val="24"/>
          <w:szCs w:val="24"/>
        </w:rPr>
        <w:t>第</w:t>
      </w:r>
      <w:r>
        <w:rPr>
          <w:rFonts w:hint="eastAsia" w:ascii="Times New Roman" w:hAnsi="Times New Roman" w:cs="Times New Roman"/>
          <w:b/>
          <w:bCs/>
          <w:color w:val="auto"/>
          <w:sz w:val="24"/>
          <w:szCs w:val="24"/>
        </w:rPr>
        <w:t>九</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双方确定：                 </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 本项目实施方案署名权归乙方所有，版权归甲方所有；乙方未经甲方许可，不得擅自使用或者向任何第三方透露本次项目有关的资料和数据。</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4" w:name="_Hlk41564660"/>
      <w:r>
        <w:rPr>
          <w:rFonts w:ascii="Times New Roman" w:hAnsi="Times New Roman" w:cs="Times New Roman"/>
          <w:color w:val="auto"/>
          <w:sz w:val="24"/>
          <w:szCs w:val="24"/>
        </w:rPr>
        <w:t>甲方有权向乙方追偿，并且甲方因追偿而支付的律师费、差旅费、财产保全担保费等由乙方承担</w:t>
      </w:r>
      <w:bookmarkEnd w:id="4"/>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 甲方利用乙方提交的技术咨询工作成果所完成的新的技术成果，归甲方所有。</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 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第十条</w:t>
      </w:r>
      <w:r>
        <w:rPr>
          <w:rFonts w:ascii="Times New Roman" w:hAnsi="Times New Roman" w:eastAsia="宋体" w:cs="Times New Roman"/>
          <w:color w:val="auto"/>
          <w:sz w:val="24"/>
          <w:szCs w:val="24"/>
        </w:rPr>
        <w:t xml:space="preserve"> 双方确定，在本合同有效期内，乙方指派</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作为本项目的负责人，联系方式</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。未经甲方同意，乙方不得随意更换技术人员。如果甲方认为乙方指派的技术人员不能胜任的，乙方应当及时更换。乙方指派的项目负责人和技术人员应实际参与本合同的技术工作。项目联系人承担以下责任：</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1.本项目联系的有关事宜；</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2.跟进项目进度；</w:t>
      </w:r>
    </w:p>
    <w:p>
      <w:pPr>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3.解决实际进程中出现的问题，并进行联络和沟通。</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b/>
          <w:bCs/>
          <w:color w:val="auto"/>
          <w:sz w:val="24"/>
          <w:szCs w:val="24"/>
        </w:rPr>
        <w:t>第十</w:t>
      </w:r>
      <w:r>
        <w:rPr>
          <w:rFonts w:hint="eastAsia" w:ascii="Times New Roman" w:hAnsi="Times New Roman" w:cs="Times New Roman"/>
          <w:b/>
          <w:bCs/>
          <w:color w:val="auto"/>
          <w:sz w:val="24"/>
          <w:szCs w:val="24"/>
        </w:rPr>
        <w:t>一</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双方确定，出现下列情形，致使本合同的履行成为不必要或不可能的，可以解除本合同：</w:t>
      </w:r>
    </w:p>
    <w:p>
      <w:pPr>
        <w:pStyle w:val="10"/>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1. </w:t>
      </w:r>
      <w:r>
        <w:rPr>
          <w:rFonts w:ascii="Times New Roman" w:hAnsi="Times New Roman" w:eastAsia="宋体" w:cs="Times New Roman"/>
          <w:color w:val="auto"/>
          <w:sz w:val="24"/>
          <w:szCs w:val="24"/>
          <w:u w:val="single"/>
        </w:rPr>
        <w:t>发生不可抗力。</w:t>
      </w:r>
    </w:p>
    <w:p>
      <w:pPr>
        <w:pStyle w:val="10"/>
        <w:spacing w:line="360" w:lineRule="auto"/>
        <w:ind w:firstLine="57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2.特别约定：如本项目因特殊原因，在三年内都无法实施本项工作的，则该合同也自然终止。</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b/>
          <w:color w:val="auto"/>
          <w:sz w:val="24"/>
          <w:szCs w:val="24"/>
        </w:rPr>
        <w:t>第十</w:t>
      </w:r>
      <w:r>
        <w:rPr>
          <w:rFonts w:hint="eastAsia" w:ascii="Times New Roman" w:hAnsi="Times New Roman" w:cs="Times New Roman"/>
          <w:b/>
          <w:color w:val="auto"/>
          <w:sz w:val="24"/>
          <w:szCs w:val="24"/>
        </w:rPr>
        <w:t>二</w:t>
      </w:r>
      <w:r>
        <w:rPr>
          <w:rFonts w:ascii="Times New Roman" w:hAnsi="Times New Roman" w:cs="Times New Roman"/>
          <w:b/>
          <w:color w:val="auto"/>
          <w:sz w:val="24"/>
          <w:szCs w:val="24"/>
        </w:rPr>
        <w:t>条</w:t>
      </w:r>
      <w:r>
        <w:rPr>
          <w:rFonts w:ascii="Times New Roman" w:hAnsi="Times New Roman" w:cs="Times New Roman"/>
          <w:color w:val="auto"/>
          <w:sz w:val="24"/>
          <w:szCs w:val="24"/>
        </w:rPr>
        <w:t xml:space="preserve"> 双方因履行本合同而发生的争议，应协商、调解解决。协商、调解不成的，双方同意向甲方所在地人民法院提起诉讼。</w:t>
      </w:r>
    </w:p>
    <w:p>
      <w:pPr>
        <w:pStyle w:val="10"/>
        <w:spacing w:line="360" w:lineRule="auto"/>
        <w:ind w:firstLine="570"/>
        <w:rPr>
          <w:rFonts w:ascii="Times New Roman" w:hAnsi="Times New Roman" w:eastAsia="宋体" w:cs="Times New Roman"/>
          <w:color w:val="auto"/>
          <w:sz w:val="24"/>
          <w:szCs w:val="24"/>
        </w:rPr>
      </w:pPr>
      <w:r>
        <w:rPr>
          <w:rFonts w:ascii="Times New Roman" w:hAnsi="Times New Roman" w:cs="Times New Roman"/>
          <w:b/>
          <w:bCs/>
          <w:color w:val="auto"/>
          <w:sz w:val="24"/>
          <w:szCs w:val="24"/>
        </w:rPr>
        <w:t>第十</w:t>
      </w:r>
      <w:r>
        <w:rPr>
          <w:rFonts w:hint="eastAsia" w:ascii="Times New Roman" w:hAnsi="Times New Roman" w:cs="Times New Roman"/>
          <w:b/>
          <w:bCs/>
          <w:color w:val="auto"/>
          <w:sz w:val="24"/>
          <w:szCs w:val="24"/>
        </w:rPr>
        <w:t>三</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与履行本合同有关的下列文件，经双方以</w:t>
      </w:r>
      <w:r>
        <w:rPr>
          <w:rFonts w:ascii="Times New Roman" w:hAnsi="Times New Roman" w:eastAsia="宋体" w:cs="Times New Roman"/>
          <w:color w:val="auto"/>
          <w:sz w:val="24"/>
          <w:szCs w:val="24"/>
        </w:rPr>
        <w:t>实施方案</w:t>
      </w:r>
      <w:r>
        <w:rPr>
          <w:rFonts w:ascii="Times New Roman" w:hAnsi="Times New Roman" w:eastAsia="宋体" w:cs="Times New Roman"/>
          <w:color w:val="auto"/>
          <w:sz w:val="24"/>
          <w:szCs w:val="24"/>
          <w:u w:val="single"/>
        </w:rPr>
        <w:t>成交通知书</w:t>
      </w:r>
      <w:r>
        <w:rPr>
          <w:rFonts w:ascii="Times New Roman" w:hAnsi="Times New Roman" w:eastAsia="宋体" w:cs="Times New Roman"/>
          <w:color w:val="auto"/>
          <w:sz w:val="24"/>
          <w:szCs w:val="24"/>
        </w:rPr>
        <w:t>认可方式确认后，为本合同的组成部分：</w:t>
      </w:r>
    </w:p>
    <w:p>
      <w:pPr>
        <w:pStyle w:val="10"/>
        <w:numPr>
          <w:ilvl w:val="0"/>
          <w:numId w:val="1"/>
        </w:numPr>
        <w:spacing w:line="360" w:lineRule="auto"/>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甲方委托乙方的实施方案成交通知书；</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b/>
          <w:bCs/>
          <w:color w:val="auto"/>
          <w:sz w:val="24"/>
          <w:szCs w:val="24"/>
        </w:rPr>
        <w:t>第十</w:t>
      </w:r>
      <w:r>
        <w:rPr>
          <w:rFonts w:hint="eastAsia" w:ascii="Times New Roman" w:hAnsi="Times New Roman" w:cs="Times New Roman"/>
          <w:b/>
          <w:bCs/>
          <w:color w:val="auto"/>
          <w:sz w:val="24"/>
          <w:szCs w:val="24"/>
        </w:rPr>
        <w:t>四</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双方约定本合同其他相关事项为：</w:t>
      </w:r>
    </w:p>
    <w:p>
      <w:pPr>
        <w:pStyle w:val="10"/>
        <w:numPr>
          <w:ilvl w:val="0"/>
          <w:numId w:val="2"/>
        </w:numPr>
        <w:spacing w:line="360" w:lineRule="auto"/>
        <w:ind w:left="560"/>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u w:val="single"/>
        </w:rPr>
        <w:t>本合同未尽事宜由双方协商确定。</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b/>
          <w:bCs/>
          <w:color w:val="auto"/>
          <w:sz w:val="24"/>
          <w:szCs w:val="24"/>
        </w:rPr>
        <w:t>第十</w:t>
      </w:r>
      <w:r>
        <w:rPr>
          <w:rFonts w:hint="eastAsia" w:ascii="Times New Roman" w:hAnsi="Times New Roman" w:cs="Times New Roman"/>
          <w:b/>
          <w:bCs/>
          <w:color w:val="auto"/>
          <w:sz w:val="24"/>
          <w:szCs w:val="24"/>
        </w:rPr>
        <w:t>五</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本合同一式</w:t>
      </w:r>
      <w:r>
        <w:rPr>
          <w:rFonts w:ascii="Times New Roman" w:hAnsi="Times New Roman" w:cs="Times New Roman"/>
          <w:color w:val="auto"/>
          <w:sz w:val="24"/>
          <w:szCs w:val="24"/>
          <w:u w:val="single"/>
        </w:rPr>
        <w:t xml:space="preserve"> 八 </w:t>
      </w:r>
      <w:r>
        <w:rPr>
          <w:rFonts w:ascii="Times New Roman" w:hAnsi="Times New Roman" w:cs="Times New Roman"/>
          <w:color w:val="auto"/>
          <w:sz w:val="24"/>
          <w:szCs w:val="24"/>
        </w:rPr>
        <w:t>份，其中甲方</w:t>
      </w:r>
      <w:r>
        <w:rPr>
          <w:rFonts w:ascii="Times New Roman" w:hAnsi="Times New Roman" w:cs="Times New Roman"/>
          <w:color w:val="auto"/>
          <w:sz w:val="24"/>
          <w:szCs w:val="24"/>
          <w:u w:val="single"/>
        </w:rPr>
        <w:t xml:space="preserve"> 四 </w:t>
      </w:r>
      <w:r>
        <w:rPr>
          <w:rFonts w:ascii="Times New Roman" w:hAnsi="Times New Roman" w:cs="Times New Roman"/>
          <w:color w:val="auto"/>
          <w:sz w:val="24"/>
          <w:szCs w:val="24"/>
        </w:rPr>
        <w:t>份，乙方</w:t>
      </w:r>
      <w:r>
        <w:rPr>
          <w:rFonts w:ascii="Times New Roman" w:hAnsi="Times New Roman" w:cs="Times New Roman"/>
          <w:color w:val="auto"/>
          <w:sz w:val="24"/>
          <w:szCs w:val="24"/>
          <w:u w:val="single"/>
        </w:rPr>
        <w:t xml:space="preserve"> 四 </w:t>
      </w:r>
      <w:r>
        <w:rPr>
          <w:rFonts w:ascii="Times New Roman" w:hAnsi="Times New Roman" w:cs="Times New Roman"/>
          <w:color w:val="auto"/>
          <w:sz w:val="24"/>
          <w:szCs w:val="24"/>
        </w:rPr>
        <w:t>份，具有同等法律效力。</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b/>
          <w:bCs/>
          <w:color w:val="auto"/>
          <w:sz w:val="24"/>
          <w:szCs w:val="24"/>
        </w:rPr>
        <w:t>第十</w:t>
      </w:r>
      <w:r>
        <w:rPr>
          <w:rFonts w:hint="eastAsia" w:ascii="Times New Roman" w:hAnsi="Times New Roman" w:cs="Times New Roman"/>
          <w:b/>
          <w:bCs/>
          <w:color w:val="auto"/>
          <w:sz w:val="24"/>
          <w:szCs w:val="24"/>
        </w:rPr>
        <w:t>六</w:t>
      </w:r>
      <w:r>
        <w:rPr>
          <w:rFonts w:ascii="Times New Roman" w:hAnsi="Times New Roman" w:cs="Times New Roman"/>
          <w:b/>
          <w:bCs/>
          <w:color w:val="auto"/>
          <w:sz w:val="24"/>
          <w:szCs w:val="24"/>
        </w:rPr>
        <w:t>条</w:t>
      </w:r>
      <w:r>
        <w:rPr>
          <w:rFonts w:ascii="Times New Roman" w:hAnsi="Times New Roman" w:cs="Times New Roman"/>
          <w:color w:val="auto"/>
          <w:sz w:val="24"/>
          <w:szCs w:val="24"/>
        </w:rPr>
        <w:t xml:space="preserve"> 本合同经双方签字盖章后生效，双方合同义务完成后失效。</w:t>
      </w:r>
    </w:p>
    <w:p>
      <w:pPr>
        <w:spacing w:line="360" w:lineRule="auto"/>
        <w:ind w:firstLine="57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附件：1.廉政合同</w:t>
      </w:r>
    </w:p>
    <w:p>
      <w:pPr>
        <w:spacing w:line="360" w:lineRule="auto"/>
        <w:ind w:firstLine="570"/>
        <w:rPr>
          <w:rFonts w:ascii="Times New Roman" w:hAnsi="Times New Roman" w:cs="Times New Roman"/>
          <w:b/>
          <w:bCs/>
          <w:color w:val="auto"/>
          <w:sz w:val="24"/>
          <w:szCs w:val="24"/>
        </w:rPr>
      </w:pPr>
      <w:r>
        <w:rPr>
          <w:rFonts w:ascii="Times New Roman" w:hAnsi="Times New Roman" w:eastAsia="宋体" w:cs="Times New Roman"/>
          <w:b/>
          <w:bCs/>
          <w:color w:val="auto"/>
          <w:sz w:val="24"/>
          <w:szCs w:val="24"/>
        </w:rPr>
        <w:t xml:space="preserve">      2.</w:t>
      </w:r>
      <w:r>
        <w:rPr>
          <w:rFonts w:ascii="Times New Roman" w:hAnsi="Times New Roman" w:cs="Times New Roman"/>
          <w:b/>
          <w:bCs/>
          <w:color w:val="auto"/>
          <w:sz w:val="24"/>
          <w:szCs w:val="24"/>
        </w:rPr>
        <w:t>成交通知书</w:t>
      </w:r>
    </w:p>
    <w:p>
      <w:pPr>
        <w:pStyle w:val="10"/>
        <w:spacing w:line="360" w:lineRule="auto"/>
        <w:ind w:firstLine="570"/>
        <w:rPr>
          <w:rFonts w:ascii="Times New Roman" w:hAnsi="Times New Roman" w:cs="Times New Roman"/>
          <w:color w:val="auto"/>
          <w:sz w:val="24"/>
          <w:szCs w:val="24"/>
        </w:rPr>
      </w:pPr>
      <w:r>
        <w:rPr>
          <w:rFonts w:ascii="Times New Roman" w:hAnsi="Times New Roman" w:cs="Times New Roman"/>
          <w:color w:val="auto"/>
          <w:sz w:val="24"/>
          <w:szCs w:val="24"/>
        </w:rPr>
        <w:t>（以下无正文）</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（本页为签章页）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甲方（盖章）： </w:t>
            </w:r>
          </w:p>
          <w:p>
            <w:pPr>
              <w:adjustRightInd w:val="0"/>
              <w:spacing w:line="360" w:lineRule="auto"/>
              <w:textAlignment w:val="baseline"/>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rPr>
              <w:t>广州市荔湾区</w:t>
            </w:r>
            <w:r>
              <w:rPr>
                <w:rFonts w:hint="eastAsia" w:ascii="Times New Roman" w:hAnsi="Times New Roman" w:eastAsia="宋体" w:cs="Times New Roman"/>
                <w:color w:val="auto"/>
                <w:sz w:val="24"/>
                <w:szCs w:val="24"/>
                <w:lang w:val="en-US" w:eastAsia="zh-CN"/>
              </w:rPr>
              <w:t>人民政府金花街道办事处</w:t>
            </w:r>
          </w:p>
        </w:tc>
        <w:tc>
          <w:tcPr>
            <w:tcW w:w="4148" w:type="dxa"/>
          </w:tcPr>
          <w:p>
            <w:pPr>
              <w:adjustRightInd w:val="0"/>
              <w:spacing w:line="360" w:lineRule="auto"/>
              <w:ind w:left="1680" w:hanging="1680" w:hangingChars="7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乙方（盖章）：</w:t>
            </w:r>
          </w:p>
          <w:p>
            <w:pPr>
              <w:adjustRightInd w:val="0"/>
              <w:spacing w:line="360" w:lineRule="auto"/>
              <w:textAlignment w:val="baseline"/>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48" w:type="dxa"/>
          </w:tcPr>
          <w:p>
            <w:pPr>
              <w:pStyle w:val="26"/>
              <w:rPr>
                <w:color w:val="auto"/>
                <w:sz w:val="24"/>
                <w:szCs w:val="24"/>
              </w:rPr>
            </w:pPr>
            <w:r>
              <w:rPr>
                <w:color w:val="auto"/>
                <w:sz w:val="24"/>
                <w:szCs w:val="24"/>
              </w:rPr>
              <w:t xml:space="preserve">法定代表人（签章）： </w:t>
            </w:r>
          </w:p>
          <w:p>
            <w:pPr>
              <w:adjustRightInd w:val="0"/>
              <w:spacing w:line="360" w:lineRule="auto"/>
              <w:textAlignment w:val="baseline"/>
              <w:rPr>
                <w:rFonts w:ascii="Times New Roman" w:hAnsi="Times New Roman" w:cs="Times New Roman"/>
                <w:color w:val="auto"/>
                <w:sz w:val="24"/>
                <w:szCs w:val="24"/>
              </w:rPr>
            </w:pPr>
          </w:p>
        </w:tc>
        <w:tc>
          <w:tcPr>
            <w:tcW w:w="4148" w:type="dxa"/>
          </w:tcPr>
          <w:p>
            <w:pPr>
              <w:adjustRightInd w:val="0"/>
              <w:spacing w:line="360" w:lineRule="auto"/>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法定代表人（签章）：</w:t>
            </w:r>
          </w:p>
          <w:p>
            <w:pPr>
              <w:pStyle w:val="26"/>
              <w:rPr>
                <w:color w:val="auto"/>
                <w:sz w:val="24"/>
                <w:szCs w:val="24"/>
              </w:rPr>
            </w:pPr>
          </w:p>
          <w:p>
            <w:pPr>
              <w:pStyle w:val="26"/>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 广州市荔湾区</w:t>
            </w:r>
            <w:r>
              <w:rPr>
                <w:rFonts w:hint="eastAsia" w:ascii="宋体" w:hAnsi="宋体" w:eastAsia="宋体" w:cs="宋体"/>
                <w:color w:val="auto"/>
                <w:sz w:val="24"/>
                <w:szCs w:val="24"/>
                <w:lang w:val="en-US" w:eastAsia="zh-CN"/>
              </w:rPr>
              <w:t>西华路金花直街11号</w:t>
            </w:r>
          </w:p>
        </w:tc>
        <w:tc>
          <w:tcPr>
            <w:tcW w:w="4148" w:type="dxa"/>
          </w:tcPr>
          <w:p>
            <w:pPr>
              <w:adjustRightInd w:val="0"/>
              <w:spacing w:line="360" w:lineRule="auto"/>
              <w:ind w:left="960" w:hanging="960" w:hangingChars="400"/>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宋体" w:hAnsi="宋体" w:eastAsia="宋体" w:cs="宋体"/>
                <w:color w:val="auto"/>
                <w:sz w:val="24"/>
                <w:szCs w:val="24"/>
              </w:rPr>
            </w:pPr>
            <w:r>
              <w:rPr>
                <w:rFonts w:hint="eastAsia" w:ascii="宋体" w:hAnsi="宋体" w:eastAsia="宋体" w:cs="宋体"/>
                <w:color w:val="auto"/>
                <w:sz w:val="24"/>
                <w:szCs w:val="24"/>
              </w:rPr>
              <w:t xml:space="preserve">邮政编码： </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 xml:space="preserve">电    话： </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 xml:space="preserve">传    真： </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开户银行：</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银行帐号：</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银行帐</w:t>
            </w:r>
            <w:r>
              <w:rPr>
                <w:rFonts w:ascii="Times New Roman" w:hAnsi="Times New Roman" w:cs="Times New Roman"/>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 xml:space="preserve">签订日期：   年   月   日    </w:t>
            </w:r>
          </w:p>
        </w:tc>
        <w:tc>
          <w:tcPr>
            <w:tcW w:w="4148" w:type="dxa"/>
          </w:tcPr>
          <w:p>
            <w:pPr>
              <w:adjustRightInd w:val="0"/>
              <w:spacing w:line="360" w:lineRule="auto"/>
              <w:textAlignment w:val="baseline"/>
              <w:rPr>
                <w:rFonts w:ascii="Times New Roman" w:hAnsi="Times New Roman" w:cs="Times New Roman"/>
                <w:color w:val="auto"/>
                <w:sz w:val="24"/>
                <w:szCs w:val="24"/>
              </w:rPr>
            </w:pPr>
            <w:r>
              <w:rPr>
                <w:rFonts w:ascii="Times New Roman" w:hAnsi="Times New Roman" w:eastAsia="宋体" w:cs="Times New Roman"/>
                <w:color w:val="auto"/>
                <w:sz w:val="24"/>
                <w:szCs w:val="24"/>
              </w:rPr>
              <w:t xml:space="preserve">签订日期：   年   月   日    </w:t>
            </w:r>
          </w:p>
        </w:tc>
      </w:tr>
    </w:tbl>
    <w:p>
      <w:pPr>
        <w:rPr>
          <w:rFonts w:ascii="Times New Roman" w:hAnsi="Times New Roman" w:eastAsia="宋体" w:cs="Times New Roman"/>
          <w:color w:val="auto"/>
          <w:kern w:val="0"/>
          <w:sz w:val="24"/>
          <w:szCs w:val="24"/>
        </w:rPr>
      </w:pPr>
      <w:r>
        <w:rPr>
          <w:rFonts w:ascii="Times New Roman" w:hAnsi="Times New Roman" w:cs="Times New Roman"/>
          <w:color w:val="auto"/>
          <w:sz w:val="24"/>
          <w:szCs w:val="24"/>
        </w:rPr>
        <w:br w:type="page"/>
      </w:r>
      <w:r>
        <w:rPr>
          <w:rFonts w:ascii="Times New Roman" w:hAnsi="Times New Roman" w:eastAsia="宋体" w:cs="Times New Roman"/>
          <w:color w:val="auto"/>
          <w:kern w:val="0"/>
          <w:sz w:val="24"/>
          <w:szCs w:val="24"/>
        </w:rPr>
        <w:t>附件1</w:t>
      </w:r>
    </w:p>
    <w:p>
      <w:pPr>
        <w:pStyle w:val="4"/>
        <w:keepNext w:val="0"/>
        <w:keepLines w:val="0"/>
        <w:spacing w:before="100" w:beforeAutospacing="1" w:after="100" w:afterAutospacing="1" w:line="360" w:lineRule="auto"/>
        <w:jc w:val="center"/>
        <w:rPr>
          <w:rFonts w:ascii="Times New Roman" w:hAnsi="Times New Roman" w:eastAsia="仿宋_GB2312" w:cs="Times New Roman"/>
          <w:color w:val="auto"/>
          <w:sz w:val="28"/>
          <w:szCs w:val="28"/>
        </w:rPr>
      </w:pPr>
      <w:r>
        <w:rPr>
          <w:rFonts w:ascii="Times New Roman" w:hAnsi="Times New Roman" w:cs="Times New Roman"/>
          <w:b w:val="0"/>
          <w:color w:val="auto"/>
          <w:sz w:val="28"/>
          <w:szCs w:val="28"/>
        </w:rPr>
        <w:t>廉 政 合 同</w:t>
      </w:r>
    </w:p>
    <w:p>
      <w:pPr>
        <w:spacing w:line="360" w:lineRule="auto"/>
        <w:jc w:val="left"/>
        <w:rPr>
          <w:rFonts w:hint="default" w:ascii="Times New Roman" w:hAnsi="Times New Roman" w:cs="Times New Roman" w:eastAsiaTheme="minorEastAsia"/>
          <w:color w:val="auto"/>
          <w:kern w:val="0"/>
          <w:sz w:val="24"/>
          <w:szCs w:val="24"/>
          <w:u w:val="single"/>
          <w:lang w:val="en-US" w:eastAsia="zh-CN"/>
        </w:rPr>
      </w:pPr>
      <w:r>
        <w:rPr>
          <w:rFonts w:ascii="Times New Roman" w:hAnsi="Times New Roman" w:cs="Times New Roman"/>
          <w:color w:val="auto"/>
          <w:kern w:val="0"/>
          <w:sz w:val="24"/>
          <w:szCs w:val="24"/>
          <w:lang w:val="zh-CN"/>
        </w:rPr>
        <w:t>甲方：</w:t>
      </w:r>
      <w:r>
        <w:rPr>
          <w:rFonts w:ascii="Times New Roman" w:hAnsi="Times New Roman" w:cs="Times New Roman"/>
          <w:color w:val="auto"/>
          <w:kern w:val="0"/>
          <w:sz w:val="24"/>
          <w:szCs w:val="24"/>
          <w:u w:val="single"/>
          <w:lang w:val="zh-CN"/>
        </w:rPr>
        <w:t>广州市荔湾区</w:t>
      </w:r>
      <w:r>
        <w:rPr>
          <w:rFonts w:hint="eastAsia" w:ascii="Times New Roman" w:hAnsi="Times New Roman" w:cs="Times New Roman"/>
          <w:color w:val="auto"/>
          <w:kern w:val="0"/>
          <w:sz w:val="24"/>
          <w:szCs w:val="24"/>
          <w:u w:val="single"/>
          <w:lang w:val="en-US" w:eastAsia="zh-CN"/>
        </w:rPr>
        <w:t>人民政府金花街道办事处</w:t>
      </w:r>
    </w:p>
    <w:p>
      <w:pPr>
        <w:spacing w:line="360" w:lineRule="auto"/>
        <w:jc w:val="left"/>
        <w:rPr>
          <w:rFonts w:ascii="Times New Roman" w:hAnsi="Times New Roman" w:eastAsia="宋体" w:cs="Times New Roman"/>
          <w:color w:val="auto"/>
          <w:kern w:val="0"/>
          <w:sz w:val="24"/>
          <w:szCs w:val="24"/>
          <w:u w:val="single"/>
        </w:rPr>
      </w:pPr>
      <w:r>
        <w:rPr>
          <w:rFonts w:ascii="Times New Roman" w:hAnsi="Times New Roman" w:cs="Times New Roman"/>
          <w:color w:val="auto"/>
          <w:kern w:val="0"/>
          <w:sz w:val="24"/>
          <w:szCs w:val="24"/>
          <w:lang w:val="zh-CN"/>
        </w:rPr>
        <w:t>乙方：</w:t>
      </w:r>
      <w:r>
        <w:rPr>
          <w:rFonts w:ascii="Times New Roman" w:hAnsi="Times New Roman" w:cs="Times New Roman"/>
          <w:color w:val="auto"/>
          <w:kern w:val="0"/>
          <w:sz w:val="24"/>
          <w:szCs w:val="24"/>
          <w:u w:val="single"/>
        </w:rPr>
        <w:t xml:space="preserve">                                    </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kern w:val="0"/>
          <w:sz w:val="24"/>
          <w:szCs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Times New Roman" w:hAnsi="Times New Roman" w:cs="Times New Roman"/>
          <w:color w:val="auto"/>
          <w:sz w:val="24"/>
          <w:szCs w:val="24"/>
        </w:rPr>
        <w:t>。</w:t>
      </w:r>
    </w:p>
    <w:p>
      <w:pPr>
        <w:spacing w:line="360" w:lineRule="auto"/>
        <w:ind w:firstLine="482" w:firstLineChars="20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t>1  双方权利和义务</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1.1  严格遵守国家、省有关法律法规的规定。</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1.2  严格执行合同工程一切合同文件，自觉按合同办事。</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1.3  </w:t>
      </w:r>
      <w:r>
        <w:rPr>
          <w:rFonts w:ascii="Times New Roman" w:hAnsi="Times New Roman" w:cs="Times New Roman"/>
          <w:color w:val="auto"/>
          <w:kern w:val="0"/>
          <w:sz w:val="24"/>
          <w:szCs w:val="24"/>
          <w:lang w:val="zh-CN"/>
        </w:rPr>
        <w:t>合同双方当事人的业务活动应坚持公平、公开、公正和诚信的原则（法律认定的商业</w:t>
      </w:r>
      <w:r>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lang w:val="zh-CN"/>
        </w:rPr>
        <w:t>秘密和合同文件另有规定除外），不得损害国家和集体利益，不得违反工程建设管理规章制度</w:t>
      </w:r>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1.4  建立健全廉政制度，开展廉政教育，设立廉政告示牌，公布举报电话，监督并认真查处违法违纪行为。</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1.5  发现对方在业务活动中有违反廉政建设规定的行为，应及时给予提醒和纠正。</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1.6  发现对方严重违反合同的行为，有向其上级部门举报、建议给予处理并要求告知处理结果的权利。</w:t>
      </w:r>
    </w:p>
    <w:p>
      <w:pPr>
        <w:spacing w:line="360" w:lineRule="auto"/>
        <w:ind w:firstLine="482" w:firstLineChars="20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t>2  甲方义务</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2.1  甲方及其工作人员不得索要或接受乙方的礼金、有价证券和贵重物品，不得在乙方报销任何应由甲方或工作人员个人支付的费用等。</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2.3  甲方及其工作人员不得要求或者接受乙方为其住房装修、婚丧嫁娶活动、配偶子女的工作安排以及出国出境、旅游等提供方便等。</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2.4 甲方</w:t>
      </w:r>
      <w:r>
        <w:rPr>
          <w:rFonts w:ascii="Times New Roman" w:hAnsi="Times New Roman" w:cs="Times New Roman"/>
          <w:color w:val="auto"/>
          <w:kern w:val="0"/>
          <w:sz w:val="24"/>
          <w:szCs w:val="24"/>
          <w:lang w:val="zh-CN"/>
        </w:rPr>
        <w:t>及其工作人员要秉公办事，不准营私舞弊，不准利用职权私自为合同工程安排施工队伍，也不得从事与合同工程有关的各种有偿中介活动</w:t>
      </w:r>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2.5  甲方</w:t>
      </w:r>
      <w:r>
        <w:rPr>
          <w:rFonts w:ascii="Times New Roman" w:hAnsi="Times New Roman" w:cs="Times New Roman"/>
          <w:color w:val="auto"/>
          <w:kern w:val="0"/>
          <w:sz w:val="24"/>
          <w:szCs w:val="24"/>
          <w:lang w:val="zh-CN"/>
        </w:rPr>
        <w:t>及其工作人员（含其配偶、子女）不得从事与合同工程有关的材料和工程设备供应、工程分包、劳务等经济活动</w:t>
      </w:r>
      <w:r>
        <w:rPr>
          <w:rFonts w:ascii="Times New Roman" w:hAnsi="Times New Roman" w:cs="Times New Roman"/>
          <w:color w:val="auto"/>
          <w:sz w:val="24"/>
          <w:szCs w:val="24"/>
        </w:rPr>
        <w:t>。</w:t>
      </w:r>
    </w:p>
    <w:p>
      <w:pPr>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3  乙方义务</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3.1  乙方不得以任何理由向甲方及其工作人员行贿或馈赠礼金、有价证券、贵重礼品。</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3.2  乙方不得以任何名义为甲方及其工作人员报销应由甲方或工作人员个人支付的任何费用。</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3.3  乙方不得以任何理由安排甲方及其工作人员参加宴请及娱乐活动。</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3.4  乙方不得为甲方和个人购置或提供通讯工具、交通工具和高档办公用品等。</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3.5  乙方</w:t>
      </w:r>
      <w:r>
        <w:rPr>
          <w:rFonts w:ascii="Times New Roman" w:hAnsi="Times New Roman" w:cs="Times New Roman"/>
          <w:color w:val="auto"/>
          <w:kern w:val="0"/>
          <w:sz w:val="24"/>
          <w:szCs w:val="24"/>
          <w:lang w:val="zh-CN"/>
        </w:rPr>
        <w:t>不得为</w:t>
      </w:r>
      <w:r>
        <w:rPr>
          <w:rFonts w:ascii="Times New Roman" w:hAnsi="Times New Roman" w:cs="Times New Roman"/>
          <w:color w:val="auto"/>
          <w:sz w:val="24"/>
          <w:szCs w:val="24"/>
        </w:rPr>
        <w:t>甲方</w:t>
      </w:r>
      <w:r>
        <w:rPr>
          <w:rFonts w:ascii="Times New Roman" w:hAnsi="Times New Roman" w:cs="Times New Roman"/>
          <w:color w:val="auto"/>
          <w:kern w:val="0"/>
          <w:sz w:val="24"/>
          <w:szCs w:val="24"/>
          <w:lang w:val="zh-CN"/>
        </w:rPr>
        <w:t>及其工作人员的住房装修、婚丧嫁娶活动、配偶子女工作安排以及出国出境、旅游等提供方便。</w:t>
      </w:r>
    </w:p>
    <w:p>
      <w:pPr>
        <w:tabs>
          <w:tab w:val="left" w:pos="900"/>
        </w:tabs>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4  违约责任</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4.2  乙方</w:t>
      </w:r>
      <w:r>
        <w:rPr>
          <w:rFonts w:ascii="Times New Roman" w:hAnsi="Times New Roman" w:cs="Times New Roman"/>
          <w:color w:val="auto"/>
          <w:kern w:val="0"/>
          <w:sz w:val="24"/>
          <w:szCs w:val="24"/>
          <w:lang w:val="zh-CN"/>
        </w:rPr>
        <w:t>及其工作人员违反本合同第</w:t>
      </w:r>
      <w:r>
        <w:rPr>
          <w:rFonts w:ascii="Times New Roman" w:hAnsi="Times New Roman" w:cs="Times New Roman"/>
          <w:color w:val="auto"/>
          <w:kern w:val="0"/>
          <w:sz w:val="24"/>
          <w:szCs w:val="24"/>
        </w:rPr>
        <w:t xml:space="preserve"> 1 </w:t>
      </w:r>
      <w:r>
        <w:rPr>
          <w:rFonts w:ascii="Times New Roman" w:hAnsi="Times New Roman" w:cs="Times New Roman"/>
          <w:color w:val="auto"/>
          <w:kern w:val="0"/>
          <w:sz w:val="24"/>
          <w:szCs w:val="24"/>
          <w:lang w:val="zh-CN"/>
        </w:rPr>
        <w:t>条和第</w:t>
      </w:r>
      <w:r>
        <w:rPr>
          <w:rFonts w:ascii="Times New Roman" w:hAnsi="Times New Roman" w:cs="Times New Roman"/>
          <w:color w:val="auto"/>
          <w:kern w:val="0"/>
          <w:sz w:val="24"/>
          <w:szCs w:val="24"/>
        </w:rPr>
        <w:t xml:space="preserve"> 3 </w:t>
      </w:r>
      <w:r>
        <w:rPr>
          <w:rFonts w:ascii="Times New Roman" w:hAnsi="Times New Roman" w:cs="Times New Roman"/>
          <w:color w:val="auto"/>
          <w:kern w:val="0"/>
          <w:sz w:val="24"/>
          <w:szCs w:val="24"/>
          <w:lang w:val="zh-CN"/>
        </w:rPr>
        <w:t>条规定，应按照廉政建设的有关规定给予处分；情节严重的，给予</w:t>
      </w:r>
      <w:r>
        <w:rPr>
          <w:rFonts w:ascii="Times New Roman" w:hAnsi="Times New Roman" w:cs="Times New Roman"/>
          <w:color w:val="auto"/>
          <w:sz w:val="24"/>
          <w:szCs w:val="24"/>
        </w:rPr>
        <w:t>乙方</w:t>
      </w:r>
      <w:r>
        <w:rPr>
          <w:rFonts w:ascii="Times New Roman" w:hAnsi="Times New Roman" w:cs="Times New Roman"/>
          <w:color w:val="auto"/>
          <w:kern w:val="0"/>
          <w:sz w:val="24"/>
          <w:szCs w:val="24"/>
        </w:rPr>
        <w:t xml:space="preserve"> 1</w:t>
      </w:r>
      <w:r>
        <w:rPr>
          <w:rFonts w:ascii="Times New Roman" w:hAnsi="Times New Roman" w:cs="Times New Roman"/>
          <w:color w:val="auto"/>
          <w:kern w:val="0"/>
          <w:sz w:val="24"/>
          <w:szCs w:val="24"/>
          <w:lang w:val="zh-CN"/>
        </w:rPr>
        <w:t>～</w:t>
      </w:r>
      <w:r>
        <w:rPr>
          <w:rFonts w:ascii="Times New Roman" w:hAnsi="Times New Roman" w:cs="Times New Roman"/>
          <w:color w:val="auto"/>
          <w:kern w:val="0"/>
          <w:sz w:val="24"/>
          <w:szCs w:val="24"/>
        </w:rPr>
        <w:t xml:space="preserve">3 </w:t>
      </w:r>
      <w:r>
        <w:rPr>
          <w:rFonts w:ascii="Times New Roman" w:hAnsi="Times New Roman" w:cs="Times New Roman"/>
          <w:color w:val="auto"/>
          <w:kern w:val="0"/>
          <w:sz w:val="24"/>
          <w:szCs w:val="24"/>
          <w:lang w:val="zh-CN"/>
        </w:rPr>
        <w:t>年内不得进入工程建设市场的处罚；涉嫌犯罪的，移交司法机关追究刑事责任；给</w:t>
      </w:r>
      <w:r>
        <w:rPr>
          <w:rFonts w:ascii="Times New Roman" w:hAnsi="Times New Roman" w:cs="Times New Roman"/>
          <w:color w:val="auto"/>
          <w:sz w:val="24"/>
          <w:szCs w:val="24"/>
        </w:rPr>
        <w:t>甲方</w:t>
      </w:r>
      <w:r>
        <w:rPr>
          <w:rFonts w:ascii="Times New Roman" w:hAnsi="Times New Roman" w:cs="Times New Roman"/>
          <w:color w:val="auto"/>
          <w:kern w:val="0"/>
          <w:sz w:val="24"/>
          <w:szCs w:val="24"/>
          <w:lang w:val="zh-CN"/>
        </w:rPr>
        <w:t>造成损失的，应予赔偿</w:t>
      </w:r>
      <w:r>
        <w:rPr>
          <w:rFonts w:hint="eastAsia" w:ascii="Times New Roman" w:hAnsi="Times New Roman" w:cs="Times New Roman"/>
          <w:color w:val="auto"/>
          <w:kern w:val="0"/>
          <w:sz w:val="24"/>
          <w:szCs w:val="24"/>
          <w:lang w:val="zh-CN"/>
        </w:rPr>
        <w:t>。</w:t>
      </w:r>
    </w:p>
    <w:p>
      <w:pPr>
        <w:widowControl/>
        <w:numPr>
          <w:ilvl w:val="0"/>
          <w:numId w:val="3"/>
        </w:numPr>
        <w:spacing w:line="360" w:lineRule="auto"/>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t>双方约定</w:t>
      </w:r>
    </w:p>
    <w:p>
      <w:pPr>
        <w:spacing w:line="360" w:lineRule="auto"/>
        <w:ind w:firstLine="480" w:firstLineChars="200"/>
        <w:rPr>
          <w:rFonts w:ascii="Times New Roman" w:hAnsi="Times New Roman" w:cs="Times New Roman"/>
          <w:color w:val="auto"/>
          <w:kern w:val="0"/>
          <w:sz w:val="24"/>
          <w:szCs w:val="24"/>
          <w:lang w:val="zh-CN"/>
        </w:rPr>
      </w:pPr>
      <w:r>
        <w:rPr>
          <w:rFonts w:ascii="Times New Roman" w:hAnsi="Times New Roman" w:cs="Times New Roman"/>
          <w:color w:val="auto"/>
          <w:kern w:val="0"/>
          <w:sz w:val="24"/>
          <w:szCs w:val="24"/>
          <w:lang w:val="zh-CN"/>
        </w:rPr>
        <w:t>本合同由合同双方当事人或其上级部门负责监督执行，并由合同双方当事人或其上级部门相互约请对本合同执行情况进行检查。</w:t>
      </w:r>
    </w:p>
    <w:p>
      <w:pPr>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6  合同法律效力</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本合同作为</w:t>
      </w:r>
      <w:r>
        <w:rPr>
          <w:rFonts w:hint="eastAsia"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金花</w:t>
      </w:r>
      <w:r>
        <w:rPr>
          <w:rFonts w:hint="eastAsia" w:ascii="Times New Roman" w:hAnsi="Times New Roman" w:cs="Times New Roman"/>
          <w:color w:val="auto"/>
          <w:sz w:val="24"/>
          <w:szCs w:val="24"/>
          <w:u w:val="single"/>
        </w:rPr>
        <w:t>街</w:t>
      </w:r>
      <w:r>
        <w:rPr>
          <w:rFonts w:hint="eastAsia" w:ascii="Times New Roman" w:hAnsi="Times New Roman" w:cs="Times New Roman"/>
          <w:color w:val="auto"/>
          <w:sz w:val="24"/>
          <w:szCs w:val="24"/>
          <w:u w:val="single"/>
          <w:lang w:val="en-US" w:eastAsia="zh-CN"/>
        </w:rPr>
        <w:t>林苑片区微改造（林苑、世纪社区）</w:t>
      </w:r>
      <w:r>
        <w:rPr>
          <w:rFonts w:ascii="Times New Roman" w:hAnsi="Times New Roman" w:cs="Times New Roman"/>
          <w:color w:val="auto"/>
          <w:sz w:val="24"/>
          <w:szCs w:val="24"/>
          <w:u w:val="single"/>
        </w:rPr>
        <w:t>实施方案编制</w:t>
      </w:r>
      <w:r>
        <w:rPr>
          <w:rFonts w:ascii="Times New Roman" w:hAnsi="Times New Roman" w:cs="Times New Roman"/>
          <w:color w:val="auto"/>
          <w:sz w:val="24"/>
          <w:szCs w:val="24"/>
        </w:rPr>
        <w:t>合同的附件，与</w:t>
      </w:r>
      <w:r>
        <w:rPr>
          <w:rFonts w:hint="eastAsia" w:ascii="Times New Roman" w:hAnsi="Times New Roman" w:cs="Times New Roman"/>
          <w:color w:val="auto"/>
          <w:sz w:val="24"/>
          <w:szCs w:val="24"/>
          <w:u w:val="single"/>
          <w:lang w:val="en-US" w:eastAsia="zh-CN"/>
        </w:rPr>
        <w:t>金花街林苑片区微改造（林苑、世纪社区）</w:t>
      </w:r>
      <w:r>
        <w:rPr>
          <w:rFonts w:ascii="Times New Roman" w:hAnsi="Times New Roman" w:cs="Times New Roman"/>
          <w:color w:val="auto"/>
          <w:sz w:val="24"/>
          <w:szCs w:val="24"/>
          <w:u w:val="single"/>
        </w:rPr>
        <w:t>实施方案编制</w:t>
      </w:r>
      <w:r>
        <w:rPr>
          <w:rFonts w:ascii="Times New Roman" w:hAnsi="Times New Roman" w:cs="Times New Roman"/>
          <w:color w:val="auto"/>
          <w:sz w:val="24"/>
          <w:szCs w:val="24"/>
        </w:rPr>
        <w:t>合同具有同等的法律效力。</w:t>
      </w:r>
    </w:p>
    <w:p>
      <w:pPr>
        <w:spacing w:line="360" w:lineRule="auto"/>
        <w:ind w:firstLine="472" w:firstLineChars="196"/>
        <w:rPr>
          <w:rFonts w:ascii="Times New Roman" w:hAnsi="Times New Roman" w:cs="Times New Roman"/>
          <w:b/>
          <w:bCs/>
          <w:color w:val="auto"/>
          <w:sz w:val="24"/>
          <w:szCs w:val="24"/>
        </w:rPr>
      </w:pPr>
      <w:r>
        <w:rPr>
          <w:rFonts w:ascii="Times New Roman" w:hAnsi="Times New Roman" w:cs="Times New Roman"/>
          <w:b/>
          <w:bCs/>
          <w:color w:val="auto"/>
          <w:sz w:val="24"/>
          <w:szCs w:val="24"/>
        </w:rPr>
        <w:t>7  合同份数</w:t>
      </w:r>
    </w:p>
    <w:p>
      <w:pPr>
        <w:spacing w:line="360" w:lineRule="auto"/>
        <w:ind w:firstLine="480" w:firstLineChars="200"/>
        <w:rPr>
          <w:rFonts w:ascii="宋体" w:hAnsi="宋体"/>
          <w:color w:val="auto"/>
          <w:sz w:val="28"/>
          <w:szCs w:val="28"/>
        </w:rPr>
      </w:pPr>
      <w:r>
        <w:rPr>
          <w:rFonts w:ascii="Times New Roman" w:hAnsi="Times New Roman" w:cs="Times New Roman"/>
          <w:color w:val="auto"/>
          <w:sz w:val="24"/>
          <w:szCs w:val="24"/>
        </w:rPr>
        <w:t>本合同一式</w:t>
      </w:r>
      <w:r>
        <w:rPr>
          <w:rFonts w:ascii="Times New Roman" w:hAnsi="Times New Roman" w:cs="Times New Roman"/>
          <w:color w:val="auto"/>
          <w:sz w:val="24"/>
          <w:szCs w:val="24"/>
          <w:u w:val="single"/>
        </w:rPr>
        <w:t xml:space="preserve"> 8 </w:t>
      </w:r>
      <w:r>
        <w:rPr>
          <w:rFonts w:ascii="Times New Roman" w:hAnsi="Times New Roman" w:cs="Times New Roman"/>
          <w:color w:val="auto"/>
          <w:sz w:val="24"/>
          <w:szCs w:val="24"/>
        </w:rPr>
        <w:t>份，具有同等法律效力，甲方</w:t>
      </w:r>
      <w:r>
        <w:rPr>
          <w:rFonts w:ascii="Times New Roman" w:hAnsi="Times New Roman" w:cs="Times New Roman"/>
          <w:color w:val="auto"/>
          <w:sz w:val="24"/>
          <w:szCs w:val="24"/>
          <w:u w:val="single"/>
        </w:rPr>
        <w:t xml:space="preserve"> 4 </w:t>
      </w:r>
      <w:r>
        <w:rPr>
          <w:rFonts w:ascii="Times New Roman" w:hAnsi="Times New Roman" w:cs="Times New Roman"/>
          <w:color w:val="auto"/>
          <w:sz w:val="24"/>
          <w:szCs w:val="24"/>
        </w:rPr>
        <w:t>份、乙方</w:t>
      </w:r>
      <w:r>
        <w:rPr>
          <w:rFonts w:ascii="Times New Roman" w:hAnsi="Times New Roman" w:cs="Times New Roman"/>
          <w:color w:val="auto"/>
          <w:sz w:val="24"/>
          <w:szCs w:val="24"/>
          <w:u w:val="single"/>
        </w:rPr>
        <w:t xml:space="preserve"> 4 </w:t>
      </w:r>
      <w:r>
        <w:rPr>
          <w:rFonts w:ascii="Times New Roman" w:hAnsi="Times New Roman" w:cs="Times New Roman"/>
          <w:color w:val="auto"/>
          <w:sz w:val="24"/>
          <w:szCs w:val="24"/>
        </w:rPr>
        <w:t>份。</w:t>
      </w:r>
    </w:p>
    <w:p>
      <w:pPr>
        <w:rPr>
          <w:rFonts w:eastAsia="黑体" w:cs="黑体"/>
          <w:color w:val="auto"/>
          <w:sz w:val="28"/>
          <w:szCs w:val="28"/>
        </w:rPr>
      </w:pPr>
    </w:p>
    <w:p>
      <w:pPr>
        <w:rPr>
          <w:rFonts w:asciiTheme="minorEastAsia" w:hAnsiTheme="minorEastAsia" w:cstheme="minorEastAsia"/>
          <w:color w:val="auto"/>
          <w:kern w:val="0"/>
          <w:sz w:val="24"/>
          <w:szCs w:val="24"/>
        </w:rPr>
      </w:pPr>
      <w:r>
        <w:rPr>
          <w:rFonts w:asciiTheme="minorEastAsia" w:hAnsiTheme="minorEastAsia" w:cstheme="minorEastAsia"/>
          <w:color w:val="auto"/>
          <w:kern w:val="0"/>
          <w:sz w:val="24"/>
          <w:szCs w:val="24"/>
        </w:rPr>
        <w:br w:type="page"/>
      </w:r>
    </w:p>
    <w:p>
      <w:pPr>
        <w:bidi w:val="0"/>
        <w:jc w:val="left"/>
        <w:rPr>
          <w:rFonts w:asciiTheme="minorHAnsi" w:hAnsiTheme="minorHAnsi" w:eastAsiaTheme="minorEastAsia" w:cstheme="minorBidi"/>
          <w:kern w:val="2"/>
          <w:sz w:val="21"/>
          <w:szCs w:val="22"/>
          <w:lang w:val="en-US" w:eastAsia="zh-CN" w:bidi="ar-SA"/>
        </w:rPr>
      </w:pPr>
    </w:p>
    <w:p>
      <w:pPr>
        <w:pStyle w:val="26"/>
        <w:rPr>
          <w:rFonts w:ascii="宋体" w:hAnsi="宋体" w:cs="宋体" w:eastAsiaTheme="minorEastAsia"/>
          <w:color w:val="auto"/>
          <w:kern w:val="0"/>
          <w:sz w:val="28"/>
          <w:szCs w:val="28"/>
        </w:rPr>
      </w:pPr>
      <w:r>
        <w:rPr>
          <w:rFonts w:hint="eastAsia" w:ascii="宋体" w:hAnsi="宋体" w:cs="宋体" w:eastAsiaTheme="minorEastAsia"/>
          <w:color w:val="auto"/>
          <w:kern w:val="0"/>
          <w:sz w:val="28"/>
          <w:szCs w:val="28"/>
        </w:rPr>
        <w:t>附件2</w:t>
      </w:r>
    </w:p>
    <w:p>
      <w:pPr>
        <w:pStyle w:val="26"/>
        <w:jc w:val="center"/>
        <w:rPr>
          <w:rFonts w:ascii="宋体" w:hAnsi="宋体" w:cs="宋体" w:eastAsiaTheme="minorEastAsia"/>
          <w:b/>
          <w:bCs/>
          <w:color w:val="auto"/>
          <w:kern w:val="0"/>
          <w:sz w:val="28"/>
          <w:szCs w:val="28"/>
        </w:rPr>
      </w:pPr>
      <w:r>
        <w:rPr>
          <w:rFonts w:hint="eastAsia" w:ascii="宋体" w:hAnsi="宋体" w:cs="宋体" w:eastAsiaTheme="minorEastAsia"/>
          <w:b/>
          <w:bCs/>
          <w:color w:val="auto"/>
          <w:kern w:val="0"/>
          <w:sz w:val="28"/>
          <w:szCs w:val="28"/>
        </w:rPr>
        <w:t>成交通知书</w:t>
      </w:r>
    </w:p>
    <w:p>
      <w:pPr>
        <w:pStyle w:val="26"/>
        <w:rPr>
          <w:rFonts w:asciiTheme="minorEastAsia" w:hAnsiTheme="minorEastAsia" w:cstheme="minorEastAsia"/>
          <w:color w:val="auto"/>
          <w:kern w:val="0"/>
          <w:sz w:val="24"/>
          <w:szCs w:val="24"/>
        </w:rPr>
      </w:pPr>
    </w:p>
    <w:sectPr>
      <w:headerReference r:id="rId10" w:type="default"/>
      <w:footerReference r:id="rId11"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GVhYjQ1ZjdhOGYyZmNlNTAxYTc1MzI2NjljNWIifQ=="/>
  </w:docVars>
  <w:rsids>
    <w:rsidRoot w:val="004374E2"/>
    <w:rsid w:val="00013D76"/>
    <w:rsid w:val="00025BEC"/>
    <w:rsid w:val="00036FE0"/>
    <w:rsid w:val="00080340"/>
    <w:rsid w:val="00096D01"/>
    <w:rsid w:val="00097815"/>
    <w:rsid w:val="000A1B87"/>
    <w:rsid w:val="001467CD"/>
    <w:rsid w:val="00181193"/>
    <w:rsid w:val="00210315"/>
    <w:rsid w:val="0023632A"/>
    <w:rsid w:val="002429E5"/>
    <w:rsid w:val="002448B3"/>
    <w:rsid w:val="00255B1A"/>
    <w:rsid w:val="0026151C"/>
    <w:rsid w:val="002840C3"/>
    <w:rsid w:val="002847C0"/>
    <w:rsid w:val="002D3C1D"/>
    <w:rsid w:val="002E4751"/>
    <w:rsid w:val="00325A03"/>
    <w:rsid w:val="00332EB9"/>
    <w:rsid w:val="0036766D"/>
    <w:rsid w:val="00374769"/>
    <w:rsid w:val="003773F0"/>
    <w:rsid w:val="003C157E"/>
    <w:rsid w:val="003C662C"/>
    <w:rsid w:val="0040200B"/>
    <w:rsid w:val="00412383"/>
    <w:rsid w:val="004374E2"/>
    <w:rsid w:val="004450AB"/>
    <w:rsid w:val="00470D19"/>
    <w:rsid w:val="004B25BE"/>
    <w:rsid w:val="004F07B9"/>
    <w:rsid w:val="004F5135"/>
    <w:rsid w:val="00511464"/>
    <w:rsid w:val="005662F4"/>
    <w:rsid w:val="005A2E07"/>
    <w:rsid w:val="005F0808"/>
    <w:rsid w:val="006355B4"/>
    <w:rsid w:val="00644EBE"/>
    <w:rsid w:val="006906EC"/>
    <w:rsid w:val="00694C5F"/>
    <w:rsid w:val="006C1669"/>
    <w:rsid w:val="006C5C57"/>
    <w:rsid w:val="006D0289"/>
    <w:rsid w:val="006E6AE4"/>
    <w:rsid w:val="00703E70"/>
    <w:rsid w:val="00765F15"/>
    <w:rsid w:val="00771D8A"/>
    <w:rsid w:val="007728EF"/>
    <w:rsid w:val="007C6BE7"/>
    <w:rsid w:val="0080554B"/>
    <w:rsid w:val="00816F72"/>
    <w:rsid w:val="00836F65"/>
    <w:rsid w:val="0084347A"/>
    <w:rsid w:val="00872258"/>
    <w:rsid w:val="008A07C9"/>
    <w:rsid w:val="008E7118"/>
    <w:rsid w:val="008F5AE2"/>
    <w:rsid w:val="0093251F"/>
    <w:rsid w:val="0097315F"/>
    <w:rsid w:val="0099765F"/>
    <w:rsid w:val="009B5A71"/>
    <w:rsid w:val="00A128C9"/>
    <w:rsid w:val="00A370AA"/>
    <w:rsid w:val="00A5582F"/>
    <w:rsid w:val="00A617C9"/>
    <w:rsid w:val="00AB4743"/>
    <w:rsid w:val="00AD3611"/>
    <w:rsid w:val="00B407A4"/>
    <w:rsid w:val="00B47675"/>
    <w:rsid w:val="00B5304C"/>
    <w:rsid w:val="00B618DF"/>
    <w:rsid w:val="00B62DD3"/>
    <w:rsid w:val="00BA4357"/>
    <w:rsid w:val="00BB2B31"/>
    <w:rsid w:val="00BD11FA"/>
    <w:rsid w:val="00BD4A56"/>
    <w:rsid w:val="00BD6571"/>
    <w:rsid w:val="00C006AB"/>
    <w:rsid w:val="00C26BC1"/>
    <w:rsid w:val="00C615EF"/>
    <w:rsid w:val="00C6338E"/>
    <w:rsid w:val="00CA5B2C"/>
    <w:rsid w:val="00CB33EE"/>
    <w:rsid w:val="00CB78B2"/>
    <w:rsid w:val="00CE655D"/>
    <w:rsid w:val="00D02BD8"/>
    <w:rsid w:val="00D31583"/>
    <w:rsid w:val="00D62C3B"/>
    <w:rsid w:val="00D756BF"/>
    <w:rsid w:val="00D81202"/>
    <w:rsid w:val="00D93CDF"/>
    <w:rsid w:val="00DE41B2"/>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BF2994"/>
    <w:rsid w:val="02F74AE1"/>
    <w:rsid w:val="03A52562"/>
    <w:rsid w:val="03B149D1"/>
    <w:rsid w:val="03C8694E"/>
    <w:rsid w:val="03DF40AF"/>
    <w:rsid w:val="040B1ECB"/>
    <w:rsid w:val="043C59C6"/>
    <w:rsid w:val="046D457B"/>
    <w:rsid w:val="04731A9B"/>
    <w:rsid w:val="048F16DB"/>
    <w:rsid w:val="04A77446"/>
    <w:rsid w:val="04AF35B2"/>
    <w:rsid w:val="04B91DFD"/>
    <w:rsid w:val="04C375D3"/>
    <w:rsid w:val="04CF17D3"/>
    <w:rsid w:val="04EC44B8"/>
    <w:rsid w:val="04FF31FF"/>
    <w:rsid w:val="050276E9"/>
    <w:rsid w:val="05032DF8"/>
    <w:rsid w:val="052A2FA1"/>
    <w:rsid w:val="05AF1F15"/>
    <w:rsid w:val="05CD5907"/>
    <w:rsid w:val="05EA048D"/>
    <w:rsid w:val="06325172"/>
    <w:rsid w:val="06743B17"/>
    <w:rsid w:val="06A10BDF"/>
    <w:rsid w:val="072165D3"/>
    <w:rsid w:val="074D1DA8"/>
    <w:rsid w:val="07976797"/>
    <w:rsid w:val="08032551"/>
    <w:rsid w:val="080650C9"/>
    <w:rsid w:val="08321AA7"/>
    <w:rsid w:val="08541D0A"/>
    <w:rsid w:val="08907864"/>
    <w:rsid w:val="08CE1C74"/>
    <w:rsid w:val="08E31BE1"/>
    <w:rsid w:val="08FF6A60"/>
    <w:rsid w:val="09997FFE"/>
    <w:rsid w:val="0A501B3E"/>
    <w:rsid w:val="0A687843"/>
    <w:rsid w:val="0A8E3ED2"/>
    <w:rsid w:val="0AB90DA9"/>
    <w:rsid w:val="0AD54A3D"/>
    <w:rsid w:val="0AF070E8"/>
    <w:rsid w:val="0B093EC9"/>
    <w:rsid w:val="0B2E51B8"/>
    <w:rsid w:val="0B566D68"/>
    <w:rsid w:val="0B5C14A4"/>
    <w:rsid w:val="0B616FAA"/>
    <w:rsid w:val="0B760867"/>
    <w:rsid w:val="0BD77AE8"/>
    <w:rsid w:val="0C1C3CF1"/>
    <w:rsid w:val="0C2E39AB"/>
    <w:rsid w:val="0C377125"/>
    <w:rsid w:val="0C4D4FEA"/>
    <w:rsid w:val="0C4F4EE1"/>
    <w:rsid w:val="0C5B6211"/>
    <w:rsid w:val="0CD06F89"/>
    <w:rsid w:val="0D2D0026"/>
    <w:rsid w:val="0DD33874"/>
    <w:rsid w:val="0DFF2F7C"/>
    <w:rsid w:val="0E267DCF"/>
    <w:rsid w:val="0E340273"/>
    <w:rsid w:val="0E483E6F"/>
    <w:rsid w:val="0EE93C0D"/>
    <w:rsid w:val="0F5F3474"/>
    <w:rsid w:val="0F652C92"/>
    <w:rsid w:val="0F807D86"/>
    <w:rsid w:val="10282429"/>
    <w:rsid w:val="10403F2C"/>
    <w:rsid w:val="10A56723"/>
    <w:rsid w:val="10C0374A"/>
    <w:rsid w:val="10D165AB"/>
    <w:rsid w:val="10D35C0E"/>
    <w:rsid w:val="10E176AA"/>
    <w:rsid w:val="11120E62"/>
    <w:rsid w:val="112A4718"/>
    <w:rsid w:val="1140441E"/>
    <w:rsid w:val="11474165"/>
    <w:rsid w:val="11681EE8"/>
    <w:rsid w:val="11BF3DF4"/>
    <w:rsid w:val="11D4039D"/>
    <w:rsid w:val="12051E34"/>
    <w:rsid w:val="12437146"/>
    <w:rsid w:val="1280278B"/>
    <w:rsid w:val="12A73E57"/>
    <w:rsid w:val="13B739AF"/>
    <w:rsid w:val="13FA15A8"/>
    <w:rsid w:val="14105138"/>
    <w:rsid w:val="141728E7"/>
    <w:rsid w:val="141B4B63"/>
    <w:rsid w:val="142E305D"/>
    <w:rsid w:val="143F6245"/>
    <w:rsid w:val="146432C7"/>
    <w:rsid w:val="1514338A"/>
    <w:rsid w:val="15156282"/>
    <w:rsid w:val="151A5432"/>
    <w:rsid w:val="16566746"/>
    <w:rsid w:val="167F737F"/>
    <w:rsid w:val="16AE6C5D"/>
    <w:rsid w:val="16BB5AAC"/>
    <w:rsid w:val="16C13F0B"/>
    <w:rsid w:val="16E91DEE"/>
    <w:rsid w:val="17421F3C"/>
    <w:rsid w:val="174835E4"/>
    <w:rsid w:val="1760421B"/>
    <w:rsid w:val="176C55AF"/>
    <w:rsid w:val="176D6781"/>
    <w:rsid w:val="17B84EF1"/>
    <w:rsid w:val="17BE693A"/>
    <w:rsid w:val="180F6F92"/>
    <w:rsid w:val="1828155C"/>
    <w:rsid w:val="1862009B"/>
    <w:rsid w:val="186F7C7D"/>
    <w:rsid w:val="18B75A84"/>
    <w:rsid w:val="19072F5A"/>
    <w:rsid w:val="191F4FA0"/>
    <w:rsid w:val="1967788A"/>
    <w:rsid w:val="19796AC9"/>
    <w:rsid w:val="19972D94"/>
    <w:rsid w:val="19D13C15"/>
    <w:rsid w:val="19F24CAA"/>
    <w:rsid w:val="1A2B3D62"/>
    <w:rsid w:val="1A930667"/>
    <w:rsid w:val="1A95478D"/>
    <w:rsid w:val="1AA4289A"/>
    <w:rsid w:val="1AA9423C"/>
    <w:rsid w:val="1B151BA2"/>
    <w:rsid w:val="1BE72523"/>
    <w:rsid w:val="1BF96124"/>
    <w:rsid w:val="1C217D3C"/>
    <w:rsid w:val="1C2E5C77"/>
    <w:rsid w:val="1C4C40DF"/>
    <w:rsid w:val="1C547CA0"/>
    <w:rsid w:val="1C646FED"/>
    <w:rsid w:val="1C9F5070"/>
    <w:rsid w:val="1CAC1D2D"/>
    <w:rsid w:val="1CDE11D2"/>
    <w:rsid w:val="1D510B02"/>
    <w:rsid w:val="1D887E31"/>
    <w:rsid w:val="1D8965DF"/>
    <w:rsid w:val="1DF6522A"/>
    <w:rsid w:val="1E621BB2"/>
    <w:rsid w:val="1F1814E4"/>
    <w:rsid w:val="1F5D3182"/>
    <w:rsid w:val="1FBB467C"/>
    <w:rsid w:val="1FC278F5"/>
    <w:rsid w:val="203B42C4"/>
    <w:rsid w:val="20401B57"/>
    <w:rsid w:val="207B09BC"/>
    <w:rsid w:val="20853E13"/>
    <w:rsid w:val="214C15AF"/>
    <w:rsid w:val="21553F62"/>
    <w:rsid w:val="21594F39"/>
    <w:rsid w:val="22115985"/>
    <w:rsid w:val="2223110D"/>
    <w:rsid w:val="22B51CCF"/>
    <w:rsid w:val="22C35441"/>
    <w:rsid w:val="22C5293E"/>
    <w:rsid w:val="22D17348"/>
    <w:rsid w:val="22F424A6"/>
    <w:rsid w:val="23117593"/>
    <w:rsid w:val="237A4A2D"/>
    <w:rsid w:val="237D6A18"/>
    <w:rsid w:val="23C23D22"/>
    <w:rsid w:val="23ED6ED0"/>
    <w:rsid w:val="240B20CE"/>
    <w:rsid w:val="2493058B"/>
    <w:rsid w:val="25732C68"/>
    <w:rsid w:val="257817F4"/>
    <w:rsid w:val="25EF0DD5"/>
    <w:rsid w:val="25F42FB1"/>
    <w:rsid w:val="268F300C"/>
    <w:rsid w:val="27301877"/>
    <w:rsid w:val="273144C4"/>
    <w:rsid w:val="273E4F1A"/>
    <w:rsid w:val="27455B16"/>
    <w:rsid w:val="27640DA8"/>
    <w:rsid w:val="276A12DD"/>
    <w:rsid w:val="279B7AE4"/>
    <w:rsid w:val="27A87854"/>
    <w:rsid w:val="27AA00AA"/>
    <w:rsid w:val="27B87921"/>
    <w:rsid w:val="27DF0851"/>
    <w:rsid w:val="27F62FCE"/>
    <w:rsid w:val="28280A63"/>
    <w:rsid w:val="282D15B0"/>
    <w:rsid w:val="286079B6"/>
    <w:rsid w:val="293534B3"/>
    <w:rsid w:val="294E186E"/>
    <w:rsid w:val="299D0841"/>
    <w:rsid w:val="29A109F9"/>
    <w:rsid w:val="2A44080F"/>
    <w:rsid w:val="2B056E08"/>
    <w:rsid w:val="2B134FBA"/>
    <w:rsid w:val="2B174925"/>
    <w:rsid w:val="2B200287"/>
    <w:rsid w:val="2B2335A9"/>
    <w:rsid w:val="2B4026D0"/>
    <w:rsid w:val="2B496D68"/>
    <w:rsid w:val="2BB75808"/>
    <w:rsid w:val="2C3110FC"/>
    <w:rsid w:val="2C7D0D98"/>
    <w:rsid w:val="2C88623B"/>
    <w:rsid w:val="2C8A7389"/>
    <w:rsid w:val="2CB13E8A"/>
    <w:rsid w:val="2CD95184"/>
    <w:rsid w:val="2D2328CC"/>
    <w:rsid w:val="2D3D6D4A"/>
    <w:rsid w:val="2D6040C7"/>
    <w:rsid w:val="2DC52868"/>
    <w:rsid w:val="2DD27D8B"/>
    <w:rsid w:val="2DD34AB0"/>
    <w:rsid w:val="2E0363AD"/>
    <w:rsid w:val="2E9D3009"/>
    <w:rsid w:val="2EED7185"/>
    <w:rsid w:val="2F0C4726"/>
    <w:rsid w:val="2F1772A5"/>
    <w:rsid w:val="2F1C4655"/>
    <w:rsid w:val="2F3854BD"/>
    <w:rsid w:val="2F3D7B25"/>
    <w:rsid w:val="2F974468"/>
    <w:rsid w:val="2FF54852"/>
    <w:rsid w:val="2FF83705"/>
    <w:rsid w:val="30170205"/>
    <w:rsid w:val="3058256D"/>
    <w:rsid w:val="30A0459C"/>
    <w:rsid w:val="30C24D5E"/>
    <w:rsid w:val="30EB33A8"/>
    <w:rsid w:val="30FB54FE"/>
    <w:rsid w:val="3188039E"/>
    <w:rsid w:val="319A1F4F"/>
    <w:rsid w:val="32346449"/>
    <w:rsid w:val="323709A4"/>
    <w:rsid w:val="329E190C"/>
    <w:rsid w:val="32E75856"/>
    <w:rsid w:val="32EE05DC"/>
    <w:rsid w:val="33455673"/>
    <w:rsid w:val="337750B0"/>
    <w:rsid w:val="33D34D48"/>
    <w:rsid w:val="34163BC5"/>
    <w:rsid w:val="342E027D"/>
    <w:rsid w:val="34302A6E"/>
    <w:rsid w:val="346603B6"/>
    <w:rsid w:val="347058D0"/>
    <w:rsid w:val="350C79CA"/>
    <w:rsid w:val="35C71F9D"/>
    <w:rsid w:val="35EA61FC"/>
    <w:rsid w:val="360D32CA"/>
    <w:rsid w:val="365743A2"/>
    <w:rsid w:val="365A62A3"/>
    <w:rsid w:val="367626E3"/>
    <w:rsid w:val="36B87A7C"/>
    <w:rsid w:val="36EB4BF6"/>
    <w:rsid w:val="36EF0C5C"/>
    <w:rsid w:val="374E5586"/>
    <w:rsid w:val="37E60790"/>
    <w:rsid w:val="37FF7C36"/>
    <w:rsid w:val="382E5C5F"/>
    <w:rsid w:val="38CF723F"/>
    <w:rsid w:val="38D62D4F"/>
    <w:rsid w:val="38D7010D"/>
    <w:rsid w:val="391D0181"/>
    <w:rsid w:val="39876490"/>
    <w:rsid w:val="39F3664E"/>
    <w:rsid w:val="3A3E5652"/>
    <w:rsid w:val="3A487D63"/>
    <w:rsid w:val="3A563CEA"/>
    <w:rsid w:val="3A704D44"/>
    <w:rsid w:val="3AED6EA9"/>
    <w:rsid w:val="3AEE264F"/>
    <w:rsid w:val="3AF20863"/>
    <w:rsid w:val="3B0C29CB"/>
    <w:rsid w:val="3B217BED"/>
    <w:rsid w:val="3B29495B"/>
    <w:rsid w:val="3BBA062A"/>
    <w:rsid w:val="3BBC0630"/>
    <w:rsid w:val="3C055B26"/>
    <w:rsid w:val="3C0E5599"/>
    <w:rsid w:val="3C780F37"/>
    <w:rsid w:val="3C7A3AB2"/>
    <w:rsid w:val="3CC17CF4"/>
    <w:rsid w:val="3CD13F20"/>
    <w:rsid w:val="3CE33F19"/>
    <w:rsid w:val="3CF40559"/>
    <w:rsid w:val="3D004731"/>
    <w:rsid w:val="3D243ABE"/>
    <w:rsid w:val="3D3B4E15"/>
    <w:rsid w:val="3D406EB5"/>
    <w:rsid w:val="3D5741F5"/>
    <w:rsid w:val="3D840CDE"/>
    <w:rsid w:val="3D880EFB"/>
    <w:rsid w:val="3D8A60FB"/>
    <w:rsid w:val="3DD124E1"/>
    <w:rsid w:val="3DFB1818"/>
    <w:rsid w:val="3DFC6C2D"/>
    <w:rsid w:val="3E900BB8"/>
    <w:rsid w:val="3F0E7160"/>
    <w:rsid w:val="3F1E2A3F"/>
    <w:rsid w:val="3F350BD5"/>
    <w:rsid w:val="3F3A6C61"/>
    <w:rsid w:val="3F604A94"/>
    <w:rsid w:val="3F6B212D"/>
    <w:rsid w:val="3F812A2A"/>
    <w:rsid w:val="3FE26DC7"/>
    <w:rsid w:val="40082D9C"/>
    <w:rsid w:val="402D2248"/>
    <w:rsid w:val="404D7CA5"/>
    <w:rsid w:val="405902D9"/>
    <w:rsid w:val="406D3823"/>
    <w:rsid w:val="407F5B54"/>
    <w:rsid w:val="40A40598"/>
    <w:rsid w:val="40A61FDD"/>
    <w:rsid w:val="40D85973"/>
    <w:rsid w:val="414C5861"/>
    <w:rsid w:val="415A4946"/>
    <w:rsid w:val="41692AD7"/>
    <w:rsid w:val="418A37E6"/>
    <w:rsid w:val="41E216FD"/>
    <w:rsid w:val="427479BE"/>
    <w:rsid w:val="428B6B2F"/>
    <w:rsid w:val="43362324"/>
    <w:rsid w:val="439D5E84"/>
    <w:rsid w:val="43B755EC"/>
    <w:rsid w:val="44244DEC"/>
    <w:rsid w:val="445930EE"/>
    <w:rsid w:val="448C4DA6"/>
    <w:rsid w:val="44AC53BD"/>
    <w:rsid w:val="44C07498"/>
    <w:rsid w:val="44D06793"/>
    <w:rsid w:val="44F21C43"/>
    <w:rsid w:val="44FC397A"/>
    <w:rsid w:val="45656E79"/>
    <w:rsid w:val="456D07F2"/>
    <w:rsid w:val="45F41EBF"/>
    <w:rsid w:val="460E46BE"/>
    <w:rsid w:val="46234A16"/>
    <w:rsid w:val="46732584"/>
    <w:rsid w:val="469C2EA0"/>
    <w:rsid w:val="46F56910"/>
    <w:rsid w:val="46F62E93"/>
    <w:rsid w:val="473E0839"/>
    <w:rsid w:val="475970DF"/>
    <w:rsid w:val="479E231D"/>
    <w:rsid w:val="47F3536E"/>
    <w:rsid w:val="48185E9A"/>
    <w:rsid w:val="481B3BFE"/>
    <w:rsid w:val="48440CE1"/>
    <w:rsid w:val="487F458A"/>
    <w:rsid w:val="48AC32D6"/>
    <w:rsid w:val="48CA67D0"/>
    <w:rsid w:val="49187CCA"/>
    <w:rsid w:val="491A6920"/>
    <w:rsid w:val="494A09E4"/>
    <w:rsid w:val="49B27967"/>
    <w:rsid w:val="49F627E2"/>
    <w:rsid w:val="4A0434DA"/>
    <w:rsid w:val="4AA81C6E"/>
    <w:rsid w:val="4AFC6A57"/>
    <w:rsid w:val="4B2D033C"/>
    <w:rsid w:val="4B445CC7"/>
    <w:rsid w:val="4B4A27E5"/>
    <w:rsid w:val="4BE56702"/>
    <w:rsid w:val="4BEB4D80"/>
    <w:rsid w:val="4C187748"/>
    <w:rsid w:val="4C3D4A29"/>
    <w:rsid w:val="4C457CD1"/>
    <w:rsid w:val="4C706E1A"/>
    <w:rsid w:val="4C7D6F0E"/>
    <w:rsid w:val="4CD94AD4"/>
    <w:rsid w:val="4CF83B9A"/>
    <w:rsid w:val="4D3D08C4"/>
    <w:rsid w:val="4D523E1A"/>
    <w:rsid w:val="4D5649EC"/>
    <w:rsid w:val="4D780862"/>
    <w:rsid w:val="4D8308FE"/>
    <w:rsid w:val="4D9A4515"/>
    <w:rsid w:val="4DDB574E"/>
    <w:rsid w:val="4DED06D0"/>
    <w:rsid w:val="4DF95F0B"/>
    <w:rsid w:val="4E2D69C0"/>
    <w:rsid w:val="4E5C00CD"/>
    <w:rsid w:val="4E8C5564"/>
    <w:rsid w:val="4EBE4AE9"/>
    <w:rsid w:val="4EE53AF9"/>
    <w:rsid w:val="4EEA7E84"/>
    <w:rsid w:val="4F2817DA"/>
    <w:rsid w:val="4F305EDD"/>
    <w:rsid w:val="4F3861FB"/>
    <w:rsid w:val="4F4E3B56"/>
    <w:rsid w:val="4FB6099A"/>
    <w:rsid w:val="4FB85B46"/>
    <w:rsid w:val="50406C00"/>
    <w:rsid w:val="504964AC"/>
    <w:rsid w:val="506870D1"/>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F65607"/>
    <w:rsid w:val="539B3B0B"/>
    <w:rsid w:val="53E20344"/>
    <w:rsid w:val="5445537E"/>
    <w:rsid w:val="54461222"/>
    <w:rsid w:val="546074D3"/>
    <w:rsid w:val="548C4119"/>
    <w:rsid w:val="54945C84"/>
    <w:rsid w:val="5496405C"/>
    <w:rsid w:val="54A747BD"/>
    <w:rsid w:val="550E1E44"/>
    <w:rsid w:val="554646D3"/>
    <w:rsid w:val="556C6652"/>
    <w:rsid w:val="55AE202A"/>
    <w:rsid w:val="55E02C68"/>
    <w:rsid w:val="560E2C7B"/>
    <w:rsid w:val="5622072D"/>
    <w:rsid w:val="562C5CD4"/>
    <w:rsid w:val="563A4041"/>
    <w:rsid w:val="56491E4C"/>
    <w:rsid w:val="56B16CAD"/>
    <w:rsid w:val="57177B9E"/>
    <w:rsid w:val="57362697"/>
    <w:rsid w:val="575C77C2"/>
    <w:rsid w:val="578F49A6"/>
    <w:rsid w:val="579B2A23"/>
    <w:rsid w:val="57E95DD6"/>
    <w:rsid w:val="57F93337"/>
    <w:rsid w:val="57FA5DA0"/>
    <w:rsid w:val="581B669B"/>
    <w:rsid w:val="588C0AAA"/>
    <w:rsid w:val="58C90C1C"/>
    <w:rsid w:val="59094334"/>
    <w:rsid w:val="59177CFD"/>
    <w:rsid w:val="59363EAD"/>
    <w:rsid w:val="597F5D18"/>
    <w:rsid w:val="59D71DBA"/>
    <w:rsid w:val="5A0474B1"/>
    <w:rsid w:val="5A0C1C17"/>
    <w:rsid w:val="5A21599A"/>
    <w:rsid w:val="5A670319"/>
    <w:rsid w:val="5ACB4A89"/>
    <w:rsid w:val="5B347D8A"/>
    <w:rsid w:val="5B4329F2"/>
    <w:rsid w:val="5B483EE1"/>
    <w:rsid w:val="5B505BC5"/>
    <w:rsid w:val="5B53554E"/>
    <w:rsid w:val="5B690A52"/>
    <w:rsid w:val="5B70167B"/>
    <w:rsid w:val="5B8D1AC1"/>
    <w:rsid w:val="5BF7026F"/>
    <w:rsid w:val="5C0E0CA4"/>
    <w:rsid w:val="5C0E4F13"/>
    <w:rsid w:val="5C450D49"/>
    <w:rsid w:val="5C486901"/>
    <w:rsid w:val="5C550C02"/>
    <w:rsid w:val="5C7A1BCF"/>
    <w:rsid w:val="5C9A2C69"/>
    <w:rsid w:val="5CFA6D99"/>
    <w:rsid w:val="5D2041E0"/>
    <w:rsid w:val="5DC32084"/>
    <w:rsid w:val="5DDF4962"/>
    <w:rsid w:val="5DF3625D"/>
    <w:rsid w:val="5E28014D"/>
    <w:rsid w:val="5E3C3380"/>
    <w:rsid w:val="5E4F6A0C"/>
    <w:rsid w:val="5E63426B"/>
    <w:rsid w:val="5EA77E7C"/>
    <w:rsid w:val="5EAD37BD"/>
    <w:rsid w:val="5EB62B0E"/>
    <w:rsid w:val="5EB76BB1"/>
    <w:rsid w:val="5F1D6C44"/>
    <w:rsid w:val="5F424157"/>
    <w:rsid w:val="5F71285D"/>
    <w:rsid w:val="5F7E471E"/>
    <w:rsid w:val="5F8909AE"/>
    <w:rsid w:val="5F8B52D7"/>
    <w:rsid w:val="5FA669F5"/>
    <w:rsid w:val="5FFD1647"/>
    <w:rsid w:val="60060F42"/>
    <w:rsid w:val="60332D39"/>
    <w:rsid w:val="60356FB9"/>
    <w:rsid w:val="603E42E0"/>
    <w:rsid w:val="60623C0A"/>
    <w:rsid w:val="60C02B36"/>
    <w:rsid w:val="60CB6081"/>
    <w:rsid w:val="612F453E"/>
    <w:rsid w:val="613005D7"/>
    <w:rsid w:val="615D1488"/>
    <w:rsid w:val="61700F9B"/>
    <w:rsid w:val="61D40139"/>
    <w:rsid w:val="61FE1860"/>
    <w:rsid w:val="621A03F4"/>
    <w:rsid w:val="625B411B"/>
    <w:rsid w:val="626D6F1B"/>
    <w:rsid w:val="627B22B5"/>
    <w:rsid w:val="62BD0F1A"/>
    <w:rsid w:val="62BD2F5C"/>
    <w:rsid w:val="62DA2CBE"/>
    <w:rsid w:val="62EE44E7"/>
    <w:rsid w:val="633E73C6"/>
    <w:rsid w:val="63C237E1"/>
    <w:rsid w:val="63C53D62"/>
    <w:rsid w:val="64290DB8"/>
    <w:rsid w:val="6430098F"/>
    <w:rsid w:val="64B2587F"/>
    <w:rsid w:val="64C16DA8"/>
    <w:rsid w:val="64FE51CE"/>
    <w:rsid w:val="653D241E"/>
    <w:rsid w:val="6548180E"/>
    <w:rsid w:val="65A01912"/>
    <w:rsid w:val="65C0066A"/>
    <w:rsid w:val="66453963"/>
    <w:rsid w:val="66505F9C"/>
    <w:rsid w:val="66984E4B"/>
    <w:rsid w:val="66997E4B"/>
    <w:rsid w:val="66A6332B"/>
    <w:rsid w:val="66DF384C"/>
    <w:rsid w:val="674E4ACF"/>
    <w:rsid w:val="678E7EE6"/>
    <w:rsid w:val="67C72B14"/>
    <w:rsid w:val="67F03AF5"/>
    <w:rsid w:val="682407ED"/>
    <w:rsid w:val="684A0A40"/>
    <w:rsid w:val="689C1962"/>
    <w:rsid w:val="68A43134"/>
    <w:rsid w:val="68D9202F"/>
    <w:rsid w:val="68DC5001"/>
    <w:rsid w:val="68F35954"/>
    <w:rsid w:val="694F554F"/>
    <w:rsid w:val="695345F2"/>
    <w:rsid w:val="697600C8"/>
    <w:rsid w:val="69913213"/>
    <w:rsid w:val="69CE51A0"/>
    <w:rsid w:val="6A0A4F33"/>
    <w:rsid w:val="6A2764C0"/>
    <w:rsid w:val="6A5035A6"/>
    <w:rsid w:val="6A882BA0"/>
    <w:rsid w:val="6AED777A"/>
    <w:rsid w:val="6AF60D17"/>
    <w:rsid w:val="6B180F27"/>
    <w:rsid w:val="6B2E67B8"/>
    <w:rsid w:val="6B415D0E"/>
    <w:rsid w:val="6B887C67"/>
    <w:rsid w:val="6BA078F3"/>
    <w:rsid w:val="6BAB6DAC"/>
    <w:rsid w:val="6BBA40CD"/>
    <w:rsid w:val="6BCD35F8"/>
    <w:rsid w:val="6BE31C14"/>
    <w:rsid w:val="6C177C5E"/>
    <w:rsid w:val="6C2E0119"/>
    <w:rsid w:val="6C914DFA"/>
    <w:rsid w:val="6CC164FA"/>
    <w:rsid w:val="6CD95574"/>
    <w:rsid w:val="6CEA50D6"/>
    <w:rsid w:val="6D2C4DCA"/>
    <w:rsid w:val="6D8141AA"/>
    <w:rsid w:val="6D9728B1"/>
    <w:rsid w:val="6D9C6AFE"/>
    <w:rsid w:val="6DB414FB"/>
    <w:rsid w:val="6DDC54CC"/>
    <w:rsid w:val="6DE8163A"/>
    <w:rsid w:val="6E9F0A83"/>
    <w:rsid w:val="6EF71E5D"/>
    <w:rsid w:val="6F0E37FA"/>
    <w:rsid w:val="6F3F257D"/>
    <w:rsid w:val="6F443B7B"/>
    <w:rsid w:val="6F7C43AE"/>
    <w:rsid w:val="6FD4616F"/>
    <w:rsid w:val="6FDC11A5"/>
    <w:rsid w:val="702E6BDC"/>
    <w:rsid w:val="703871D9"/>
    <w:rsid w:val="70471464"/>
    <w:rsid w:val="70534E11"/>
    <w:rsid w:val="70F759DA"/>
    <w:rsid w:val="70FC0717"/>
    <w:rsid w:val="71004222"/>
    <w:rsid w:val="71551318"/>
    <w:rsid w:val="71A10CC9"/>
    <w:rsid w:val="71B50265"/>
    <w:rsid w:val="71BC1298"/>
    <w:rsid w:val="71C57C34"/>
    <w:rsid w:val="71CC0004"/>
    <w:rsid w:val="71E56C44"/>
    <w:rsid w:val="721A20A7"/>
    <w:rsid w:val="72284547"/>
    <w:rsid w:val="722A3E23"/>
    <w:rsid w:val="727E3E26"/>
    <w:rsid w:val="72D46DCF"/>
    <w:rsid w:val="73041B05"/>
    <w:rsid w:val="730C4210"/>
    <w:rsid w:val="730D39A7"/>
    <w:rsid w:val="737120D1"/>
    <w:rsid w:val="73D35C43"/>
    <w:rsid w:val="73DE2937"/>
    <w:rsid w:val="73F278D1"/>
    <w:rsid w:val="742F298E"/>
    <w:rsid w:val="74413FD1"/>
    <w:rsid w:val="74872AFE"/>
    <w:rsid w:val="74CE15B6"/>
    <w:rsid w:val="74DA2503"/>
    <w:rsid w:val="74E30F61"/>
    <w:rsid w:val="74F475B7"/>
    <w:rsid w:val="75160ED2"/>
    <w:rsid w:val="756069B9"/>
    <w:rsid w:val="759F5FC6"/>
    <w:rsid w:val="75A86F75"/>
    <w:rsid w:val="75E84DEC"/>
    <w:rsid w:val="760945C5"/>
    <w:rsid w:val="76295EF4"/>
    <w:rsid w:val="763328D8"/>
    <w:rsid w:val="765D6F9A"/>
    <w:rsid w:val="76755C1B"/>
    <w:rsid w:val="77271253"/>
    <w:rsid w:val="77A8186A"/>
    <w:rsid w:val="77AE50AC"/>
    <w:rsid w:val="77CF03B0"/>
    <w:rsid w:val="77FD5B30"/>
    <w:rsid w:val="785066B3"/>
    <w:rsid w:val="78AE7164"/>
    <w:rsid w:val="78C027E9"/>
    <w:rsid w:val="78D151F6"/>
    <w:rsid w:val="78E3087C"/>
    <w:rsid w:val="78EB35FC"/>
    <w:rsid w:val="78F20812"/>
    <w:rsid w:val="78FA744A"/>
    <w:rsid w:val="795F5FD1"/>
    <w:rsid w:val="796F5412"/>
    <w:rsid w:val="79C12388"/>
    <w:rsid w:val="79E84E4B"/>
    <w:rsid w:val="7A0C6AD3"/>
    <w:rsid w:val="7A1D3F6C"/>
    <w:rsid w:val="7A6A03D6"/>
    <w:rsid w:val="7A8126D6"/>
    <w:rsid w:val="7AAC553A"/>
    <w:rsid w:val="7AD47CBC"/>
    <w:rsid w:val="7ADE3C32"/>
    <w:rsid w:val="7AE76BEC"/>
    <w:rsid w:val="7B13506B"/>
    <w:rsid w:val="7BD41C9B"/>
    <w:rsid w:val="7BD61B65"/>
    <w:rsid w:val="7BF20B16"/>
    <w:rsid w:val="7C223340"/>
    <w:rsid w:val="7C2823C0"/>
    <w:rsid w:val="7C382DD4"/>
    <w:rsid w:val="7C53349A"/>
    <w:rsid w:val="7C71066C"/>
    <w:rsid w:val="7C76266D"/>
    <w:rsid w:val="7C9328CE"/>
    <w:rsid w:val="7D772445"/>
    <w:rsid w:val="7D9F64ED"/>
    <w:rsid w:val="7DA90BFA"/>
    <w:rsid w:val="7DE865EE"/>
    <w:rsid w:val="7DF92890"/>
    <w:rsid w:val="7E19141A"/>
    <w:rsid w:val="7E3F744C"/>
    <w:rsid w:val="7EA72FE0"/>
    <w:rsid w:val="7EB460C8"/>
    <w:rsid w:val="7EBA4ED1"/>
    <w:rsid w:val="7EC87EB7"/>
    <w:rsid w:val="7EDA52C4"/>
    <w:rsid w:val="7F4E4C52"/>
    <w:rsid w:val="7F8A56CC"/>
    <w:rsid w:val="7FAB7517"/>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9"/>
    <w:unhideWhenUsed/>
    <w:qFormat/>
    <w:uiPriority w:val="9"/>
    <w:pPr>
      <w:keepNext/>
      <w:keepLines/>
      <w:jc w:val="left"/>
      <w:outlineLvl w:val="2"/>
    </w:pPr>
    <w:rPr>
      <w:bCs/>
      <w:sz w:val="32"/>
      <w:szCs w:val="32"/>
    </w:rPr>
  </w:style>
  <w:style w:type="paragraph" w:styleId="6">
    <w:name w:val="heading 4"/>
    <w:basedOn w:val="1"/>
    <w:next w:val="1"/>
    <w:link w:val="30"/>
    <w:unhideWhenUsed/>
    <w:qFormat/>
    <w:uiPriority w:val="9"/>
    <w:pPr>
      <w:keepNext/>
      <w:keepLines/>
      <w:jc w:val="left"/>
      <w:outlineLvl w:val="3"/>
    </w:pPr>
    <w:rPr>
      <w:rFonts w:asciiTheme="majorHAnsi" w:hAnsiTheme="majorHAnsi" w:eastAsiaTheme="majorEastAsia" w:cstheme="majorBidi"/>
      <w:b/>
      <w:bCs/>
      <w:sz w:val="24"/>
      <w:szCs w:val="28"/>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firstLine="560" w:firstLineChars="200"/>
    </w:pPr>
    <w:rPr>
      <w:rFonts w:eastAsia="仿宋_GB2312"/>
      <w:sz w:val="28"/>
      <w:szCs w:val="28"/>
    </w:rPr>
  </w:style>
  <w:style w:type="paragraph" w:styleId="8">
    <w:name w:val="Normal Indent"/>
    <w:basedOn w:val="1"/>
    <w:qFormat/>
    <w:uiPriority w:val="0"/>
    <w:pPr>
      <w:ind w:firstLine="420" w:firstLineChars="200"/>
    </w:pPr>
  </w:style>
  <w:style w:type="paragraph" w:styleId="9">
    <w:name w:val="annotation text"/>
    <w:basedOn w:val="1"/>
    <w:link w:val="41"/>
    <w:semiHidden/>
    <w:unhideWhenUsed/>
    <w:qFormat/>
    <w:uiPriority w:val="99"/>
    <w:pPr>
      <w:jc w:val="left"/>
    </w:pPr>
  </w:style>
  <w:style w:type="paragraph" w:styleId="10">
    <w:name w:val="Body Text"/>
    <w:basedOn w:val="1"/>
    <w:qFormat/>
    <w:uiPriority w:val="99"/>
    <w:rPr>
      <w:sz w:val="28"/>
      <w:szCs w:val="28"/>
    </w:rPr>
  </w:style>
  <w:style w:type="paragraph" w:styleId="11">
    <w:name w:val="Plain Text"/>
    <w:basedOn w:val="1"/>
    <w:next w:val="1"/>
    <w:qFormat/>
    <w:uiPriority w:val="0"/>
    <w:rPr>
      <w:rFonts w:ascii="宋体" w:hAnsi="Courier New" w:eastAsia="Times New Roman"/>
      <w:szCs w:val="20"/>
    </w:rPr>
  </w:style>
  <w:style w:type="paragraph" w:styleId="12">
    <w:name w:val="Balloon Text"/>
    <w:basedOn w:val="1"/>
    <w:link w:val="33"/>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9"/>
    <w:link w:val="42"/>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000000"/>
      <w:u w:val="none"/>
    </w:rPr>
  </w:style>
  <w:style w:type="character" w:styleId="24">
    <w:name w:val="Hyperlink"/>
    <w:basedOn w:val="22"/>
    <w:semiHidden/>
    <w:unhideWhenUsed/>
    <w:qFormat/>
    <w:uiPriority w:val="99"/>
    <w:rPr>
      <w:color w:val="000000"/>
      <w:u w:val="none"/>
    </w:rPr>
  </w:style>
  <w:style w:type="character" w:styleId="25">
    <w:name w:val="annotation reference"/>
    <w:basedOn w:val="22"/>
    <w:semiHidden/>
    <w:unhideWhenUsed/>
    <w:qFormat/>
    <w:uiPriority w:val="99"/>
    <w:rPr>
      <w:sz w:val="21"/>
      <w:szCs w:val="21"/>
    </w:rPr>
  </w:style>
  <w:style w:type="paragraph" w:customStyle="1" w:styleId="2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字符"/>
    <w:basedOn w:val="22"/>
    <w:link w:val="3"/>
    <w:qFormat/>
    <w:uiPriority w:val="9"/>
    <w:rPr>
      <w:bCs/>
      <w:kern w:val="44"/>
      <w:sz w:val="36"/>
      <w:szCs w:val="44"/>
    </w:rPr>
  </w:style>
  <w:style w:type="character" w:customStyle="1" w:styleId="29">
    <w:name w:val="标题 3 字符"/>
    <w:basedOn w:val="22"/>
    <w:link w:val="5"/>
    <w:qFormat/>
    <w:uiPriority w:val="9"/>
    <w:rPr>
      <w:bCs/>
      <w:sz w:val="32"/>
      <w:szCs w:val="32"/>
    </w:rPr>
  </w:style>
  <w:style w:type="character" w:customStyle="1" w:styleId="30">
    <w:name w:val="标题 4 字符"/>
    <w:basedOn w:val="22"/>
    <w:link w:val="6"/>
    <w:qFormat/>
    <w:uiPriority w:val="9"/>
    <w:rPr>
      <w:rFonts w:asciiTheme="majorHAnsi" w:hAnsiTheme="majorHAnsi" w:eastAsiaTheme="majorEastAsia" w:cstheme="majorBidi"/>
      <w:b/>
      <w:bCs/>
      <w:sz w:val="24"/>
      <w:szCs w:val="28"/>
    </w:rPr>
  </w:style>
  <w:style w:type="character" w:customStyle="1" w:styleId="31">
    <w:name w:val="页眉 字符"/>
    <w:basedOn w:val="22"/>
    <w:link w:val="14"/>
    <w:qFormat/>
    <w:uiPriority w:val="99"/>
    <w:rPr>
      <w:sz w:val="18"/>
      <w:szCs w:val="18"/>
    </w:rPr>
  </w:style>
  <w:style w:type="character" w:customStyle="1" w:styleId="32">
    <w:name w:val="页脚 字符"/>
    <w:basedOn w:val="22"/>
    <w:link w:val="13"/>
    <w:qFormat/>
    <w:uiPriority w:val="99"/>
    <w:rPr>
      <w:sz w:val="18"/>
      <w:szCs w:val="18"/>
    </w:rPr>
  </w:style>
  <w:style w:type="character" w:customStyle="1" w:styleId="33">
    <w:name w:val="批注框文本 字符"/>
    <w:basedOn w:val="22"/>
    <w:link w:val="12"/>
    <w:semiHidden/>
    <w:qFormat/>
    <w:uiPriority w:val="99"/>
    <w:rPr>
      <w:sz w:val="18"/>
      <w:szCs w:val="18"/>
    </w:rPr>
  </w:style>
  <w:style w:type="character" w:customStyle="1" w:styleId="34">
    <w:name w:val="times"/>
    <w:basedOn w:val="22"/>
    <w:qFormat/>
    <w:uiPriority w:val="0"/>
    <w:rPr>
      <w:color w:val="CDCDCD"/>
      <w:bdr w:val="single" w:color="CDCDCD" w:sz="6" w:space="0"/>
      <w:shd w:val="clear" w:color="auto" w:fill="EFEFEF"/>
    </w:rPr>
  </w:style>
  <w:style w:type="character" w:customStyle="1" w:styleId="35">
    <w:name w:val="times1"/>
    <w:basedOn w:val="22"/>
    <w:qFormat/>
    <w:uiPriority w:val="0"/>
    <w:rPr>
      <w:color w:val="3399FF"/>
      <w:bdr w:val="single" w:color="D1EDF8" w:sz="6" w:space="0"/>
      <w:shd w:val="clear" w:color="auto" w:fill="EAF9FF"/>
    </w:rPr>
  </w:style>
  <w:style w:type="character" w:customStyle="1" w:styleId="36">
    <w:name w:val="hover42"/>
    <w:basedOn w:val="22"/>
    <w:qFormat/>
    <w:uiPriority w:val="0"/>
  </w:style>
  <w:style w:type="paragraph" w:customStyle="1" w:styleId="37">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8">
    <w:name w:val="List Paragraph"/>
    <w:basedOn w:val="1"/>
    <w:qFormat/>
    <w:uiPriority w:val="34"/>
    <w:pPr>
      <w:ind w:firstLine="420" w:firstLineChars="200"/>
    </w:pPr>
  </w:style>
  <w:style w:type="paragraph" w:styleId="39">
    <w:name w:val="No Spacing"/>
    <w:qFormat/>
    <w:uiPriority w:val="1"/>
    <w:rPr>
      <w:rFonts w:ascii="Calibri" w:hAnsi="Calibri" w:eastAsia="宋体" w:cs="Times New Roman"/>
      <w:sz w:val="22"/>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批注文字 字符"/>
    <w:basedOn w:val="22"/>
    <w:link w:val="9"/>
    <w:semiHidden/>
    <w:qFormat/>
    <w:uiPriority w:val="99"/>
    <w:rPr>
      <w:rFonts w:asciiTheme="minorHAnsi" w:hAnsiTheme="minorHAnsi" w:eastAsiaTheme="minorEastAsia" w:cstheme="minorBidi"/>
      <w:kern w:val="2"/>
      <w:sz w:val="21"/>
      <w:szCs w:val="22"/>
    </w:rPr>
  </w:style>
  <w:style w:type="character" w:customStyle="1" w:styleId="42">
    <w:name w:val="批注主题 字符"/>
    <w:basedOn w:val="41"/>
    <w:link w:val="19"/>
    <w:semiHidden/>
    <w:qFormat/>
    <w:uiPriority w:val="99"/>
    <w:rPr>
      <w:rFonts w:asciiTheme="minorHAnsi" w:hAnsiTheme="minorHAnsi" w:eastAsiaTheme="minorEastAsia" w:cstheme="minorBidi"/>
      <w:b/>
      <w:bCs/>
      <w:kern w:val="2"/>
      <w:sz w:val="21"/>
      <w:szCs w:val="22"/>
    </w:rPr>
  </w:style>
  <w:style w:type="paragraph" w:customStyle="1" w:styleId="43">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23</Pages>
  <Words>9849</Words>
  <Characters>10103</Characters>
  <Lines>83</Lines>
  <Paragraphs>23</Paragraphs>
  <TotalTime>10</TotalTime>
  <ScaleCrop>false</ScaleCrop>
  <LinksUpToDate>false</LinksUpToDate>
  <CharactersWithSpaces>11049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肖</cp:lastModifiedBy>
  <cp:lastPrinted>2023-08-25T09:43:54Z</cp:lastPrinted>
  <dcterms:modified xsi:type="dcterms:W3CDTF">2023-08-25T09:43:58Z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D659C5F289E646CBAFFA29009D671E8A</vt:lpwstr>
  </property>
</Properties>
</file>