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left"/>
        <w:rPr>
          <w:rFonts w:hint="eastAsia" w:hAnsi="宋体" w:eastAsia="宋体" w:cs="宋体"/>
          <w:b/>
          <w:bCs/>
          <w:sz w:val="24"/>
          <w:szCs w:val="24"/>
        </w:rPr>
      </w:pPr>
      <w:r>
        <w:rPr>
          <w:rFonts w:hint="eastAsia" w:hAnsi="宋体" w:eastAsia="宋体" w:cs="宋体"/>
          <w:sz w:val="24"/>
          <w:szCs w:val="24"/>
          <w:lang w:val="en-US" w:eastAsia="zh-CN"/>
        </w:rPr>
        <w:t>附件一</w:t>
      </w:r>
      <w:r>
        <w:rPr>
          <w:rFonts w:hint="eastAsia" w:hAnsi="宋体" w:eastAsia="宋体" w:cs="宋体"/>
          <w:sz w:val="24"/>
          <w:szCs w:val="24"/>
        </w:rPr>
        <w:t xml:space="preserve">                      </w:t>
      </w:r>
      <w:r>
        <w:rPr>
          <w:rFonts w:hint="eastAsia" w:hAnsi="宋体" w:eastAsia="宋体" w:cs="宋体"/>
          <w:b/>
          <w:bCs/>
          <w:sz w:val="24"/>
          <w:szCs w:val="24"/>
        </w:rPr>
        <w:t>综合评分表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szCs w:val="21"/>
          <w:u w:val="single"/>
          <w:lang w:eastAsia="zh-CN"/>
        </w:rPr>
      </w:pPr>
      <w:r>
        <w:rPr>
          <w:rFonts w:hint="eastAsia" w:ascii="宋体" w:hAnsi="宋体" w:cs="宋体"/>
          <w:kern w:val="0"/>
          <w:szCs w:val="21"/>
        </w:rPr>
        <w:t>项目名称：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龙津街道党群服务中心布展施工</w:t>
      </w:r>
      <w:r>
        <w:rPr>
          <w:rFonts w:hint="eastAsia" w:ascii="宋体" w:hAnsi="宋体" w:cs="宋体"/>
          <w:szCs w:val="21"/>
          <w:u w:val="single"/>
          <w:lang w:eastAsia="zh-CN"/>
        </w:rPr>
        <w:t>项目（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设计阶段</w:t>
      </w:r>
      <w:r>
        <w:rPr>
          <w:rFonts w:hint="eastAsia" w:ascii="宋体" w:hAnsi="宋体" w:cs="宋体"/>
          <w:szCs w:val="21"/>
          <w:u w:val="single"/>
          <w:lang w:eastAsia="zh-CN"/>
        </w:rPr>
        <w:t>）造价咨询服务</w:t>
      </w:r>
    </w:p>
    <w:tbl>
      <w:tblPr>
        <w:tblStyle w:val="19"/>
        <w:tblW w:w="93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556"/>
        <w:gridCol w:w="63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bookmarkStart w:id="0" w:name="_Toc298486613"/>
            <w:bookmarkStart w:id="1" w:name="_Toc298486574"/>
            <w:r>
              <w:rPr>
                <w:rFonts w:hint="eastAsia"/>
                <w:b/>
                <w:bCs/>
                <w:color w:val="auto"/>
                <w:highlight w:val="none"/>
              </w:rPr>
              <w:t>评审内容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</w:rPr>
              <w:t>评分因素</w:t>
            </w:r>
          </w:p>
        </w:tc>
        <w:tc>
          <w:tcPr>
            <w:tcW w:w="6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</w:rPr>
              <w:t>评分细则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商务</w:t>
            </w:r>
            <w:r>
              <w:rPr>
                <w:rFonts w:hint="eastAsia"/>
                <w:color w:val="auto"/>
                <w:highlight w:val="none"/>
              </w:rPr>
              <w:t>部分</w:t>
            </w:r>
          </w:p>
          <w:p>
            <w:pPr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40</w:t>
            </w:r>
            <w:r>
              <w:rPr>
                <w:rFonts w:hint="eastAsia"/>
                <w:color w:val="auto"/>
                <w:highlight w:val="none"/>
              </w:rPr>
              <w:t>分）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管理体系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认证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6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具备质量管理体系、环境管理体系、职业健康安全管理体系、信息安全管理体系、知识产权管理体系、企业诚信管理体系，证书认证范围都包含工程造价咨询且证书都在有效期内的: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具有上述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个认证证书且在有效期内得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具有上述任意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个认证证书且在有效期内得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具有上述任意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个认证证书且在有效期内得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具有上述任意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个认证证书且在有效期内得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具有上述任意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个认证证书且在有效期内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2分；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其他情况不得分。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本项最高得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分。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注:须提供有效期内的证书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扫描件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，未提供不得分。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2" w:leftChars="0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拟委派项目负责人水平（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分）</w:t>
            </w:r>
          </w:p>
        </w:tc>
        <w:tc>
          <w:tcPr>
            <w:tcW w:w="6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1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具备工程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造价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类高级工程师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或以上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职称得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其他不得分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31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具备一级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注册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造价工程师(含原注册造价工程师)得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其他不得分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pStyle w:val="31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、获得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过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优秀一级造价师称号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的，得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分。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注:提供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相关证书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及提供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递交报价文件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截止时间前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个月社保证明文件扫描件，并加盖公章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工程咨询业绩（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分）</w:t>
            </w:r>
          </w:p>
        </w:tc>
        <w:tc>
          <w:tcPr>
            <w:tcW w:w="6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近一年内</w:t>
            </w:r>
            <w:r>
              <w:rPr>
                <w:rFonts w:hint="eastAsia" w:ascii="宋体" w:hAnsi="宋体" w:cs="宋体"/>
                <w:sz w:val="21"/>
                <w:szCs w:val="21"/>
              </w:rPr>
              <w:t>(以合同签订日期为准)独立完成过工程造价咨询项目业绩，每提供一个得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</w:rPr>
              <w:t>分，最</w:t>
            </w:r>
            <w:bookmarkStart w:id="2" w:name="_GoBack"/>
            <w:bookmarkEnd w:id="2"/>
            <w:r>
              <w:rPr>
                <w:rFonts w:hint="eastAsia" w:ascii="宋体" w:hAnsi="宋体" w:cs="宋体"/>
                <w:sz w:val="21"/>
                <w:szCs w:val="21"/>
              </w:rPr>
              <w:t>高得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1"/>
                <w:szCs w:val="21"/>
              </w:rPr>
              <w:t>分。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注：必须同时提供工程造价咨询合同关键页以及成果文件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关键页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证明复印件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  <w:p>
            <w:pPr>
              <w:pStyle w:val="41"/>
              <w:ind w:firstLine="0" w:firstLineChars="0"/>
              <w:rPr>
                <w:rFonts w:ascii="宋体" w:hAnsi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近一年内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签订过工程造价咨询年度服务业绩，每提供一个得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分，最高得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分。</w:t>
            </w:r>
          </w:p>
          <w:p>
            <w:pPr>
              <w:ind w:left="32" w:leftChars="0"/>
              <w:rPr>
                <w:rFonts w:hint="eastAsia" w:ascii="宋体" w:hAnsi="宋体" w:eastAsia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</w:rPr>
              <w:t>注：提供年度服务造价咨询合同关键页复印件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技术部分</w:t>
            </w:r>
          </w:p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0分）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结算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咨询工作实施方案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分）</w:t>
            </w:r>
          </w:p>
        </w:tc>
        <w:tc>
          <w:tcPr>
            <w:tcW w:w="6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实施方案具体、合同，可操作性强，并能有效把握关键节点工作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的，得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；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实施方案比较具体、合理，可操作实施，较能把握关键节点工作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的，得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15分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；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实施方案不够具体，但能基本把握关键节点工作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的，得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。</w:t>
            </w:r>
          </w:p>
          <w:p>
            <w:pPr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实施方案不具体，不能把握关键节点工作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的，不得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分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highlight w:val="none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质量保证措施（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分）</w:t>
            </w:r>
          </w:p>
        </w:tc>
        <w:tc>
          <w:tcPr>
            <w:tcW w:w="6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对造价咨询服务工作能提出具体、有效、可行的保证措施，且保证措施全面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的，得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；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对造价咨询服务工作能提出较有效、可行的保证措施，且保证措施为中等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的，得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15分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；</w:t>
            </w: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对造价咨询服务工作能提出基本有效、可行的保证措施，但不够具体、全面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的，得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。</w:t>
            </w:r>
          </w:p>
          <w:p>
            <w:pPr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对造价咨询服务工作不能提出基本有效、可行的保证措施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的，不得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分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报价（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0分）</w:t>
            </w:r>
          </w:p>
        </w:tc>
        <w:tc>
          <w:tcPr>
            <w:tcW w:w="7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以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各报价人的下浮率的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算术平均值作为评分基准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下浮率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，在基准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下浮率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基础上每下浮1%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扣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分，每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上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浮1%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扣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分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，最多扣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。</w:t>
            </w:r>
          </w:p>
          <w:p>
            <w:pPr>
              <w:pStyle w:val="46"/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注：如参与计算评分基准</w:t>
            </w:r>
            <w:r>
              <w:rPr>
                <w:rFonts w:hint="eastAsia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下浮率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的有效</w:t>
            </w:r>
            <w:r>
              <w:rPr>
                <w:rFonts w:hint="eastAsia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报价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人大于或等于5家时，则去掉最高值和最低值。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近3年征信记录（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分）</w:t>
            </w:r>
          </w:p>
        </w:tc>
        <w:tc>
          <w:tcPr>
            <w:tcW w:w="7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6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hAnsi="宋体" w:eastAsia="宋体" w:cs="宋体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  <w:t>能够提供近1年征信记录得5分，提供近3年征信记录得10分，不提供不得分。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总分</w:t>
            </w:r>
          </w:p>
        </w:tc>
        <w:tc>
          <w:tcPr>
            <w:tcW w:w="7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100分</w:t>
            </w:r>
          </w:p>
        </w:tc>
      </w:tr>
    </w:tbl>
    <w:p>
      <w:pPr>
        <w:pStyle w:val="6"/>
        <w:spacing w:line="340" w:lineRule="exact"/>
        <w:rPr>
          <w:rFonts w:hint="eastAsia" w:hAnsi="宋体" w:eastAsia="宋体" w:cs="宋体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bookmarkEnd w:id="0"/>
    <w:bookmarkEnd w:id="1"/>
    <w:p>
      <w:pPr>
        <w:pStyle w:val="6"/>
        <w:tabs>
          <w:tab w:val="left" w:pos="3674"/>
        </w:tabs>
        <w:spacing w:line="360" w:lineRule="auto"/>
        <w:rPr>
          <w:rFonts w:hint="eastAsia" w:hAnsi="宋体" w:eastAsia="宋体" w:cs="宋体"/>
          <w:sz w:val="18"/>
          <w:szCs w:val="18"/>
          <w:shd w:val="clear" w:color="auto" w:fill="FFFFFF"/>
          <w:lang w:val="en-US" w:eastAsia="zh-CN"/>
        </w:rPr>
      </w:pPr>
      <w:r>
        <w:rPr>
          <w:rFonts w:hint="eastAsia" w:hAnsi="宋体" w:eastAsia="宋体" w:cs="宋体"/>
          <w:sz w:val="24"/>
          <w:szCs w:val="24"/>
        </w:rPr>
        <w:t>附件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hAnsi="宋体" w:eastAsia="宋体" w:cs="宋体"/>
          <w:sz w:val="24"/>
          <w:szCs w:val="24"/>
          <w:lang w:val="en-US" w:eastAsia="zh-CN"/>
        </w:rPr>
        <w:tab/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承诺书</w:t>
      </w:r>
    </w:p>
    <w:p>
      <w:pPr>
        <w:widowControl/>
        <w:spacing w:before="100" w:beforeAutospacing="1" w:after="100" w:afterAutospacing="1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本公司承诺本次关于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eastAsia="zh-CN"/>
        </w:rPr>
        <w:t>龙津街道党群服务中心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>布展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eastAsia="zh-CN"/>
        </w:rPr>
        <w:t>施工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val="en-US" w:eastAsia="zh-CN"/>
        </w:rPr>
        <w:t>项目（设计阶段）造价</w:t>
      </w:r>
      <w:r>
        <w:rPr>
          <w:rFonts w:hint="eastAsia" w:ascii="宋体" w:hAnsi="宋体" w:cs="宋体"/>
          <w:color w:val="000000"/>
          <w:sz w:val="28"/>
          <w:szCs w:val="28"/>
          <w:u w:val="single"/>
          <w:lang w:eastAsia="zh-CN"/>
        </w:rPr>
        <w:t>咨询服务</w:t>
      </w:r>
      <w:r>
        <w:rPr>
          <w:rFonts w:hint="eastAsia" w:ascii="宋体" w:hAnsi="宋体" w:cs="宋体"/>
          <w:color w:val="000000"/>
          <w:sz w:val="28"/>
          <w:szCs w:val="28"/>
        </w:rPr>
        <w:t>报价文件中所提供的全部材料均为属实，提交本承诺书的前3年内在经营活动中没有重大违法记录，如有虚假，本公司将承担一切后果及法律责任，特此承诺。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 xml:space="preserve"> 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 xml:space="preserve"> 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 xml:space="preserve"> 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 xml:space="preserve"> </w:t>
      </w:r>
    </w:p>
    <w:p>
      <w:pPr>
        <w:tabs>
          <w:tab w:val="left" w:pos="13320"/>
        </w:tabs>
        <w:snapToGrid w:val="0"/>
        <w:spacing w:line="360" w:lineRule="auto"/>
        <w:ind w:left="718" w:leftChars="342" w:right="-52" w:firstLine="2397" w:firstLineChars="999"/>
        <w:rPr>
          <w:rFonts w:hint="eastAsia"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报价人（公章）：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</w:t>
      </w:r>
    </w:p>
    <w:p>
      <w:pPr>
        <w:tabs>
          <w:tab w:val="left" w:pos="13320"/>
        </w:tabs>
        <w:snapToGrid w:val="0"/>
        <w:spacing w:line="360" w:lineRule="auto"/>
        <w:ind w:left="718" w:leftChars="342" w:right="-52" w:firstLine="2397" w:firstLineChars="999"/>
        <w:rPr>
          <w:rFonts w:hint="eastAsia"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法定代表人或授权代表（签字或盖章）：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</w:t>
      </w:r>
    </w:p>
    <w:p>
      <w:pPr>
        <w:adjustRightInd w:val="0"/>
        <w:snapToGrid w:val="0"/>
        <w:spacing w:line="360" w:lineRule="auto"/>
        <w:ind w:right="480" w:firstLine="3120" w:firstLineChars="1300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日期：</w:t>
      </w:r>
      <w:r>
        <w:rPr>
          <w:rFonts w:hint="eastAsia" w:hAnsi="宋体" w:cs="宋体"/>
          <w:sz w:val="24"/>
          <w:szCs w:val="24"/>
          <w:u w:val="single"/>
        </w:rPr>
        <w:t xml:space="preserve">      </w:t>
      </w:r>
      <w:r>
        <w:rPr>
          <w:rFonts w:hint="eastAsia" w:hAnsi="宋体" w:cs="宋体"/>
          <w:sz w:val="24"/>
          <w:szCs w:val="24"/>
        </w:rPr>
        <w:t>年</w:t>
      </w:r>
      <w:r>
        <w:rPr>
          <w:rFonts w:hint="eastAsia" w:hAnsi="宋体" w:cs="宋体"/>
          <w:sz w:val="24"/>
          <w:szCs w:val="24"/>
          <w:u w:val="single"/>
        </w:rPr>
        <w:t xml:space="preserve">     </w:t>
      </w:r>
      <w:r>
        <w:rPr>
          <w:rFonts w:hint="eastAsia" w:hAnsi="宋体" w:cs="宋体"/>
          <w:sz w:val="24"/>
          <w:szCs w:val="24"/>
        </w:rPr>
        <w:t>月</w:t>
      </w:r>
      <w:r>
        <w:rPr>
          <w:rFonts w:hint="eastAsia" w:hAnsi="宋体" w:cs="宋体"/>
          <w:sz w:val="24"/>
          <w:szCs w:val="24"/>
          <w:u w:val="single"/>
        </w:rPr>
        <w:t xml:space="preserve">      </w:t>
      </w:r>
      <w:r>
        <w:rPr>
          <w:rFonts w:hint="eastAsia" w:hAnsi="宋体" w:cs="宋体"/>
          <w:sz w:val="24"/>
          <w:szCs w:val="24"/>
        </w:rPr>
        <w:t>日</w:t>
      </w:r>
    </w:p>
    <w:p>
      <w:pPr>
        <w:pStyle w:val="16"/>
        <w:rPr>
          <w:rFonts w:hint="eastAsia" w:ascii="宋体" w:hAnsi="宋体" w:cs="宋体"/>
          <w:sz w:val="21"/>
          <w:szCs w:val="21"/>
        </w:rPr>
      </w:pPr>
    </w:p>
    <w:sectPr>
      <w:headerReference r:id="rId4" w:type="default"/>
      <w:footerReference r:id="rId5" w:type="default"/>
      <w:pgSz w:w="11906" w:h="16838"/>
      <w:pgMar w:top="1440" w:right="1286" w:bottom="1440" w:left="138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MjA3Y2EyZTllZmVlMzdmZWE2MzdhOTE0NzAyODQifQ=="/>
  </w:docVars>
  <w:rsids>
    <w:rsidRoot w:val="00172A27"/>
    <w:rsid w:val="00020385"/>
    <w:rsid w:val="00041C53"/>
    <w:rsid w:val="00057127"/>
    <w:rsid w:val="00065A9E"/>
    <w:rsid w:val="000A3D07"/>
    <w:rsid w:val="000B4CA7"/>
    <w:rsid w:val="000C12FE"/>
    <w:rsid w:val="000E171E"/>
    <w:rsid w:val="000F2BDE"/>
    <w:rsid w:val="001208BE"/>
    <w:rsid w:val="00146F0B"/>
    <w:rsid w:val="00210645"/>
    <w:rsid w:val="00230096"/>
    <w:rsid w:val="00240C0E"/>
    <w:rsid w:val="00245F7F"/>
    <w:rsid w:val="002C1531"/>
    <w:rsid w:val="00383B6C"/>
    <w:rsid w:val="00385CB0"/>
    <w:rsid w:val="003A438E"/>
    <w:rsid w:val="00427EFA"/>
    <w:rsid w:val="004859FC"/>
    <w:rsid w:val="004A75ED"/>
    <w:rsid w:val="004D227B"/>
    <w:rsid w:val="004E711A"/>
    <w:rsid w:val="00585355"/>
    <w:rsid w:val="005B6BD7"/>
    <w:rsid w:val="00632DEB"/>
    <w:rsid w:val="006413D4"/>
    <w:rsid w:val="006804D5"/>
    <w:rsid w:val="006A03BE"/>
    <w:rsid w:val="006A373F"/>
    <w:rsid w:val="006A62D9"/>
    <w:rsid w:val="0071787C"/>
    <w:rsid w:val="00773727"/>
    <w:rsid w:val="007C0B33"/>
    <w:rsid w:val="007F0A61"/>
    <w:rsid w:val="008261DF"/>
    <w:rsid w:val="0084345C"/>
    <w:rsid w:val="008676E4"/>
    <w:rsid w:val="008B16C8"/>
    <w:rsid w:val="009708F1"/>
    <w:rsid w:val="00995E0B"/>
    <w:rsid w:val="009B30E0"/>
    <w:rsid w:val="009D49E3"/>
    <w:rsid w:val="009E7FD0"/>
    <w:rsid w:val="00A13424"/>
    <w:rsid w:val="00AA6B1C"/>
    <w:rsid w:val="00AB388A"/>
    <w:rsid w:val="00AB57F2"/>
    <w:rsid w:val="00AC4F40"/>
    <w:rsid w:val="00B23400"/>
    <w:rsid w:val="00B50614"/>
    <w:rsid w:val="00B9739E"/>
    <w:rsid w:val="00BE303C"/>
    <w:rsid w:val="00C70E6D"/>
    <w:rsid w:val="00C915C7"/>
    <w:rsid w:val="00D20553"/>
    <w:rsid w:val="00D25D05"/>
    <w:rsid w:val="00D417AC"/>
    <w:rsid w:val="00D74A6E"/>
    <w:rsid w:val="00D9676E"/>
    <w:rsid w:val="00DC200F"/>
    <w:rsid w:val="00DE4706"/>
    <w:rsid w:val="00E028EB"/>
    <w:rsid w:val="00EF46C9"/>
    <w:rsid w:val="00F11794"/>
    <w:rsid w:val="00F37BFC"/>
    <w:rsid w:val="00F40860"/>
    <w:rsid w:val="00F73355"/>
    <w:rsid w:val="00FC5A0D"/>
    <w:rsid w:val="00FE4534"/>
    <w:rsid w:val="01B41B74"/>
    <w:rsid w:val="01B464A4"/>
    <w:rsid w:val="01FF7FBE"/>
    <w:rsid w:val="02406B6A"/>
    <w:rsid w:val="031B04F6"/>
    <w:rsid w:val="042A0CA0"/>
    <w:rsid w:val="04A91D8D"/>
    <w:rsid w:val="05095D14"/>
    <w:rsid w:val="052A5B04"/>
    <w:rsid w:val="054269E4"/>
    <w:rsid w:val="054A7457"/>
    <w:rsid w:val="06E42153"/>
    <w:rsid w:val="06FE66FA"/>
    <w:rsid w:val="076D0643"/>
    <w:rsid w:val="077D40BC"/>
    <w:rsid w:val="078B5717"/>
    <w:rsid w:val="07CE5FCD"/>
    <w:rsid w:val="07DC0866"/>
    <w:rsid w:val="09F96AA2"/>
    <w:rsid w:val="09FD3EF3"/>
    <w:rsid w:val="0A1E6855"/>
    <w:rsid w:val="0AA74CB6"/>
    <w:rsid w:val="0B9215B9"/>
    <w:rsid w:val="0C4F6FE5"/>
    <w:rsid w:val="0CE301C8"/>
    <w:rsid w:val="0D162246"/>
    <w:rsid w:val="0D1645E6"/>
    <w:rsid w:val="0E1664A3"/>
    <w:rsid w:val="0E48134D"/>
    <w:rsid w:val="0E5440FD"/>
    <w:rsid w:val="0EC32D67"/>
    <w:rsid w:val="10294D09"/>
    <w:rsid w:val="102E599D"/>
    <w:rsid w:val="106B4B1A"/>
    <w:rsid w:val="10A778C7"/>
    <w:rsid w:val="10B21CB5"/>
    <w:rsid w:val="11385F2D"/>
    <w:rsid w:val="11AD3CDE"/>
    <w:rsid w:val="124368D3"/>
    <w:rsid w:val="125C43C3"/>
    <w:rsid w:val="12AD0E88"/>
    <w:rsid w:val="12E50530"/>
    <w:rsid w:val="12F8576D"/>
    <w:rsid w:val="13177301"/>
    <w:rsid w:val="133C2953"/>
    <w:rsid w:val="13F31FAF"/>
    <w:rsid w:val="145E216C"/>
    <w:rsid w:val="147927B6"/>
    <w:rsid w:val="147A17CF"/>
    <w:rsid w:val="149363ED"/>
    <w:rsid w:val="14E3650F"/>
    <w:rsid w:val="155362A8"/>
    <w:rsid w:val="15AE5426"/>
    <w:rsid w:val="1629765A"/>
    <w:rsid w:val="168021FB"/>
    <w:rsid w:val="16E178E4"/>
    <w:rsid w:val="17F34C70"/>
    <w:rsid w:val="1805628A"/>
    <w:rsid w:val="183D086D"/>
    <w:rsid w:val="1AC83D46"/>
    <w:rsid w:val="1B2F6D21"/>
    <w:rsid w:val="1B79633D"/>
    <w:rsid w:val="1C0B63B1"/>
    <w:rsid w:val="1C55028A"/>
    <w:rsid w:val="1D6225AD"/>
    <w:rsid w:val="1E8F0C78"/>
    <w:rsid w:val="1EB403C5"/>
    <w:rsid w:val="1F06104A"/>
    <w:rsid w:val="1F362114"/>
    <w:rsid w:val="1F540A8D"/>
    <w:rsid w:val="1F83262D"/>
    <w:rsid w:val="1FF23E67"/>
    <w:rsid w:val="20123EB3"/>
    <w:rsid w:val="206116E7"/>
    <w:rsid w:val="20DC772F"/>
    <w:rsid w:val="218358D4"/>
    <w:rsid w:val="22344179"/>
    <w:rsid w:val="22C641E3"/>
    <w:rsid w:val="22D7549A"/>
    <w:rsid w:val="23B27BA0"/>
    <w:rsid w:val="24086FA6"/>
    <w:rsid w:val="25195481"/>
    <w:rsid w:val="25670B56"/>
    <w:rsid w:val="25A30B14"/>
    <w:rsid w:val="25B90860"/>
    <w:rsid w:val="25E91104"/>
    <w:rsid w:val="25EC2F58"/>
    <w:rsid w:val="26183370"/>
    <w:rsid w:val="262E5B3A"/>
    <w:rsid w:val="265240A5"/>
    <w:rsid w:val="271D463D"/>
    <w:rsid w:val="275307D7"/>
    <w:rsid w:val="285B4044"/>
    <w:rsid w:val="29156AF5"/>
    <w:rsid w:val="2945428C"/>
    <w:rsid w:val="2A3E55FA"/>
    <w:rsid w:val="2A5272F8"/>
    <w:rsid w:val="2A9273EE"/>
    <w:rsid w:val="2AF05BB3"/>
    <w:rsid w:val="2B2F4C6A"/>
    <w:rsid w:val="2B392AB5"/>
    <w:rsid w:val="2BC90D26"/>
    <w:rsid w:val="2D9E120E"/>
    <w:rsid w:val="2DCB6025"/>
    <w:rsid w:val="2DEE23DE"/>
    <w:rsid w:val="2E7E0A86"/>
    <w:rsid w:val="2E9230C6"/>
    <w:rsid w:val="2EF71C20"/>
    <w:rsid w:val="2FE9278A"/>
    <w:rsid w:val="303B0BCE"/>
    <w:rsid w:val="30D3212E"/>
    <w:rsid w:val="311747BD"/>
    <w:rsid w:val="312E491E"/>
    <w:rsid w:val="3130655D"/>
    <w:rsid w:val="32351405"/>
    <w:rsid w:val="324E42D1"/>
    <w:rsid w:val="328337F9"/>
    <w:rsid w:val="329158D1"/>
    <w:rsid w:val="32A4342A"/>
    <w:rsid w:val="331C74D8"/>
    <w:rsid w:val="335805F1"/>
    <w:rsid w:val="33E76790"/>
    <w:rsid w:val="345C2B70"/>
    <w:rsid w:val="355C5AB7"/>
    <w:rsid w:val="35A14081"/>
    <w:rsid w:val="35A431FB"/>
    <w:rsid w:val="35AE4501"/>
    <w:rsid w:val="360057F2"/>
    <w:rsid w:val="3623337D"/>
    <w:rsid w:val="36840843"/>
    <w:rsid w:val="36BC6667"/>
    <w:rsid w:val="36D56743"/>
    <w:rsid w:val="37051BD2"/>
    <w:rsid w:val="37A61E10"/>
    <w:rsid w:val="37AA40FE"/>
    <w:rsid w:val="38544E5D"/>
    <w:rsid w:val="388469A5"/>
    <w:rsid w:val="38BB5E20"/>
    <w:rsid w:val="39B429A5"/>
    <w:rsid w:val="3A527429"/>
    <w:rsid w:val="3A855D28"/>
    <w:rsid w:val="3AE5614C"/>
    <w:rsid w:val="3AEE1A57"/>
    <w:rsid w:val="3B1E4F09"/>
    <w:rsid w:val="3B884CAB"/>
    <w:rsid w:val="3BB736CF"/>
    <w:rsid w:val="3CF8516D"/>
    <w:rsid w:val="3DF60EDF"/>
    <w:rsid w:val="3E867747"/>
    <w:rsid w:val="3EDC0FF9"/>
    <w:rsid w:val="3EE65FE5"/>
    <w:rsid w:val="3EEC7280"/>
    <w:rsid w:val="3F6F1091"/>
    <w:rsid w:val="3F786700"/>
    <w:rsid w:val="401B2F39"/>
    <w:rsid w:val="416830A7"/>
    <w:rsid w:val="4190501E"/>
    <w:rsid w:val="41E03AAF"/>
    <w:rsid w:val="41E67AA3"/>
    <w:rsid w:val="428172E7"/>
    <w:rsid w:val="42D862D7"/>
    <w:rsid w:val="455479CF"/>
    <w:rsid w:val="45570A4C"/>
    <w:rsid w:val="45BC649A"/>
    <w:rsid w:val="45D52336"/>
    <w:rsid w:val="46967CF4"/>
    <w:rsid w:val="46985419"/>
    <w:rsid w:val="46FC0029"/>
    <w:rsid w:val="48383005"/>
    <w:rsid w:val="4982192B"/>
    <w:rsid w:val="498B1319"/>
    <w:rsid w:val="499107DF"/>
    <w:rsid w:val="4ACE6C57"/>
    <w:rsid w:val="4B270615"/>
    <w:rsid w:val="4B45512D"/>
    <w:rsid w:val="4C4C4FE4"/>
    <w:rsid w:val="4C591519"/>
    <w:rsid w:val="4CC66F7A"/>
    <w:rsid w:val="4D137F59"/>
    <w:rsid w:val="4D407183"/>
    <w:rsid w:val="4DCE66C9"/>
    <w:rsid w:val="4EFF5DAF"/>
    <w:rsid w:val="4FEC3E90"/>
    <w:rsid w:val="50F807EE"/>
    <w:rsid w:val="5128236F"/>
    <w:rsid w:val="51E10DC6"/>
    <w:rsid w:val="520934A0"/>
    <w:rsid w:val="536C4B4E"/>
    <w:rsid w:val="53A155BF"/>
    <w:rsid w:val="54214E35"/>
    <w:rsid w:val="54242288"/>
    <w:rsid w:val="543847AC"/>
    <w:rsid w:val="544E3923"/>
    <w:rsid w:val="54FC0F4E"/>
    <w:rsid w:val="556E27BB"/>
    <w:rsid w:val="55EB287D"/>
    <w:rsid w:val="56565EEF"/>
    <w:rsid w:val="567362BC"/>
    <w:rsid w:val="56C5394C"/>
    <w:rsid w:val="575C67E0"/>
    <w:rsid w:val="57B043BE"/>
    <w:rsid w:val="58F54F47"/>
    <w:rsid w:val="593C5C08"/>
    <w:rsid w:val="5A9B4D55"/>
    <w:rsid w:val="5B6E43A1"/>
    <w:rsid w:val="5B934004"/>
    <w:rsid w:val="5D1469F2"/>
    <w:rsid w:val="5D832BF6"/>
    <w:rsid w:val="5DA93CBF"/>
    <w:rsid w:val="5DB33D2D"/>
    <w:rsid w:val="5E7A324B"/>
    <w:rsid w:val="5E8C5897"/>
    <w:rsid w:val="5E93283E"/>
    <w:rsid w:val="5EB87939"/>
    <w:rsid w:val="5ECC3A19"/>
    <w:rsid w:val="5F381638"/>
    <w:rsid w:val="5F57479D"/>
    <w:rsid w:val="60E739D0"/>
    <w:rsid w:val="621A7922"/>
    <w:rsid w:val="6237785F"/>
    <w:rsid w:val="62520085"/>
    <w:rsid w:val="62FD0971"/>
    <w:rsid w:val="630C78D0"/>
    <w:rsid w:val="63891199"/>
    <w:rsid w:val="63DE22FA"/>
    <w:rsid w:val="65311B70"/>
    <w:rsid w:val="654447A5"/>
    <w:rsid w:val="659B51B6"/>
    <w:rsid w:val="65E7073A"/>
    <w:rsid w:val="666A6C3E"/>
    <w:rsid w:val="66863EA3"/>
    <w:rsid w:val="672B7AA1"/>
    <w:rsid w:val="67E04315"/>
    <w:rsid w:val="67F94746"/>
    <w:rsid w:val="680F4931"/>
    <w:rsid w:val="69103BCE"/>
    <w:rsid w:val="69205092"/>
    <w:rsid w:val="697D3824"/>
    <w:rsid w:val="6A823347"/>
    <w:rsid w:val="6AC448DD"/>
    <w:rsid w:val="6B600725"/>
    <w:rsid w:val="6B670335"/>
    <w:rsid w:val="6B851761"/>
    <w:rsid w:val="6C7040E4"/>
    <w:rsid w:val="6D482A6E"/>
    <w:rsid w:val="6DE00289"/>
    <w:rsid w:val="6E2F540C"/>
    <w:rsid w:val="6E864410"/>
    <w:rsid w:val="6ED0767C"/>
    <w:rsid w:val="6F23702A"/>
    <w:rsid w:val="6F475C8E"/>
    <w:rsid w:val="6FFC4560"/>
    <w:rsid w:val="707E3B6E"/>
    <w:rsid w:val="71440957"/>
    <w:rsid w:val="71631842"/>
    <w:rsid w:val="71913F22"/>
    <w:rsid w:val="71C76118"/>
    <w:rsid w:val="728209C8"/>
    <w:rsid w:val="743852FC"/>
    <w:rsid w:val="75E97446"/>
    <w:rsid w:val="75FD6E6E"/>
    <w:rsid w:val="767B4664"/>
    <w:rsid w:val="768A4B3F"/>
    <w:rsid w:val="7756372D"/>
    <w:rsid w:val="775E47F3"/>
    <w:rsid w:val="777342DA"/>
    <w:rsid w:val="78A53198"/>
    <w:rsid w:val="78BC6DBC"/>
    <w:rsid w:val="790400CD"/>
    <w:rsid w:val="796D4A2F"/>
    <w:rsid w:val="7A591489"/>
    <w:rsid w:val="7A8F3CFA"/>
    <w:rsid w:val="7B7122A7"/>
    <w:rsid w:val="7C8009E3"/>
    <w:rsid w:val="7CED044A"/>
    <w:rsid w:val="7D01749C"/>
    <w:rsid w:val="7DB45AC9"/>
    <w:rsid w:val="7E527BC8"/>
    <w:rsid w:val="7F35211F"/>
    <w:rsid w:val="7F504A8E"/>
    <w:rsid w:val="7F8A4384"/>
    <w:rsid w:val="7FAC22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iPriority="99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21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widowControl w:val="0"/>
      <w:ind w:firstLine="42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line="500" w:lineRule="exact"/>
      <w:ind w:firstLine="480" w:firstLineChars="200"/>
    </w:pPr>
    <w:rPr>
      <w:rFonts w:ascii="宋体" w:hAnsi="宋体"/>
      <w:kern w:val="0"/>
      <w:sz w:val="24"/>
    </w:rPr>
  </w:style>
  <w:style w:type="paragraph" w:styleId="6">
    <w:name w:val="Plain Text"/>
    <w:basedOn w:val="1"/>
    <w:qFormat/>
    <w:uiPriority w:val="0"/>
    <w:rPr>
      <w:rFonts w:ascii="宋体" w:hAnsi="Courier New" w:eastAsia="Times New Roman"/>
      <w:szCs w:val="20"/>
    </w:rPr>
  </w:style>
  <w:style w:type="paragraph" w:styleId="7">
    <w:name w:val="Date"/>
    <w:basedOn w:val="1"/>
    <w:next w:val="1"/>
    <w:link w:val="27"/>
    <w:qFormat/>
    <w:uiPriority w:val="0"/>
    <w:pPr>
      <w:ind w:left="100" w:leftChars="2500"/>
    </w:p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rPr>
      <w:rFonts w:eastAsia="黑体"/>
      <w:sz w:val="28"/>
    </w:rPr>
  </w:style>
  <w:style w:type="paragraph" w:styleId="12">
    <w:name w:val="index heading"/>
    <w:basedOn w:val="1"/>
    <w:next w:val="13"/>
    <w:unhideWhenUsed/>
    <w:qFormat/>
    <w:uiPriority w:val="99"/>
    <w:pPr>
      <w:widowControl w:val="0"/>
      <w:spacing w:after="0" w:line="240" w:lineRule="auto"/>
      <w:jc w:val="both"/>
    </w:pPr>
    <w:rPr>
      <w:rFonts w:eastAsia="宋体"/>
      <w:color w:val="auto"/>
      <w:sz w:val="21"/>
      <w:szCs w:val="24"/>
    </w:rPr>
  </w:style>
  <w:style w:type="paragraph" w:styleId="13">
    <w:name w:val="index 1"/>
    <w:basedOn w:val="1"/>
    <w:next w:val="1"/>
    <w:qFormat/>
    <w:uiPriority w:val="0"/>
  </w:style>
  <w:style w:type="paragraph" w:styleId="14">
    <w:name w:val="Subtitle"/>
    <w:basedOn w:val="1"/>
    <w:next w:val="1"/>
    <w:link w:val="29"/>
    <w:qFormat/>
    <w:uiPriority w:val="11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15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6">
    <w:name w:val="Normal (Web)"/>
    <w:basedOn w:val="1"/>
    <w:qFormat/>
    <w:uiPriority w:val="0"/>
    <w:rPr>
      <w:sz w:val="24"/>
    </w:rPr>
  </w:style>
  <w:style w:type="paragraph" w:styleId="17">
    <w:name w:val="Title"/>
    <w:basedOn w:val="1"/>
    <w:next w:val="1"/>
    <w:link w:val="30"/>
    <w:qFormat/>
    <w:uiPriority w:val="10"/>
    <w:pPr>
      <w:spacing w:before="60" w:after="60"/>
      <w:jc w:val="center"/>
      <w:outlineLvl w:val="0"/>
    </w:pPr>
    <w:rPr>
      <w:rFonts w:ascii="Cambria" w:hAnsi="Cambria"/>
      <w:b/>
      <w:bCs/>
      <w:kern w:val="0"/>
      <w:sz w:val="20"/>
      <w:szCs w:val="32"/>
    </w:rPr>
  </w:style>
  <w:style w:type="paragraph" w:styleId="18">
    <w:name w:val="Body Text First Indent"/>
    <w:basedOn w:val="1"/>
    <w:qFormat/>
    <w:uiPriority w:val="0"/>
    <w:pPr>
      <w:widowControl w:val="0"/>
      <w:spacing w:line="240" w:lineRule="auto"/>
      <w:ind w:firstLine="420"/>
      <w:jc w:val="both"/>
    </w:pPr>
    <w:rPr>
      <w:rFonts w:eastAsia="宋体"/>
      <w:color w:val="auto"/>
      <w:kern w:val="0"/>
      <w:sz w:val="20"/>
      <w:szCs w:val="20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qFormat/>
    <w:uiPriority w:val="0"/>
    <w:rPr>
      <w:b/>
      <w:bCs/>
    </w:rPr>
  </w:style>
  <w:style w:type="character" w:styleId="23">
    <w:name w:val="page number"/>
    <w:basedOn w:val="21"/>
    <w:qFormat/>
    <w:uiPriority w:val="99"/>
    <w:rPr>
      <w:rFonts w:cs="Times New Roman"/>
    </w:rPr>
  </w:style>
  <w:style w:type="character" w:styleId="24">
    <w:name w:val="FollowedHyperlink"/>
    <w:qFormat/>
    <w:uiPriority w:val="0"/>
    <w:rPr>
      <w:color w:val="000000"/>
      <w:u w:val="none"/>
    </w:rPr>
  </w:style>
  <w:style w:type="character" w:styleId="25">
    <w:name w:val="Emphasis"/>
    <w:qFormat/>
    <w:uiPriority w:val="0"/>
    <w:rPr>
      <w:rFonts w:ascii="Times New Roman" w:hAnsi="Times New Roman" w:eastAsia="宋体" w:cs="Times New Roman"/>
      <w:i/>
      <w:iCs/>
    </w:rPr>
  </w:style>
  <w:style w:type="character" w:styleId="26">
    <w:name w:val="Hyperlink"/>
    <w:qFormat/>
    <w:uiPriority w:val="0"/>
    <w:rPr>
      <w:color w:val="000000"/>
      <w:u w:val="none"/>
    </w:rPr>
  </w:style>
  <w:style w:type="character" w:customStyle="1" w:styleId="27">
    <w:name w:val="日期 Char"/>
    <w:basedOn w:val="21"/>
    <w:link w:val="7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28">
    <w:name w:val="页眉 Char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9">
    <w:name w:val="副标题 Char"/>
    <w:link w:val="14"/>
    <w:qFormat/>
    <w:uiPriority w:val="11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30">
    <w:name w:val="标题 Char"/>
    <w:link w:val="17"/>
    <w:qFormat/>
    <w:uiPriority w:val="10"/>
    <w:rPr>
      <w:rFonts w:ascii="Cambria" w:hAnsi="Cambria" w:cs="Times New Roman"/>
      <w:b/>
      <w:bCs/>
      <w:szCs w:val="32"/>
    </w:rPr>
  </w:style>
  <w:style w:type="paragraph" w:customStyle="1" w:styleId="31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32">
    <w:name w:val="NormalCharacter"/>
    <w:qFormat/>
    <w:uiPriority w:val="0"/>
  </w:style>
  <w:style w:type="character" w:customStyle="1" w:styleId="33">
    <w:name w:val="hover42"/>
    <w:basedOn w:val="21"/>
    <w:qFormat/>
    <w:uiPriority w:val="0"/>
  </w:style>
  <w:style w:type="character" w:customStyle="1" w:styleId="34">
    <w:name w:val="hover30"/>
    <w:basedOn w:val="21"/>
    <w:qFormat/>
    <w:uiPriority w:val="0"/>
  </w:style>
  <w:style w:type="character" w:customStyle="1" w:styleId="35">
    <w:name w:val="15"/>
    <w:qFormat/>
    <w:uiPriority w:val="0"/>
    <w:rPr>
      <w:rFonts w:hint="default" w:ascii="Times New Roman" w:hAnsi="Times New Roman" w:cs="Times New Roman"/>
      <w:color w:val="464445"/>
      <w:u w:val="none"/>
    </w:rPr>
  </w:style>
  <w:style w:type="character" w:customStyle="1" w:styleId="36">
    <w:name w:val="hover41"/>
    <w:basedOn w:val="21"/>
    <w:qFormat/>
    <w:uiPriority w:val="0"/>
  </w:style>
  <w:style w:type="character" w:customStyle="1" w:styleId="37">
    <w:name w:val="times"/>
    <w:qFormat/>
    <w:uiPriority w:val="0"/>
    <w:rPr>
      <w:color w:val="CDCDCD"/>
      <w:bdr w:val="single" w:color="CDCDCD" w:sz="6" w:space="0"/>
      <w:shd w:val="clear" w:color="auto" w:fill="EFEFEF"/>
    </w:rPr>
  </w:style>
  <w:style w:type="character" w:customStyle="1" w:styleId="38">
    <w:name w:val="times1"/>
    <w:qFormat/>
    <w:uiPriority w:val="0"/>
    <w:rPr>
      <w:color w:val="3399FF"/>
      <w:bdr w:val="single" w:color="D1EDF8" w:sz="6" w:space="0"/>
      <w:shd w:val="clear" w:color="auto" w:fill="EAF9FF"/>
    </w:rPr>
  </w:style>
  <w:style w:type="paragraph" w:customStyle="1" w:styleId="39">
    <w:name w:val="文一"/>
    <w:basedOn w:val="1"/>
    <w:qFormat/>
    <w:uiPriority w:val="0"/>
    <w:pPr>
      <w:widowControl w:val="0"/>
      <w:topLinePunct/>
      <w:adjustRightInd w:val="0"/>
      <w:snapToGrid w:val="0"/>
      <w:spacing w:after="0" w:line="360" w:lineRule="auto"/>
      <w:ind w:firstLine="200" w:firstLineChars="200"/>
      <w:jc w:val="both"/>
    </w:pPr>
    <w:rPr>
      <w:rFonts w:eastAsia="宋体"/>
      <w:snapToGrid w:val="0"/>
      <w:color w:val="auto"/>
      <w:spacing w:val="4"/>
      <w:kern w:val="0"/>
      <w:sz w:val="24"/>
      <w:szCs w:val="24"/>
    </w:rPr>
  </w:style>
  <w:style w:type="paragraph" w:customStyle="1" w:styleId="40">
    <w:name w:val="正文_1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41">
    <w:name w:val="List Paragraph"/>
    <w:basedOn w:val="1"/>
    <w:qFormat/>
    <w:uiPriority w:val="0"/>
    <w:pPr>
      <w:ind w:firstLine="420" w:firstLineChars="200"/>
    </w:pPr>
    <w:rPr>
      <w:rFonts w:ascii="Calibri" w:hAnsi="Calibri" w:cs="Times New Roman"/>
      <w:kern w:val="2"/>
      <w:sz w:val="21"/>
      <w:szCs w:val="22"/>
    </w:rPr>
  </w:style>
  <w:style w:type="paragraph" w:customStyle="1" w:styleId="42">
    <w:name w:val="zhang"/>
    <w:basedOn w:val="1"/>
    <w:qFormat/>
    <w:uiPriority w:val="0"/>
    <w:pPr>
      <w:spacing w:before="100" w:beforeLines="0" w:beforeAutospacing="1" w:after="100" w:afterLines="0" w:afterAutospacing="1"/>
    </w:pPr>
    <w:rPr>
      <w:b/>
      <w:bCs/>
      <w:smallCaps/>
      <w:color w:val="000000"/>
      <w:sz w:val="20"/>
      <w:szCs w:val="20"/>
    </w:rPr>
  </w:style>
  <w:style w:type="paragraph" w:customStyle="1" w:styleId="43">
    <w:name w:val=" Char"/>
    <w:basedOn w:val="1"/>
    <w:qFormat/>
    <w:uiPriority w:val="0"/>
    <w:rPr>
      <w:rFonts w:ascii="Times New Roman" w:hAnsi="Times New Roman"/>
      <w:szCs w:val="24"/>
    </w:rPr>
  </w:style>
  <w:style w:type="paragraph" w:customStyle="1" w:styleId="44">
    <w:name w:val="xl24"/>
    <w:basedOn w:val="1"/>
    <w:qFormat/>
    <w:uiPriority w:val="0"/>
    <w:pPr>
      <w:widowControl/>
      <w:spacing w:before="100" w:after="100"/>
      <w:jc w:val="center"/>
      <w:textAlignment w:val="center"/>
    </w:pPr>
    <w:rPr>
      <w:rFonts w:ascii="宋体" w:hAnsi="宋体"/>
      <w:kern w:val="0"/>
      <w:sz w:val="24"/>
      <w:szCs w:val="20"/>
    </w:rPr>
  </w:style>
  <w:style w:type="paragraph" w:customStyle="1" w:styleId="45">
    <w:name w:val="p0"/>
    <w:basedOn w:val="1"/>
    <w:qFormat/>
    <w:uiPriority w:val="0"/>
    <w:pPr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46">
    <w:name w:val="Default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仿宋_GB2312" w:cs="宋体"/>
      <w:color w:val="000000"/>
      <w:sz w:val="24"/>
      <w:szCs w:val="24"/>
      <w:lang w:val="en-US" w:eastAsia="zh-CN" w:bidi="ar-SA"/>
    </w:rPr>
  </w:style>
  <w:style w:type="paragraph" w:customStyle="1" w:styleId="4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33</Pages>
  <Words>14504</Words>
  <Characters>15281</Characters>
  <Lines>149</Lines>
  <Paragraphs>42</Paragraphs>
  <TotalTime>134</TotalTime>
  <ScaleCrop>false</ScaleCrop>
  <LinksUpToDate>false</LinksUpToDate>
  <CharactersWithSpaces>16718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2019-02-28T02:24:00Z</dcterms:created>
  <dc:creator>User</dc:creator>
  <cp:lastModifiedBy>龙津街_肖小文</cp:lastModifiedBy>
  <cp:lastPrinted>2024-02-02T07:59:01Z</cp:lastPrinted>
  <dcterms:modified xsi:type="dcterms:W3CDTF">2024-02-02T08:02:20Z</dcterms:modified>
  <dc:title>粤剧艺术博物馆项目环保竣工验收监测服务询价文件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EA6E2B9FF92440559E542C6D51C0B274</vt:lpwstr>
  </property>
</Properties>
</file>