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附件</w:t>
      </w:r>
      <w:r>
        <w:rPr>
          <w:rFonts w:hint="eastAsia" w:ascii="黑体" w:hAnsi="黑体" w:eastAsia="黑体" w:cs="黑体"/>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right="57"/>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202</w:t>
      </w:r>
      <w:r>
        <w:rPr>
          <w:rFonts w:hint="eastAsia" w:ascii="方正小标宋简体" w:hAnsi="仿宋" w:eastAsia="方正小标宋简体" w:cs="Times New Roman"/>
          <w:sz w:val="44"/>
          <w:szCs w:val="44"/>
          <w:lang w:val="en-US" w:eastAsia="zh-CN"/>
        </w:rPr>
        <w:t>5</w:t>
      </w:r>
      <w:r>
        <w:rPr>
          <w:rFonts w:hint="eastAsia" w:ascii="方正小标宋简体" w:hAnsi="仿宋" w:eastAsia="方正小标宋简体" w:cs="Times New Roman"/>
          <w:sz w:val="44"/>
          <w:szCs w:val="44"/>
        </w:rPr>
        <w:t>年广州市荔湾区就业补助资金</w:t>
      </w:r>
    </w:p>
    <w:p>
      <w:pPr>
        <w:keepNext w:val="0"/>
        <w:keepLines w:val="0"/>
        <w:pageBreakBefore w:val="0"/>
        <w:kinsoku/>
        <w:wordWrap/>
        <w:overflowPunct/>
        <w:topLinePunct w:val="0"/>
        <w:autoSpaceDE/>
        <w:autoSpaceDN/>
        <w:bidi w:val="0"/>
        <w:adjustRightInd/>
        <w:snapToGrid/>
        <w:spacing w:line="560" w:lineRule="exact"/>
        <w:ind w:right="57"/>
        <w:jc w:val="center"/>
        <w:rPr>
          <w:rFonts w:hint="eastAsia" w:ascii="方正小标宋简体" w:hAnsi="仿宋" w:eastAsia="方正小标宋简体" w:cs="Times New Roman"/>
          <w:sz w:val="44"/>
          <w:szCs w:val="44"/>
          <w:lang w:eastAsia="zh-CN"/>
        </w:rPr>
      </w:pPr>
      <w:r>
        <w:rPr>
          <w:rFonts w:hint="eastAsia" w:ascii="方正小标宋简体" w:hAnsi="仿宋" w:eastAsia="方正小标宋简体" w:cs="Times New Roman"/>
          <w:sz w:val="44"/>
          <w:szCs w:val="44"/>
        </w:rPr>
        <w:t>审计项目</w:t>
      </w:r>
      <w:r>
        <w:rPr>
          <w:rFonts w:hint="eastAsia" w:ascii="方正小标宋简体" w:hAnsi="仿宋" w:eastAsia="方正小标宋简体" w:cs="Times New Roman"/>
          <w:sz w:val="44"/>
          <w:szCs w:val="44"/>
          <w:lang w:eastAsia="zh-CN"/>
        </w:rPr>
        <w:t>需求</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Times New Roman"/>
          <w:b/>
          <w:sz w:val="30"/>
          <w:szCs w:val="30"/>
        </w:rPr>
      </w:pPr>
    </w:p>
    <w:p>
      <w:pPr>
        <w:widowControl w:val="0"/>
        <w:numPr>
          <w:ilvl w:val="0"/>
          <w:numId w:val="0"/>
        </w:numPr>
        <w:snapToGrid w:val="0"/>
        <w:spacing w:line="360" w:lineRule="auto"/>
        <w:ind w:leftChars="0"/>
        <w:jc w:val="both"/>
        <w:rPr>
          <w:rFonts w:ascii="宋体" w:hAnsi="宋体" w:eastAsia="宋体" w:cs="Times New Roman"/>
          <w:b/>
          <w:color w:val="FF0000"/>
          <w:kern w:val="2"/>
          <w:sz w:val="28"/>
          <w:szCs w:val="36"/>
          <w:lang w:val="en-US" w:eastAsia="zh-CN" w:bidi="ar-SA"/>
        </w:rPr>
      </w:pPr>
      <w:r>
        <w:rPr>
          <w:rFonts w:hint="eastAsia" w:ascii="宋体" w:hAnsi="宋体" w:eastAsia="宋体" w:cs="Times New Roman"/>
          <w:b/>
          <w:kern w:val="2"/>
          <w:sz w:val="28"/>
          <w:szCs w:val="36"/>
          <w:lang w:val="en-US" w:eastAsia="zh-CN" w:bidi="ar-SA"/>
        </w:rPr>
        <w:t>一、项目一览表</w:t>
      </w:r>
    </w:p>
    <w:tbl>
      <w:tblPr>
        <w:tblStyle w:val="5"/>
        <w:tblW w:w="461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1048"/>
        <w:gridCol w:w="1527"/>
        <w:gridCol w:w="3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68" w:type="pct"/>
            <w:noWrap w:val="0"/>
            <w:vAlign w:val="center"/>
          </w:tcPr>
          <w:p>
            <w:pPr>
              <w:adjustRightInd w:val="0"/>
              <w:snapToGrid w:val="0"/>
              <w:jc w:val="center"/>
              <w:rPr>
                <w:rFonts w:ascii="宋体" w:hAnsi="宋体" w:eastAsia="宋体" w:cs="Times New Roman"/>
                <w:b/>
                <w:bCs/>
                <w:color w:val="auto"/>
                <w:szCs w:val="20"/>
              </w:rPr>
            </w:pPr>
            <w:r>
              <w:rPr>
                <w:rFonts w:hint="eastAsia" w:ascii="宋体" w:hAnsi="宋体" w:eastAsia="宋体" w:cs="Times New Roman"/>
                <w:b/>
                <w:bCs/>
                <w:color w:val="auto"/>
                <w:szCs w:val="20"/>
              </w:rPr>
              <w:t>采购内容</w:t>
            </w:r>
          </w:p>
        </w:tc>
        <w:tc>
          <w:tcPr>
            <w:tcW w:w="626" w:type="pct"/>
            <w:noWrap w:val="0"/>
            <w:vAlign w:val="center"/>
          </w:tcPr>
          <w:p>
            <w:pPr>
              <w:adjustRightInd w:val="0"/>
              <w:snapToGrid w:val="0"/>
              <w:jc w:val="center"/>
              <w:rPr>
                <w:rFonts w:ascii="宋体" w:hAnsi="宋体" w:eastAsia="宋体" w:cs="Times New Roman"/>
                <w:b/>
                <w:bCs/>
                <w:color w:val="auto"/>
                <w:szCs w:val="20"/>
              </w:rPr>
            </w:pPr>
            <w:r>
              <w:rPr>
                <w:rFonts w:hint="eastAsia" w:ascii="宋体" w:hAnsi="宋体" w:eastAsia="宋体" w:cs="Times New Roman"/>
                <w:b/>
                <w:bCs/>
                <w:color w:val="auto"/>
                <w:szCs w:val="20"/>
              </w:rPr>
              <w:t>数量</w:t>
            </w:r>
          </w:p>
        </w:tc>
        <w:tc>
          <w:tcPr>
            <w:tcW w:w="912" w:type="pct"/>
            <w:noWrap w:val="0"/>
            <w:vAlign w:val="center"/>
          </w:tcPr>
          <w:p>
            <w:pPr>
              <w:adjustRightInd w:val="0"/>
              <w:snapToGrid w:val="0"/>
              <w:jc w:val="center"/>
              <w:rPr>
                <w:rFonts w:ascii="宋体" w:hAnsi="宋体" w:eastAsia="宋体" w:cs="Times New Roman"/>
                <w:b/>
                <w:bCs/>
                <w:color w:val="auto"/>
                <w:szCs w:val="20"/>
              </w:rPr>
            </w:pPr>
            <w:r>
              <w:rPr>
                <w:rFonts w:hint="eastAsia" w:ascii="宋体" w:hAnsi="宋体" w:eastAsia="宋体" w:cs="Times New Roman"/>
                <w:b/>
                <w:bCs/>
                <w:color w:val="auto"/>
                <w:szCs w:val="20"/>
              </w:rPr>
              <w:t>最高限价</w:t>
            </w:r>
          </w:p>
        </w:tc>
        <w:tc>
          <w:tcPr>
            <w:tcW w:w="1893" w:type="pct"/>
            <w:noWrap w:val="0"/>
            <w:vAlign w:val="center"/>
          </w:tcPr>
          <w:p>
            <w:pPr>
              <w:adjustRightInd w:val="0"/>
              <w:snapToGrid w:val="0"/>
              <w:jc w:val="center"/>
              <w:rPr>
                <w:rFonts w:ascii="宋体" w:hAnsi="宋体" w:eastAsia="宋体" w:cs="Times New Roman"/>
                <w:b/>
                <w:bCs/>
                <w:color w:val="auto"/>
                <w:szCs w:val="20"/>
              </w:rPr>
            </w:pPr>
            <w:r>
              <w:rPr>
                <w:rFonts w:hint="eastAsia" w:ascii="宋体" w:hAnsi="宋体" w:eastAsia="宋体" w:cs="Times New Roman"/>
                <w:b/>
                <w:color w:val="auto"/>
                <w:szCs w:val="24"/>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68" w:type="pct"/>
            <w:noWrap w:val="0"/>
            <w:vAlign w:val="center"/>
          </w:tcPr>
          <w:p>
            <w:pPr>
              <w:adjustRightInd w:val="0"/>
              <w:snapToGrid w:val="0"/>
              <w:spacing w:line="360" w:lineRule="auto"/>
              <w:jc w:val="center"/>
              <w:rPr>
                <w:rFonts w:ascii="宋体" w:hAnsi="宋体" w:eastAsia="宋体" w:cs="Times New Roman"/>
                <w:bCs/>
                <w:color w:val="auto"/>
                <w:szCs w:val="20"/>
              </w:rPr>
            </w:pPr>
            <w:r>
              <w:rPr>
                <w:rFonts w:hint="eastAsia" w:ascii="宋体" w:hAnsi="宋体" w:eastAsia="宋体" w:cs="Times New Roman"/>
                <w:bCs/>
                <w:color w:val="auto"/>
                <w:szCs w:val="20"/>
                <w:lang w:eastAsia="zh-CN"/>
              </w:rPr>
              <w:t>荔湾区就业补助资金审计</w:t>
            </w:r>
          </w:p>
        </w:tc>
        <w:tc>
          <w:tcPr>
            <w:tcW w:w="626" w:type="pct"/>
            <w:noWrap w:val="0"/>
            <w:vAlign w:val="center"/>
          </w:tcPr>
          <w:p>
            <w:pPr>
              <w:adjustRightInd w:val="0"/>
              <w:snapToGrid w:val="0"/>
              <w:spacing w:line="360" w:lineRule="auto"/>
              <w:jc w:val="center"/>
              <w:rPr>
                <w:rFonts w:hint="default" w:ascii="宋体" w:hAnsi="宋体" w:eastAsia="宋体" w:cs="Times New Roman"/>
                <w:bCs/>
                <w:color w:val="auto"/>
                <w:szCs w:val="20"/>
                <w:lang w:val="en-US" w:eastAsia="zh-CN"/>
              </w:rPr>
            </w:pPr>
            <w:r>
              <w:rPr>
                <w:rFonts w:hint="eastAsia" w:ascii="宋体" w:hAnsi="宋体" w:eastAsia="宋体" w:cs="Times New Roman"/>
                <w:bCs/>
                <w:color w:val="auto"/>
                <w:szCs w:val="20"/>
                <w:lang w:val="en-US" w:eastAsia="zh-CN"/>
              </w:rPr>
              <w:t>1项</w:t>
            </w:r>
          </w:p>
        </w:tc>
        <w:tc>
          <w:tcPr>
            <w:tcW w:w="912" w:type="pct"/>
            <w:noWrap w:val="0"/>
            <w:vAlign w:val="center"/>
          </w:tcPr>
          <w:p>
            <w:pPr>
              <w:adjustRightInd w:val="0"/>
              <w:snapToGrid w:val="0"/>
              <w:spacing w:line="360" w:lineRule="auto"/>
              <w:jc w:val="center"/>
              <w:rPr>
                <w:rFonts w:ascii="宋体" w:hAnsi="宋体" w:eastAsia="宋体" w:cs="Times New Roman"/>
                <w:bCs/>
                <w:color w:val="auto"/>
                <w:szCs w:val="20"/>
              </w:rPr>
            </w:pPr>
            <w:r>
              <w:rPr>
                <w:rFonts w:hint="eastAsia" w:ascii="宋体" w:hAnsi="宋体" w:eastAsia="宋体" w:cs="Times New Roman"/>
                <w:color w:val="auto"/>
                <w:szCs w:val="21"/>
              </w:rPr>
              <w:t>人民币</w:t>
            </w:r>
            <w:r>
              <w:rPr>
                <w:rFonts w:hint="eastAsia" w:ascii="宋体" w:hAnsi="宋体" w:eastAsia="宋体" w:cs="Times New Roman"/>
                <w:color w:val="auto"/>
                <w:szCs w:val="21"/>
                <w:lang w:val="en-US" w:eastAsia="zh-CN"/>
              </w:rPr>
              <w:t>400,00</w:t>
            </w:r>
            <w:r>
              <w:rPr>
                <w:rFonts w:hint="eastAsia" w:ascii="宋体" w:hAnsi="宋体" w:cs="Times New Roman"/>
                <w:color w:val="auto"/>
                <w:szCs w:val="21"/>
                <w:lang w:val="en-US" w:eastAsia="zh-CN"/>
              </w:rPr>
              <w:t>0</w:t>
            </w:r>
            <w:r>
              <w:rPr>
                <w:rFonts w:hint="eastAsia" w:ascii="宋体" w:hAnsi="宋体" w:eastAsia="宋体" w:cs="Times New Roman"/>
                <w:color w:val="auto"/>
                <w:szCs w:val="21"/>
                <w:lang w:val="en-US" w:eastAsia="zh-CN"/>
              </w:rPr>
              <w:t>.00</w:t>
            </w:r>
            <w:r>
              <w:rPr>
                <w:rFonts w:hint="eastAsia" w:ascii="宋体" w:hAnsi="宋体" w:eastAsia="宋体" w:cs="Times New Roman"/>
                <w:color w:val="auto"/>
                <w:szCs w:val="21"/>
              </w:rPr>
              <w:t>元</w:t>
            </w:r>
          </w:p>
        </w:tc>
        <w:tc>
          <w:tcPr>
            <w:tcW w:w="1893" w:type="pct"/>
            <w:noWrap w:val="0"/>
            <w:vAlign w:val="center"/>
          </w:tcPr>
          <w:p>
            <w:pPr>
              <w:adjustRightInd w:val="0"/>
              <w:snapToGrid w:val="0"/>
              <w:spacing w:line="360" w:lineRule="auto"/>
              <w:jc w:val="center"/>
              <w:rPr>
                <w:rFonts w:hint="default" w:ascii="宋体" w:hAnsi="宋体" w:eastAsia="宋体" w:cs="Times New Roman"/>
                <w:color w:val="auto"/>
                <w:szCs w:val="21"/>
                <w:lang w:val="en-US" w:eastAsia="zh-CN"/>
              </w:rPr>
            </w:pPr>
            <w:r>
              <w:rPr>
                <w:rFonts w:hint="eastAsia" w:ascii="宋体" w:hAnsi="宋体" w:eastAsia="宋体" w:cs="Times New Roman"/>
                <w:b w:val="0"/>
                <w:bCs/>
                <w:color w:val="auto"/>
                <w:szCs w:val="24"/>
              </w:rPr>
              <w:t>自合同签订之日起</w:t>
            </w:r>
            <w:r>
              <w:rPr>
                <w:rFonts w:hint="eastAsia" w:ascii="宋体" w:hAnsi="宋体" w:eastAsia="宋体" w:cs="Times New Roman"/>
                <w:b w:val="0"/>
                <w:bCs/>
                <w:color w:val="auto"/>
                <w:szCs w:val="24"/>
                <w:lang w:val="en-US" w:eastAsia="zh-CN"/>
              </w:rPr>
              <w:t>至完成所有服务止</w:t>
            </w:r>
          </w:p>
        </w:tc>
      </w:tr>
    </w:tbl>
    <w:p>
      <w:pPr>
        <w:widowControl w:val="0"/>
        <w:numPr>
          <w:ilvl w:val="0"/>
          <w:numId w:val="0"/>
        </w:numPr>
        <w:snapToGrid w:val="0"/>
        <w:spacing w:line="360" w:lineRule="auto"/>
        <w:ind w:leftChars="0"/>
        <w:jc w:val="both"/>
        <w:rPr>
          <w:rFonts w:hint="eastAsia" w:ascii="宋体" w:hAnsi="宋体" w:eastAsia="宋体" w:cs="Times New Roman"/>
          <w:b/>
          <w:kern w:val="2"/>
          <w:sz w:val="28"/>
          <w:szCs w:val="36"/>
          <w:lang w:val="en-US" w:eastAsia="zh-CN" w:bidi="ar-SA"/>
        </w:rPr>
      </w:pPr>
      <w:r>
        <w:rPr>
          <w:rFonts w:hint="eastAsia" w:ascii="宋体" w:hAnsi="宋体" w:eastAsia="宋体" w:cs="Times New Roman"/>
          <w:b/>
          <w:kern w:val="2"/>
          <w:sz w:val="28"/>
          <w:szCs w:val="36"/>
          <w:lang w:val="en-US" w:eastAsia="zh-CN" w:bidi="ar-SA"/>
        </w:rPr>
        <w:t>二、项目概况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lang w:val="en-US" w:eastAsia="zh-CN"/>
        </w:rPr>
        <w:t>本项目为</w:t>
      </w:r>
      <w:r>
        <w:rPr>
          <w:rFonts w:hint="eastAsia" w:ascii="宋体" w:hAnsi="宋体" w:eastAsia="宋体" w:cs="Times New Roman"/>
          <w:b w:val="0"/>
          <w:bCs w:val="0"/>
          <w:color w:val="auto"/>
          <w:szCs w:val="21"/>
        </w:rPr>
        <w:t>聘请第三方机构开展监督检查，主要通过对</w:t>
      </w:r>
      <w:r>
        <w:rPr>
          <w:rFonts w:hint="eastAsia" w:ascii="宋体" w:hAnsi="宋体" w:eastAsia="宋体" w:cs="Times New Roman"/>
          <w:b w:val="0"/>
          <w:bCs w:val="0"/>
          <w:color w:val="auto"/>
          <w:szCs w:val="21"/>
          <w:lang w:val="en-US" w:eastAsia="zh-CN"/>
        </w:rPr>
        <w:t>52</w:t>
      </w:r>
      <w:r>
        <w:rPr>
          <w:rFonts w:hint="eastAsia" w:ascii="宋体" w:hAnsi="宋体" w:eastAsia="宋体" w:cs="Times New Roman"/>
          <w:b w:val="0"/>
          <w:bCs w:val="0"/>
          <w:color w:val="auto"/>
          <w:szCs w:val="21"/>
        </w:rPr>
        <w:t>项补贴的申报材料、办理流程的检查和到申领单位现场勘查，核实申领各类就业培训补助资金的真实性、合规性。</w:t>
      </w:r>
    </w:p>
    <w:p>
      <w:pPr>
        <w:widowControl w:val="0"/>
        <w:numPr>
          <w:ilvl w:val="0"/>
          <w:numId w:val="0"/>
        </w:numPr>
        <w:snapToGrid w:val="0"/>
        <w:spacing w:line="360" w:lineRule="auto"/>
        <w:ind w:leftChars="0"/>
        <w:jc w:val="both"/>
        <w:rPr>
          <w:rFonts w:hint="default" w:ascii="宋体" w:hAnsi="宋体" w:eastAsia="宋体" w:cs="Times New Roman"/>
          <w:b/>
          <w:kern w:val="2"/>
          <w:sz w:val="28"/>
          <w:szCs w:val="36"/>
          <w:lang w:val="en-US" w:eastAsia="zh-CN" w:bidi="ar-SA"/>
        </w:rPr>
      </w:pPr>
      <w:r>
        <w:rPr>
          <w:rFonts w:hint="eastAsia" w:ascii="宋体" w:hAnsi="宋体" w:eastAsia="宋体" w:cs="Times New Roman"/>
          <w:b/>
          <w:kern w:val="2"/>
          <w:sz w:val="28"/>
          <w:szCs w:val="36"/>
          <w:lang w:val="en-US" w:eastAsia="zh-CN" w:bidi="ar-SA"/>
        </w:rPr>
        <w:t>三、项目内容</w:t>
      </w:r>
    </w:p>
    <w:p>
      <w:pPr>
        <w:snapToGrid w:val="0"/>
        <w:spacing w:line="360" w:lineRule="auto"/>
        <w:rPr>
          <w:rFonts w:hint="eastAsia" w:ascii="宋体" w:hAnsi="宋体" w:eastAsia="宋体" w:cs="Times New Roman"/>
          <w:b w:val="0"/>
          <w:bCs w:val="0"/>
          <w:color w:val="auto"/>
          <w:szCs w:val="21"/>
        </w:rPr>
      </w:pPr>
      <w:r>
        <w:rPr>
          <w:rFonts w:hint="eastAsia" w:ascii="宋体" w:hAnsi="宋体" w:cs="Times New Roman"/>
          <w:b w:val="0"/>
          <w:bCs w:val="0"/>
          <w:color w:val="auto"/>
          <w:szCs w:val="21"/>
          <w:lang w:eastAsia="zh-CN"/>
        </w:rPr>
        <w:t>（</w:t>
      </w:r>
      <w:r>
        <w:rPr>
          <w:rFonts w:hint="eastAsia" w:ascii="宋体" w:hAnsi="宋体" w:cs="Times New Roman"/>
          <w:b w:val="0"/>
          <w:bCs w:val="0"/>
          <w:color w:val="auto"/>
          <w:szCs w:val="21"/>
          <w:lang w:val="en-US" w:eastAsia="zh-CN"/>
        </w:rPr>
        <w:t>一）</w:t>
      </w:r>
      <w:r>
        <w:rPr>
          <w:rFonts w:hint="eastAsia" w:ascii="宋体" w:hAnsi="宋体" w:eastAsia="宋体" w:cs="Times New Roman"/>
          <w:b w:val="0"/>
          <w:bCs w:val="0"/>
          <w:color w:val="auto"/>
          <w:szCs w:val="21"/>
        </w:rPr>
        <w:t>本次检查主要分为两部分：</w:t>
      </w:r>
    </w:p>
    <w:p>
      <w:pPr>
        <w:snapToGrid w:val="0"/>
        <w:spacing w:line="360" w:lineRule="auto"/>
        <w:ind w:firstLine="420" w:firstLineChars="200"/>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1.</w:t>
      </w:r>
      <w:r>
        <w:rPr>
          <w:rFonts w:hint="eastAsia" w:ascii="宋体" w:hAnsi="宋体" w:eastAsia="宋体" w:cs="Times New Roman"/>
          <w:b w:val="0"/>
          <w:bCs w:val="0"/>
          <w:color w:val="auto"/>
          <w:szCs w:val="21"/>
          <w:lang w:val="en-US" w:eastAsia="zh-CN"/>
        </w:rPr>
        <w:t>集中审计</w:t>
      </w:r>
    </w:p>
    <w:p>
      <w:pPr>
        <w:snapToGrid w:val="0"/>
        <w:spacing w:line="360" w:lineRule="auto"/>
        <w:ind w:firstLine="420"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lang w:val="en-US" w:eastAsia="zh-CN"/>
        </w:rPr>
        <w:t>成交供应商</w:t>
      </w:r>
      <w:r>
        <w:rPr>
          <w:rFonts w:hint="eastAsia" w:ascii="宋体" w:hAnsi="宋体" w:eastAsia="宋体" w:cs="Times New Roman"/>
          <w:b w:val="0"/>
          <w:bCs w:val="0"/>
          <w:color w:val="auto"/>
          <w:szCs w:val="21"/>
        </w:rPr>
        <w:t>对</w:t>
      </w:r>
      <w:r>
        <w:rPr>
          <w:rFonts w:hint="eastAsia" w:ascii="宋体" w:hAnsi="宋体" w:eastAsia="宋体" w:cs="Times New Roman"/>
          <w:b w:val="0"/>
          <w:bCs w:val="0"/>
          <w:color w:val="auto"/>
          <w:szCs w:val="21"/>
          <w:lang w:val="en-US" w:eastAsia="zh-CN"/>
        </w:rPr>
        <w:t>2024年第四季度和</w:t>
      </w:r>
      <w:r>
        <w:rPr>
          <w:rFonts w:hint="eastAsia" w:ascii="宋体" w:hAnsi="宋体" w:eastAsia="宋体" w:cs="Times New Roman"/>
          <w:b w:val="0"/>
          <w:bCs w:val="0"/>
          <w:color w:val="auto"/>
          <w:szCs w:val="21"/>
        </w:rPr>
        <w:t>202</w:t>
      </w:r>
      <w:r>
        <w:rPr>
          <w:rFonts w:hint="eastAsia" w:ascii="宋体" w:hAnsi="宋体" w:eastAsia="宋体" w:cs="Times New Roman"/>
          <w:b w:val="0"/>
          <w:bCs w:val="0"/>
          <w:color w:val="auto"/>
          <w:szCs w:val="21"/>
          <w:lang w:val="en-US" w:eastAsia="zh-CN"/>
        </w:rPr>
        <w:t>5</w:t>
      </w:r>
      <w:r>
        <w:rPr>
          <w:rFonts w:hint="eastAsia" w:ascii="宋体" w:hAnsi="宋体" w:eastAsia="宋体" w:cs="Times New Roman"/>
          <w:b w:val="0"/>
          <w:bCs w:val="0"/>
          <w:color w:val="auto"/>
          <w:szCs w:val="21"/>
        </w:rPr>
        <w:t>年</w:t>
      </w:r>
      <w:r>
        <w:rPr>
          <w:rFonts w:hint="eastAsia" w:ascii="宋体" w:hAnsi="宋体" w:eastAsia="宋体" w:cs="Times New Roman"/>
          <w:b w:val="0"/>
          <w:bCs w:val="0"/>
          <w:color w:val="auto"/>
          <w:szCs w:val="21"/>
          <w:lang w:eastAsia="zh-CN"/>
        </w:rPr>
        <w:t>第一至第</w:t>
      </w:r>
      <w:r>
        <w:rPr>
          <w:rFonts w:hint="eastAsia" w:ascii="宋体" w:hAnsi="宋体" w:cs="Times New Roman"/>
          <w:b w:val="0"/>
          <w:bCs w:val="0"/>
          <w:color w:val="auto"/>
          <w:szCs w:val="21"/>
          <w:lang w:val="en-US" w:eastAsia="zh-CN"/>
        </w:rPr>
        <w:t>三</w:t>
      </w:r>
      <w:r>
        <w:rPr>
          <w:rFonts w:hint="eastAsia" w:ascii="宋体" w:hAnsi="宋体" w:eastAsia="宋体" w:cs="Times New Roman"/>
          <w:b w:val="0"/>
          <w:bCs w:val="0"/>
          <w:color w:val="auto"/>
          <w:szCs w:val="21"/>
          <w:lang w:eastAsia="zh-CN"/>
        </w:rPr>
        <w:t>季度</w:t>
      </w:r>
      <w:r>
        <w:rPr>
          <w:rFonts w:hint="eastAsia" w:ascii="宋体" w:hAnsi="宋体" w:eastAsia="宋体" w:cs="Times New Roman"/>
          <w:b w:val="0"/>
          <w:bCs w:val="0"/>
          <w:color w:val="auto"/>
          <w:szCs w:val="21"/>
          <w:lang w:val="en-US" w:eastAsia="zh-CN"/>
        </w:rPr>
        <w:t>52</w:t>
      </w:r>
      <w:r>
        <w:rPr>
          <w:rFonts w:hint="eastAsia" w:ascii="宋体" w:hAnsi="宋体" w:eastAsia="宋体" w:cs="Times New Roman"/>
          <w:b w:val="0"/>
          <w:bCs w:val="0"/>
          <w:color w:val="auto"/>
          <w:szCs w:val="21"/>
        </w:rPr>
        <w:t>项就业补助资金申领资料、审核结果、资格符合情况进行检查；</w:t>
      </w:r>
    </w:p>
    <w:p>
      <w:pPr>
        <w:snapToGrid w:val="0"/>
        <w:spacing w:line="360" w:lineRule="auto"/>
        <w:ind w:firstLine="420"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lang w:val="en-US" w:eastAsia="zh-CN"/>
        </w:rPr>
        <w:t>成交供应商</w:t>
      </w:r>
      <w:r>
        <w:rPr>
          <w:rFonts w:hint="eastAsia" w:ascii="宋体" w:hAnsi="宋体" w:eastAsia="宋体" w:cs="Times New Roman"/>
          <w:b w:val="0"/>
          <w:bCs w:val="0"/>
          <w:color w:val="auto"/>
          <w:szCs w:val="21"/>
        </w:rPr>
        <w:t>对</w:t>
      </w:r>
      <w:r>
        <w:rPr>
          <w:rFonts w:hint="eastAsia" w:ascii="宋体" w:hAnsi="宋体" w:eastAsia="宋体" w:cs="Times New Roman"/>
          <w:b w:val="0"/>
          <w:bCs w:val="0"/>
          <w:color w:val="auto"/>
          <w:szCs w:val="21"/>
          <w:lang w:val="en-US" w:eastAsia="zh-CN"/>
        </w:rPr>
        <w:t>2024年第四季度和</w:t>
      </w:r>
      <w:r>
        <w:rPr>
          <w:rFonts w:hint="eastAsia" w:ascii="宋体" w:hAnsi="宋体" w:eastAsia="宋体" w:cs="Times New Roman"/>
          <w:b w:val="0"/>
          <w:bCs w:val="0"/>
          <w:color w:val="auto"/>
          <w:szCs w:val="21"/>
        </w:rPr>
        <w:t>202</w:t>
      </w:r>
      <w:r>
        <w:rPr>
          <w:rFonts w:hint="eastAsia" w:ascii="宋体" w:hAnsi="宋体" w:eastAsia="宋体" w:cs="Times New Roman"/>
          <w:b w:val="0"/>
          <w:bCs w:val="0"/>
          <w:color w:val="auto"/>
          <w:szCs w:val="21"/>
          <w:lang w:val="en-US" w:eastAsia="zh-CN"/>
        </w:rPr>
        <w:t>5</w:t>
      </w:r>
      <w:r>
        <w:rPr>
          <w:rFonts w:hint="eastAsia" w:ascii="宋体" w:hAnsi="宋体" w:eastAsia="宋体" w:cs="Times New Roman"/>
          <w:b w:val="0"/>
          <w:bCs w:val="0"/>
          <w:color w:val="auto"/>
          <w:szCs w:val="21"/>
        </w:rPr>
        <w:t>年</w:t>
      </w:r>
      <w:r>
        <w:rPr>
          <w:rFonts w:hint="eastAsia" w:ascii="宋体" w:hAnsi="宋体" w:eastAsia="宋体" w:cs="Times New Roman"/>
          <w:b w:val="0"/>
          <w:bCs w:val="0"/>
          <w:color w:val="auto"/>
          <w:szCs w:val="21"/>
          <w:lang w:eastAsia="zh-CN"/>
        </w:rPr>
        <w:t>第一至第</w:t>
      </w:r>
      <w:r>
        <w:rPr>
          <w:rFonts w:hint="eastAsia" w:ascii="宋体" w:hAnsi="宋体" w:cs="Times New Roman"/>
          <w:b w:val="0"/>
          <w:bCs w:val="0"/>
          <w:color w:val="auto"/>
          <w:szCs w:val="21"/>
          <w:lang w:val="en-US" w:eastAsia="zh-CN"/>
        </w:rPr>
        <w:t>三</w:t>
      </w:r>
      <w:r>
        <w:rPr>
          <w:rFonts w:hint="eastAsia" w:ascii="宋体" w:hAnsi="宋体" w:eastAsia="宋体" w:cs="Times New Roman"/>
          <w:b w:val="0"/>
          <w:bCs w:val="0"/>
          <w:color w:val="auto"/>
          <w:szCs w:val="21"/>
          <w:lang w:eastAsia="zh-CN"/>
        </w:rPr>
        <w:t>季度</w:t>
      </w:r>
      <w:r>
        <w:rPr>
          <w:rFonts w:hint="eastAsia" w:ascii="宋体" w:hAnsi="宋体" w:eastAsia="宋体" w:cs="Times New Roman"/>
          <w:b w:val="0"/>
          <w:bCs w:val="0"/>
          <w:color w:val="auto"/>
          <w:szCs w:val="21"/>
        </w:rPr>
        <w:t>受补贴企业的申请资料与真实</w:t>
      </w:r>
      <w:r>
        <w:rPr>
          <w:rFonts w:hint="eastAsia" w:ascii="宋体" w:hAnsi="宋体" w:eastAsia="宋体" w:cs="Times New Roman"/>
          <w:b w:val="0"/>
          <w:bCs w:val="0"/>
          <w:color w:val="auto"/>
          <w:szCs w:val="21"/>
          <w:lang w:eastAsia="zh-CN"/>
        </w:rPr>
        <w:t>经营和</w:t>
      </w:r>
      <w:r>
        <w:rPr>
          <w:rFonts w:hint="eastAsia" w:ascii="宋体" w:hAnsi="宋体" w:eastAsia="宋体" w:cs="Times New Roman"/>
          <w:b w:val="0"/>
          <w:bCs w:val="0"/>
          <w:color w:val="auto"/>
          <w:szCs w:val="21"/>
        </w:rPr>
        <w:t>用工情况进行检查，</w:t>
      </w:r>
      <w:r>
        <w:rPr>
          <w:rFonts w:hint="eastAsia" w:ascii="宋体" w:hAnsi="宋体" w:eastAsia="宋体" w:cs="Times New Roman"/>
          <w:b w:val="0"/>
          <w:bCs w:val="0"/>
          <w:color w:val="auto"/>
          <w:szCs w:val="21"/>
          <w:lang w:val="en-US" w:eastAsia="zh-CN"/>
        </w:rPr>
        <w:t>招标人</w:t>
      </w:r>
      <w:r>
        <w:rPr>
          <w:rFonts w:hint="eastAsia" w:ascii="宋体" w:hAnsi="宋体" w:eastAsia="宋体" w:cs="Times New Roman"/>
          <w:b w:val="0"/>
          <w:bCs w:val="0"/>
          <w:color w:val="auto"/>
          <w:szCs w:val="21"/>
        </w:rPr>
        <w:t>计划全年</w:t>
      </w:r>
      <w:r>
        <w:rPr>
          <w:rFonts w:hint="eastAsia" w:ascii="宋体" w:hAnsi="宋体" w:eastAsia="宋体" w:cs="Times New Roman"/>
          <w:b w:val="0"/>
          <w:bCs w:val="0"/>
          <w:color w:val="auto"/>
          <w:szCs w:val="21"/>
          <w:highlight w:val="none"/>
        </w:rPr>
        <w:t>抽取</w:t>
      </w:r>
      <w:r>
        <w:rPr>
          <w:rFonts w:hint="eastAsia" w:ascii="宋体" w:hAnsi="宋体" w:eastAsia="宋体" w:cs="Times New Roman"/>
          <w:b w:val="0"/>
          <w:bCs w:val="0"/>
          <w:color w:val="auto"/>
          <w:szCs w:val="21"/>
          <w:lang w:val="en-US" w:eastAsia="zh-CN"/>
        </w:rPr>
        <w:t>360</w:t>
      </w:r>
      <w:r>
        <w:rPr>
          <w:rFonts w:hint="eastAsia" w:ascii="宋体" w:hAnsi="宋体" w:eastAsia="宋体" w:cs="Times New Roman"/>
          <w:b w:val="0"/>
          <w:bCs w:val="0"/>
          <w:color w:val="auto"/>
          <w:szCs w:val="21"/>
        </w:rPr>
        <w:t>家</w:t>
      </w:r>
      <w:r>
        <w:rPr>
          <w:rFonts w:hint="eastAsia" w:ascii="宋体" w:hAnsi="宋体" w:eastAsia="宋体" w:cs="Times New Roman"/>
          <w:b w:val="0"/>
          <w:bCs w:val="0"/>
          <w:color w:val="auto"/>
          <w:szCs w:val="21"/>
          <w:lang w:val="en-US" w:eastAsia="zh-CN"/>
        </w:rPr>
        <w:t>企业</w:t>
      </w:r>
      <w:r>
        <w:rPr>
          <w:rFonts w:hint="eastAsia" w:ascii="宋体" w:hAnsi="宋体" w:eastAsia="宋体" w:cs="Times New Roman"/>
          <w:b w:val="0"/>
          <w:bCs w:val="0"/>
          <w:color w:val="auto"/>
          <w:szCs w:val="21"/>
        </w:rPr>
        <w:t>进</w:t>
      </w:r>
      <w:r>
        <w:rPr>
          <w:rFonts w:hint="eastAsia" w:ascii="宋体" w:hAnsi="宋体" w:eastAsia="宋体" w:cs="Times New Roman"/>
          <w:b w:val="0"/>
          <w:bCs w:val="0"/>
          <w:color w:val="auto"/>
          <w:szCs w:val="21"/>
          <w:highlight w:val="none"/>
        </w:rPr>
        <w:t>行</w:t>
      </w:r>
      <w:r>
        <w:rPr>
          <w:rFonts w:hint="eastAsia" w:ascii="宋体" w:hAnsi="宋体" w:eastAsia="宋体" w:cs="Times New Roman"/>
          <w:b w:val="0"/>
          <w:bCs w:val="0"/>
          <w:color w:val="auto"/>
          <w:szCs w:val="21"/>
        </w:rPr>
        <w:t>上门现场核查。</w:t>
      </w:r>
    </w:p>
    <w:p>
      <w:pPr>
        <w:snapToGrid w:val="0"/>
        <w:spacing w:line="360" w:lineRule="auto"/>
        <w:ind w:firstLine="420" w:firstLineChars="200"/>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以下为各类补贴资金的预计受理量：</w:t>
      </w:r>
    </w:p>
    <w:tbl>
      <w:tblPr>
        <w:tblStyle w:val="5"/>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3613"/>
        <w:gridCol w:w="1335"/>
        <w:gridCol w:w="1455"/>
        <w:gridCol w:w="2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vMerge w:val="restar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613" w:type="dxa"/>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819" w:type="dxa"/>
            <w:gridSpan w:val="3"/>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预计需要检查的申请量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vMerge w:val="continue"/>
            <w:tcBorders>
              <w:top w:val="single" w:color="000000" w:sz="8"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613" w:type="dxa"/>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企业家</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人次数</w:t>
            </w:r>
          </w:p>
        </w:tc>
        <w:tc>
          <w:tcPr>
            <w:tcW w:w="2029" w:type="dxa"/>
            <w:vMerge w:val="restar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vMerge w:val="continue"/>
            <w:tcBorders>
              <w:top w:val="single" w:color="000000" w:sz="8"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613" w:type="dxa"/>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次数</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2029" w:type="dxa"/>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2024年创业孵化示范基地建设扶持补贴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2024年广州市荔湾区就业失业动态监测项目</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2024年广州市院校就业创业e站补贴（服务评估）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2024年广州市院校就业创业e站补贴（建站认定）</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2024年市级创业孵化基地补助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2024年羊城家政基层服务站建设经费</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创业带动就业补贴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创业基地建设扶持补贴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创业企业社会保险补贴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创业租金补贴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大湾区青年就业计划生活补助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高校毕业生到家政企业就业补贴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高校毕业生基层就业岗位补贴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公共就业服务岗位补贴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公益性岗位社保个人缴费补贴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基层服务经费补贴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交通补助（往返）</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就业见习补贴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就业失业监测补贴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劳务协作补贴-交通补助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劳务协作补贴-经营性人力资源服务机构招聘转移劳动力补助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劳务协作补贴-就业实习补贴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劳务协作补贴-一次性招用补贴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劳务协作补贴-政府购买服务补助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劳务协作补贴-转移就业稳岗补贴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劳务协作补贴-转移劳动力劳务协作活动补助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荔湾区社区就业服务专员能力提升培训项目（一期）</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灵活就业社保补贴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龙里县2024年农村劳动力外出务工有组织劳务输出服务活动</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求职创业补贴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人事档案保管补助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4485</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吸纳就业困难人员社会保险补贴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5309</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9622</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吸纳退役军人就业补贴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吸纳脱贫人口就业补贴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线上公益招聘服务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线下公益招聘服务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小微企业社保补贴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协作地区脱贫人口社会保险个人缴费补贴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协作地区脱贫人口稳岗就业生活补助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一般性岗位补贴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7122</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一次性创业资助</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一次性吸纳就业补贴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员工制家政企业社保补贴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2029"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现场检查（一）</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320</w:t>
            </w:r>
          </w:p>
        </w:tc>
        <w:tc>
          <w:tcPr>
            <w:tcW w:w="1455"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现场检查（二）</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学徒：2次</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项目制：5次</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创业：3次</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实训：30次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职业技能提升补贴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49</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职业技能提升生活费补贴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企业新型学徒制补贴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项目制培训补贴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创业培训补贴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职业技能评价补贴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区内政策的职业技能培训补贴项目</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w:t>
            </w:r>
          </w:p>
        </w:tc>
        <w:tc>
          <w:tcPr>
            <w:tcW w:w="20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14" w:type="dxa"/>
            <w:gridSpan w:val="5"/>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备注：1.2025年荔湾区就业补贴项目预计受理量根据2024年审核量预计，如检查时段内实际检查量大于预计量或新增补贴内容，应同时纳入检查范围内，不另外收取额外费用。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14" w:type="dxa"/>
            <w:gridSpan w:val="5"/>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2.如实际检查量低于总体预计检查量，可延伸检查2025年补贴项目申请材料，直至完成总体预计检查量。</w:t>
            </w:r>
          </w:p>
        </w:tc>
      </w:tr>
    </w:tbl>
    <w:p>
      <w:pPr>
        <w:snapToGrid w:val="0"/>
        <w:spacing w:line="360" w:lineRule="auto"/>
        <w:rPr>
          <w:rFonts w:hint="eastAsia" w:ascii="宋体" w:hAnsi="宋体" w:eastAsia="宋体" w:cs="Times New Roman"/>
          <w:b w:val="0"/>
          <w:bCs w:val="0"/>
          <w:color w:val="auto"/>
          <w:szCs w:val="21"/>
          <w:lang w:eastAsia="zh-CN"/>
        </w:rPr>
      </w:pPr>
    </w:p>
    <w:p>
      <w:pPr>
        <w:numPr>
          <w:numId w:val="0"/>
        </w:numPr>
        <w:snapToGrid w:val="0"/>
        <w:spacing w:line="360" w:lineRule="auto"/>
        <w:ind w:left="420" w:leftChars="0"/>
        <w:rPr>
          <w:rFonts w:hint="eastAsia"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2.</w:t>
      </w:r>
      <w:r>
        <w:rPr>
          <w:rFonts w:hint="eastAsia" w:ascii="宋体" w:hAnsi="宋体" w:eastAsia="宋体" w:cs="Times New Roman"/>
          <w:b w:val="0"/>
          <w:bCs w:val="0"/>
          <w:color w:val="auto"/>
          <w:szCs w:val="21"/>
          <w:lang w:val="en-US" w:eastAsia="zh-CN"/>
        </w:rPr>
        <w:t>驻场审计</w:t>
      </w:r>
    </w:p>
    <w:p>
      <w:pPr>
        <w:snapToGrid w:val="0"/>
        <w:spacing w:line="360" w:lineRule="auto"/>
        <w:ind w:firstLine="420" w:firstLineChars="200"/>
        <w:rPr>
          <w:rFonts w:hint="default" w:eastAsia="宋体"/>
          <w:lang w:val="en-US" w:eastAsia="zh-CN"/>
        </w:rPr>
      </w:pPr>
      <w:r>
        <w:rPr>
          <w:rFonts w:hint="eastAsia" w:ascii="宋体" w:hAnsi="宋体" w:eastAsia="宋体" w:cs="Times New Roman"/>
          <w:b w:val="0"/>
          <w:bCs w:val="0"/>
          <w:color w:val="auto"/>
          <w:szCs w:val="21"/>
          <w:lang w:val="en-US" w:eastAsia="zh-CN"/>
        </w:rPr>
        <w:t>成交供应商选派一名具有执业资质的工作人员驻场项目地址，对合同期内</w:t>
      </w:r>
      <w:r>
        <w:rPr>
          <w:rFonts w:hint="eastAsia" w:ascii="宋体" w:hAnsi="宋体" w:eastAsia="宋体" w:cs="Times New Roman"/>
          <w:b w:val="0"/>
          <w:bCs w:val="0"/>
          <w:color w:val="auto"/>
          <w:szCs w:val="21"/>
        </w:rPr>
        <w:t>就业补助资金申领资料、审核结果、资格符合情况进行</w:t>
      </w:r>
      <w:r>
        <w:rPr>
          <w:rFonts w:hint="eastAsia" w:ascii="宋体" w:hAnsi="宋体" w:eastAsia="宋体" w:cs="Times New Roman"/>
          <w:b w:val="0"/>
          <w:bCs w:val="0"/>
          <w:color w:val="auto"/>
          <w:szCs w:val="21"/>
          <w:lang w:val="en-US" w:eastAsia="zh-CN"/>
        </w:rPr>
        <w:t>核</w:t>
      </w:r>
      <w:r>
        <w:rPr>
          <w:rFonts w:hint="eastAsia" w:ascii="宋体" w:hAnsi="宋体" w:eastAsia="宋体" w:cs="Times New Roman"/>
          <w:b w:val="0"/>
          <w:bCs w:val="0"/>
          <w:color w:val="auto"/>
          <w:szCs w:val="21"/>
        </w:rPr>
        <w:t>查；</w:t>
      </w:r>
      <w:r>
        <w:rPr>
          <w:rFonts w:hint="eastAsia" w:ascii="宋体" w:hAnsi="宋体" w:eastAsia="宋体" w:cs="Times New Roman"/>
          <w:b w:val="0"/>
          <w:bCs w:val="0"/>
          <w:color w:val="auto"/>
          <w:szCs w:val="21"/>
          <w:lang w:val="en-US" w:eastAsia="zh-CN"/>
        </w:rPr>
        <w:t>并根据实际业务情况对合同期内受补贴企业开展上门现场核查。</w:t>
      </w:r>
    </w:p>
    <w:p>
      <w:pPr>
        <w:widowControl w:val="0"/>
        <w:numPr>
          <w:ilvl w:val="0"/>
          <w:numId w:val="1"/>
        </w:numPr>
        <w:snapToGrid w:val="0"/>
        <w:spacing w:line="360" w:lineRule="auto"/>
        <w:ind w:leftChars="0"/>
        <w:jc w:val="both"/>
        <w:rPr>
          <w:rFonts w:hint="eastAsia" w:ascii="宋体" w:hAnsi="宋体" w:eastAsia="宋体" w:cs="Times New Roman"/>
          <w:b/>
          <w:bCs/>
          <w:color w:val="auto"/>
          <w:szCs w:val="21"/>
          <w:lang w:val="en-US" w:eastAsia="zh-CN"/>
        </w:rPr>
      </w:pPr>
      <w:r>
        <w:rPr>
          <w:rFonts w:hint="eastAsia" w:ascii="宋体" w:hAnsi="宋体" w:eastAsia="宋体" w:cs="Times New Roman"/>
          <w:b/>
          <w:kern w:val="2"/>
          <w:sz w:val="28"/>
          <w:szCs w:val="36"/>
          <w:lang w:val="en-US" w:eastAsia="zh-CN" w:bidi="ar-SA"/>
        </w:rPr>
        <w:t>项目要求</w:t>
      </w:r>
    </w:p>
    <w:p>
      <w:pPr>
        <w:widowControl w:val="0"/>
        <w:numPr>
          <w:numId w:val="0"/>
        </w:numPr>
        <w:snapToGrid w:val="0"/>
        <w:spacing w:line="360" w:lineRule="auto"/>
        <w:ind w:firstLine="422" w:firstLineChars="200"/>
        <w:jc w:val="both"/>
        <w:rPr>
          <w:rFonts w:hint="eastAsia" w:ascii="宋体" w:hAnsi="宋体" w:eastAsia="宋体" w:cs="Times New Roman"/>
          <w:b/>
          <w:bCs/>
          <w:color w:val="auto"/>
          <w:szCs w:val="21"/>
          <w:lang w:val="en-US" w:eastAsia="zh-CN"/>
        </w:rPr>
      </w:pPr>
      <w:r>
        <w:rPr>
          <w:rFonts w:hint="eastAsia" w:ascii="宋体" w:hAnsi="宋体" w:cs="Times New Roman"/>
          <w:b/>
          <w:bCs/>
          <w:color w:val="auto"/>
          <w:szCs w:val="21"/>
          <w:lang w:val="en-US" w:eastAsia="zh-CN"/>
        </w:rPr>
        <w:t>（一）</w:t>
      </w:r>
      <w:r>
        <w:rPr>
          <w:rFonts w:hint="eastAsia" w:ascii="宋体" w:hAnsi="宋体" w:eastAsia="宋体" w:cs="Times New Roman"/>
          <w:b/>
          <w:bCs/>
          <w:color w:val="auto"/>
          <w:szCs w:val="21"/>
          <w:lang w:val="en-US" w:eastAsia="zh-CN"/>
        </w:rPr>
        <w:t>检查依据：</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kern w:val="2"/>
          <w:sz w:val="21"/>
          <w:szCs w:val="21"/>
          <w:lang w:val="en-US" w:eastAsia="zh-CN" w:bidi="ar-SA"/>
        </w:rPr>
        <w:t>1.</w:t>
      </w:r>
      <w:r>
        <w:rPr>
          <w:rFonts w:hint="default" w:ascii="宋体" w:hAnsi="宋体" w:eastAsia="宋体" w:cs="Times New Roman"/>
          <w:b w:val="0"/>
          <w:bCs w:val="0"/>
          <w:color w:val="auto"/>
          <w:szCs w:val="21"/>
          <w:lang w:val="en-US" w:eastAsia="zh-CN"/>
        </w:rPr>
        <w:t>《财政部 人力资源社会保障部关于印发〈就业补助资金管理办法〉的通知》（财社〔2017〕164号）；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2.《</w:t>
      </w:r>
      <w:r>
        <w:rPr>
          <w:rFonts w:hint="default" w:ascii="宋体" w:hAnsi="宋体" w:eastAsia="宋体" w:cs="Times New Roman"/>
          <w:b w:val="0"/>
          <w:bCs w:val="0"/>
          <w:color w:val="auto"/>
          <w:kern w:val="2"/>
          <w:sz w:val="21"/>
          <w:szCs w:val="21"/>
          <w:lang w:val="en-US" w:eastAsia="zh-CN" w:bidi="ar-SA"/>
        </w:rPr>
        <w:t>广东省人力资源和社会保障厅 广东省财政厅</w:t>
      </w:r>
      <w:r>
        <w:rPr>
          <w:rFonts w:hint="eastAsia" w:ascii="宋体" w:hAnsi="宋体" w:cs="Times New Roman"/>
          <w:b w:val="0"/>
          <w:bCs w:val="0"/>
          <w:color w:val="auto"/>
          <w:kern w:val="2"/>
          <w:sz w:val="21"/>
          <w:szCs w:val="21"/>
          <w:lang w:val="en-US" w:eastAsia="zh-CN" w:bidi="ar-SA"/>
        </w:rPr>
        <w:t>关于印发广东省职业技能培训补贴（指导）标准目录（2025年版）的通知》（粤人社发〔2025〕5号）</w:t>
      </w:r>
      <w:r>
        <w:rPr>
          <w:rFonts w:hint="default" w:ascii="宋体" w:hAnsi="宋体" w:eastAsia="宋体" w:cs="Times New Roman"/>
          <w:b w:val="0"/>
          <w:bCs w:val="0"/>
          <w:color w:val="auto"/>
          <w:kern w:val="2"/>
          <w:sz w:val="21"/>
          <w:szCs w:val="21"/>
          <w:lang w:val="en-US" w:eastAsia="zh-CN" w:bidi="ar-SA"/>
        </w:rPr>
        <w:t>；</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3.《</w:t>
      </w:r>
      <w:r>
        <w:rPr>
          <w:rFonts w:hint="default" w:ascii="宋体" w:hAnsi="宋体" w:eastAsia="宋体" w:cs="Times New Roman"/>
          <w:b w:val="0"/>
          <w:bCs w:val="0"/>
          <w:color w:val="auto"/>
          <w:kern w:val="2"/>
          <w:sz w:val="21"/>
          <w:szCs w:val="21"/>
          <w:lang w:val="en-US" w:eastAsia="zh-CN" w:bidi="ar-SA"/>
        </w:rPr>
        <w:t>广东省人力资源和社会保障厅 广东省财政厅</w:t>
      </w:r>
      <w:r>
        <w:rPr>
          <w:rFonts w:hint="eastAsia" w:ascii="宋体" w:hAnsi="宋体" w:cs="Times New Roman"/>
          <w:b w:val="0"/>
          <w:bCs w:val="0"/>
          <w:color w:val="auto"/>
          <w:kern w:val="2"/>
          <w:sz w:val="21"/>
          <w:szCs w:val="21"/>
          <w:lang w:val="en-US" w:eastAsia="zh-CN" w:bidi="ar-SA"/>
        </w:rPr>
        <w:t>关于印发</w:t>
      </w:r>
      <w:r>
        <w:rPr>
          <w:rFonts w:hint="default" w:ascii="宋体" w:hAnsi="宋体" w:eastAsia="宋体" w:cs="Times New Roman"/>
          <w:b w:val="0"/>
          <w:bCs w:val="0"/>
          <w:color w:val="auto"/>
          <w:kern w:val="2"/>
          <w:sz w:val="21"/>
          <w:szCs w:val="21"/>
          <w:lang w:val="en-US" w:eastAsia="zh-CN" w:bidi="ar-SA"/>
        </w:rPr>
        <w:t>广东省职业技能培训补贴管理办法</w:t>
      </w:r>
      <w:r>
        <w:rPr>
          <w:rFonts w:hint="eastAsia" w:ascii="宋体" w:hAnsi="宋体" w:cs="Times New Roman"/>
          <w:b w:val="0"/>
          <w:bCs w:val="0"/>
          <w:color w:val="auto"/>
          <w:kern w:val="2"/>
          <w:sz w:val="21"/>
          <w:szCs w:val="21"/>
          <w:lang w:val="en-US" w:eastAsia="zh-CN" w:bidi="ar-SA"/>
        </w:rPr>
        <w:t>的通知》</w:t>
      </w:r>
      <w:r>
        <w:rPr>
          <w:rFonts w:hint="default" w:ascii="宋体" w:hAnsi="宋体" w:eastAsia="宋体" w:cs="Times New Roman"/>
          <w:b w:val="0"/>
          <w:bCs w:val="0"/>
          <w:color w:val="auto"/>
          <w:kern w:val="2"/>
          <w:sz w:val="21"/>
          <w:szCs w:val="21"/>
          <w:lang w:val="en-US" w:eastAsia="zh-CN" w:bidi="ar-SA"/>
        </w:rPr>
        <w:t>（粤人社规（2023）13号）</w:t>
      </w:r>
      <w:r>
        <w:rPr>
          <w:rFonts w:hint="eastAsia" w:ascii="宋体" w:hAnsi="宋体" w:cs="Times New Roman"/>
          <w:b w:val="0"/>
          <w:bCs w:val="0"/>
          <w:color w:val="auto"/>
          <w:kern w:val="2"/>
          <w:sz w:val="21"/>
          <w:szCs w:val="21"/>
          <w:lang w:val="en-US" w:eastAsia="zh-CN" w:bidi="ar-SA"/>
        </w:rPr>
        <w:t>；</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4.</w:t>
      </w:r>
      <w:r>
        <w:rPr>
          <w:rFonts w:hint="default" w:ascii="宋体" w:hAnsi="宋体" w:eastAsia="宋体" w:cs="Times New Roman"/>
          <w:b w:val="0"/>
          <w:bCs w:val="0"/>
          <w:color w:val="auto"/>
          <w:kern w:val="2"/>
          <w:sz w:val="21"/>
          <w:szCs w:val="21"/>
          <w:lang w:val="en-US" w:eastAsia="zh-CN" w:bidi="ar-SA"/>
        </w:rPr>
        <w:t>《广州市人力资源和社会保障局 广州市财政局关于印发&lt;广州市就业补助资金使用管理办法&gt;的通知》（穗人社规字〔2019〕1号）；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5.</w:t>
      </w:r>
      <w:r>
        <w:rPr>
          <w:rFonts w:hint="default" w:ascii="宋体" w:hAnsi="宋体" w:eastAsia="宋体" w:cs="Times New Roman"/>
          <w:b w:val="0"/>
          <w:bCs w:val="0"/>
          <w:color w:val="auto"/>
          <w:kern w:val="2"/>
          <w:sz w:val="21"/>
          <w:szCs w:val="21"/>
          <w:lang w:val="en-US" w:eastAsia="zh-CN" w:bidi="ar-SA"/>
        </w:rPr>
        <w:t>《广州市人力资源和社会保障局关于明确促进就业政策项目办理程序的通知》（穗人社规字〔2019〕3号）；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6.</w:t>
      </w:r>
      <w:r>
        <w:rPr>
          <w:rFonts w:hint="default" w:ascii="宋体" w:hAnsi="宋体" w:eastAsia="宋体" w:cs="Times New Roman"/>
          <w:b w:val="0"/>
          <w:bCs w:val="0"/>
          <w:color w:val="auto"/>
          <w:kern w:val="2"/>
          <w:sz w:val="21"/>
          <w:szCs w:val="21"/>
          <w:lang w:val="en-US" w:eastAsia="zh-CN" w:bidi="ar-SA"/>
        </w:rPr>
        <w:t>《广州市人力资源和社会保障局关于印发&lt;广州市进一步稳定和促进就业创业若干补贴办事指南&gt;的通知》（穗人社函〔2020〕73号）；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7.</w:t>
      </w:r>
      <w:r>
        <w:rPr>
          <w:rFonts w:hint="default" w:ascii="宋体" w:hAnsi="宋体" w:eastAsia="宋体" w:cs="Times New Roman"/>
          <w:b w:val="0"/>
          <w:bCs w:val="0"/>
          <w:color w:val="auto"/>
          <w:kern w:val="2"/>
          <w:sz w:val="21"/>
          <w:szCs w:val="21"/>
          <w:lang w:val="en-US" w:eastAsia="zh-CN" w:bidi="ar-SA"/>
        </w:rPr>
        <w:t>《广州市人力资源和社会保障局 广州市财政局关于进一步规范和优化就业补助资金使用管理的通知》（穗人社规字〔2020〕7号）；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8.</w:t>
      </w:r>
      <w:r>
        <w:rPr>
          <w:rFonts w:hint="default" w:ascii="宋体" w:hAnsi="宋体" w:eastAsia="宋体" w:cs="Times New Roman"/>
          <w:b w:val="0"/>
          <w:bCs w:val="0"/>
          <w:color w:val="auto"/>
          <w:kern w:val="2"/>
          <w:sz w:val="21"/>
          <w:szCs w:val="21"/>
          <w:lang w:val="en-US" w:eastAsia="zh-CN" w:bidi="ar-SA"/>
        </w:rPr>
        <w:t>《广州市人民政府转发〈广东省人民政府关于印发广东省进一步稳定和促进就业若干政策措施的通知〉》（穗府规〔2020〕3号）；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9.</w:t>
      </w:r>
      <w:r>
        <w:rPr>
          <w:rFonts w:hint="default" w:ascii="宋体" w:hAnsi="宋体" w:eastAsia="宋体" w:cs="Times New Roman"/>
          <w:b w:val="0"/>
          <w:bCs w:val="0"/>
          <w:color w:val="auto"/>
          <w:kern w:val="2"/>
          <w:sz w:val="21"/>
          <w:szCs w:val="21"/>
          <w:lang w:val="en-US" w:eastAsia="zh-CN" w:bidi="ar-SA"/>
        </w:rPr>
        <w:t>《广东省人力资源和社会保障厅 广东省财政厅关于印发&lt;广东省就业创业补贴申请办理指导清单（2021年修订版）&gt;的通知》（粤人社规〔2021〕12号）；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10.</w:t>
      </w:r>
      <w:r>
        <w:rPr>
          <w:rFonts w:hint="default" w:ascii="宋体" w:hAnsi="宋体" w:eastAsia="宋体" w:cs="Times New Roman"/>
          <w:b w:val="0"/>
          <w:bCs w:val="0"/>
          <w:color w:val="auto"/>
          <w:kern w:val="2"/>
          <w:sz w:val="21"/>
          <w:szCs w:val="21"/>
          <w:lang w:val="en-US" w:eastAsia="zh-CN" w:bidi="ar-SA"/>
        </w:rPr>
        <w:t>《广州市人力资源和社会保障局 广州市财政局关于印发〈广州市就业创业补贴申请办理指导清单（修订版）的通知〉》（穗人社规字〔2022〕1号）；</w:t>
      </w:r>
    </w:p>
    <w:p>
      <w:pPr>
        <w:numPr>
          <w:ilvl w:val="0"/>
          <w:numId w:val="0"/>
        </w:numPr>
        <w:snapToGrid w:val="0"/>
        <w:spacing w:line="360" w:lineRule="auto"/>
        <w:ind w:left="0" w:leftChars="0" w:firstLine="420" w:firstLineChars="0"/>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11.</w:t>
      </w:r>
      <w:r>
        <w:rPr>
          <w:rFonts w:hint="default" w:ascii="宋体" w:hAnsi="宋体" w:eastAsia="宋体" w:cs="Times New Roman"/>
          <w:b w:val="0"/>
          <w:bCs w:val="0"/>
          <w:color w:val="auto"/>
          <w:kern w:val="2"/>
          <w:sz w:val="21"/>
          <w:szCs w:val="21"/>
          <w:lang w:val="en-US" w:eastAsia="zh-CN" w:bidi="ar-SA"/>
        </w:rPr>
        <w:t>其它就业补贴资金相关政策文件。</w:t>
      </w:r>
    </w:p>
    <w:p>
      <w:pPr>
        <w:pStyle w:val="2"/>
        <w:rPr>
          <w:rFonts w:hint="default"/>
          <w:lang w:val="en-US" w:eastAsia="zh-CN"/>
        </w:rPr>
      </w:pPr>
      <w:r>
        <w:rPr>
          <w:rFonts w:hint="eastAsia" w:ascii="宋体" w:hAnsi="宋体" w:cs="Times New Roman"/>
          <w:b w:val="0"/>
          <w:bCs w:val="0"/>
          <w:color w:val="auto"/>
          <w:kern w:val="2"/>
          <w:sz w:val="21"/>
          <w:szCs w:val="21"/>
          <w:lang w:val="en-US" w:eastAsia="zh-CN" w:bidi="ar-SA"/>
        </w:rPr>
        <w:t>具体文件依据以审计开展时为准。</w:t>
      </w:r>
    </w:p>
    <w:p>
      <w:pPr>
        <w:snapToGrid w:val="0"/>
        <w:spacing w:line="360" w:lineRule="auto"/>
        <w:ind w:firstLine="422" w:firstLineChars="200"/>
        <w:rPr>
          <w:rFonts w:hint="eastAsia" w:ascii="宋体" w:hAnsi="宋体" w:eastAsia="宋体" w:cs="Times New Roman"/>
          <w:b/>
          <w:bCs/>
          <w:color w:val="auto"/>
          <w:szCs w:val="21"/>
          <w:lang w:val="en-US" w:eastAsia="zh-CN"/>
        </w:rPr>
      </w:pPr>
      <w:r>
        <w:rPr>
          <w:rFonts w:hint="eastAsia" w:ascii="宋体" w:hAnsi="宋体" w:cs="Times New Roman"/>
          <w:b/>
          <w:bCs/>
          <w:color w:val="auto"/>
          <w:szCs w:val="21"/>
          <w:lang w:val="en-US" w:eastAsia="zh-CN"/>
        </w:rPr>
        <w:t>（二）</w:t>
      </w:r>
      <w:r>
        <w:rPr>
          <w:rFonts w:hint="eastAsia" w:ascii="宋体" w:hAnsi="宋体" w:eastAsia="宋体" w:cs="Times New Roman"/>
          <w:b/>
          <w:bCs/>
          <w:color w:val="auto"/>
          <w:szCs w:val="21"/>
          <w:lang w:val="en-US" w:eastAsia="zh-CN"/>
        </w:rPr>
        <w:t>检查内容</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1.</w:t>
      </w:r>
      <w:r>
        <w:rPr>
          <w:rFonts w:hint="default" w:ascii="宋体" w:hAnsi="宋体" w:eastAsia="宋体" w:cs="Times New Roman"/>
          <w:b w:val="0"/>
          <w:bCs w:val="0"/>
          <w:color w:val="auto"/>
          <w:szCs w:val="21"/>
          <w:lang w:val="en-US" w:eastAsia="zh-CN"/>
        </w:rPr>
        <w:t>检查业务受理流程</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检查业务受理单位是否依照相关规定做好申请受理、资料审核、复查审核、公开公示等程序。各环节的主管部门是否积极履行其职责，开展工作的时效性与严谨性是否达到要求。核对就业补助资金是否及时足额发放至指定单位或个人账户，是否存在迟发、多发、少发、漏发的现象。</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2.</w:t>
      </w:r>
      <w:r>
        <w:rPr>
          <w:rFonts w:hint="default" w:ascii="宋体" w:hAnsi="宋体" w:eastAsia="宋体" w:cs="Times New Roman"/>
          <w:b w:val="0"/>
          <w:bCs w:val="0"/>
          <w:color w:val="auto"/>
          <w:szCs w:val="21"/>
          <w:lang w:val="en-US" w:eastAsia="zh-CN"/>
        </w:rPr>
        <w:t>检查申报材料</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检查申领单位是否严格按照相关规定提交申报材料。受理单位是否严把审核关，重点狠抓申报材料的真实性、完整性，确保申请材料完整有效。是否灵活方式核实申请企业信息，对受理材料的真实性和完整性进行初审。对材料与就业登记信息、社保投保信息进行比对，并对具体补贴对象的身份信息（就业困难人员、高校毕业生、退役军人等身份）进行核实。</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3.</w:t>
      </w:r>
      <w:r>
        <w:rPr>
          <w:rFonts w:hint="default" w:ascii="宋体" w:hAnsi="宋体" w:eastAsia="宋体" w:cs="Times New Roman"/>
          <w:b w:val="0"/>
          <w:bCs w:val="0"/>
          <w:color w:val="auto"/>
          <w:szCs w:val="21"/>
          <w:lang w:val="en-US" w:eastAsia="zh-CN"/>
        </w:rPr>
        <w:t>检查资金全流程内部控制管理监管合规情况</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要求</w:t>
      </w: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以专业角度检查</w:t>
      </w:r>
      <w:r>
        <w:rPr>
          <w:rFonts w:hint="eastAsia" w:ascii="宋体" w:hAnsi="宋体" w:eastAsia="宋体" w:cs="Times New Roman"/>
          <w:b w:val="0"/>
          <w:bCs w:val="0"/>
          <w:color w:val="auto"/>
          <w:szCs w:val="21"/>
          <w:lang w:val="en-US" w:eastAsia="zh-CN"/>
        </w:rPr>
        <w:t>荔湾区</w:t>
      </w:r>
      <w:r>
        <w:rPr>
          <w:rFonts w:hint="default" w:ascii="宋体" w:hAnsi="宋体" w:eastAsia="宋体" w:cs="Times New Roman"/>
          <w:b w:val="0"/>
          <w:bCs w:val="0"/>
          <w:color w:val="auto"/>
          <w:szCs w:val="21"/>
          <w:lang w:val="en-US" w:eastAsia="zh-CN"/>
        </w:rPr>
        <w:t>资金全流程内部控制管理监管合规情况；检查</w:t>
      </w:r>
      <w:r>
        <w:rPr>
          <w:rFonts w:hint="eastAsia" w:ascii="宋体" w:hAnsi="宋体" w:eastAsia="宋体" w:cs="Times New Roman"/>
          <w:b w:val="0"/>
          <w:bCs w:val="0"/>
          <w:color w:val="auto"/>
          <w:szCs w:val="21"/>
          <w:lang w:val="en-US" w:eastAsia="zh-CN"/>
        </w:rPr>
        <w:t>荔湾</w:t>
      </w:r>
      <w:r>
        <w:rPr>
          <w:rFonts w:hint="default" w:ascii="宋体" w:hAnsi="宋体" w:eastAsia="宋体" w:cs="Times New Roman"/>
          <w:b w:val="0"/>
          <w:bCs w:val="0"/>
          <w:color w:val="auto"/>
          <w:szCs w:val="21"/>
          <w:lang w:val="en-US" w:eastAsia="zh-CN"/>
        </w:rPr>
        <w:t>区人社局及下属单位就业资金内控、资金监管合规情况。并在审计报告出具内控、资金监管现状是否合规，存在问题，审计建议等。</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4.</w:t>
      </w:r>
      <w:r>
        <w:rPr>
          <w:rFonts w:hint="default" w:ascii="宋体" w:hAnsi="宋体" w:eastAsia="宋体" w:cs="Times New Roman"/>
          <w:b w:val="0"/>
          <w:bCs w:val="0"/>
          <w:color w:val="auto"/>
          <w:szCs w:val="21"/>
          <w:lang w:val="en-US" w:eastAsia="zh-CN"/>
        </w:rPr>
        <w:t>检查荔湾区使用就业补助资金各项目合规情况</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要求</w:t>
      </w: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以专业角度检查2024年度</w:t>
      </w:r>
      <w:r>
        <w:rPr>
          <w:rFonts w:hint="eastAsia" w:ascii="宋体" w:hAnsi="宋体" w:eastAsia="宋体" w:cs="Times New Roman"/>
          <w:b w:val="0"/>
          <w:bCs w:val="0"/>
          <w:color w:val="auto"/>
          <w:szCs w:val="21"/>
          <w:lang w:val="en-US" w:eastAsia="zh-CN"/>
        </w:rPr>
        <w:t>及2025年度</w:t>
      </w:r>
      <w:r>
        <w:rPr>
          <w:rFonts w:hint="default" w:ascii="宋体" w:hAnsi="宋体" w:eastAsia="宋体" w:cs="Times New Roman"/>
          <w:b w:val="0"/>
          <w:bCs w:val="0"/>
          <w:color w:val="auto"/>
          <w:szCs w:val="21"/>
          <w:lang w:val="en-US" w:eastAsia="zh-CN"/>
        </w:rPr>
        <w:t>荔湾区使用就业补助资金政府购买服务项目是否符合文件规定以及就业补助资金使用规定，如“绿马甲”就业服务项目及就业驿站项目、广州市荔湾区就业失业动态监测项目、羊城家政基层服务站建设经费等项目。检查2024年度</w:t>
      </w:r>
      <w:r>
        <w:rPr>
          <w:rFonts w:hint="eastAsia" w:ascii="宋体" w:hAnsi="宋体" w:eastAsia="宋体" w:cs="Times New Roman"/>
          <w:b w:val="0"/>
          <w:bCs w:val="0"/>
          <w:color w:val="auto"/>
          <w:szCs w:val="21"/>
          <w:lang w:val="en-US" w:eastAsia="zh-CN"/>
        </w:rPr>
        <w:t>及2025年度</w:t>
      </w:r>
      <w:r>
        <w:rPr>
          <w:rFonts w:hint="default" w:ascii="宋体" w:hAnsi="宋体" w:eastAsia="宋体" w:cs="Times New Roman"/>
          <w:b w:val="0"/>
          <w:bCs w:val="0"/>
          <w:color w:val="auto"/>
          <w:szCs w:val="21"/>
          <w:lang w:val="en-US" w:eastAsia="zh-CN"/>
        </w:rPr>
        <w:t>公共就业服务岗位补贴各单位工资发放情况、明细是否符合文件规定以及就业补助资金使用规定。</w:t>
      </w:r>
      <w:r>
        <w:rPr>
          <w:rFonts w:hint="eastAsia" w:ascii="宋体" w:hAnsi="宋体" w:eastAsia="宋体" w:cs="Times New Roman"/>
          <w:b w:val="0"/>
          <w:bCs w:val="0"/>
          <w:color w:val="auto"/>
          <w:szCs w:val="21"/>
          <w:lang w:val="en-US" w:eastAsia="zh-CN"/>
        </w:rPr>
        <w:t>具体项目以实际发生为准。</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5.</w:t>
      </w:r>
      <w:r>
        <w:rPr>
          <w:rFonts w:hint="default" w:ascii="宋体" w:hAnsi="宋体" w:eastAsia="宋体" w:cs="Times New Roman"/>
          <w:b w:val="0"/>
          <w:bCs w:val="0"/>
          <w:color w:val="auto"/>
          <w:szCs w:val="21"/>
          <w:lang w:val="en-US" w:eastAsia="zh-CN"/>
        </w:rPr>
        <w:t>现场检查企业资料</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采购人</w:t>
      </w:r>
      <w:r>
        <w:rPr>
          <w:rFonts w:hint="default" w:ascii="宋体" w:hAnsi="宋体" w:eastAsia="宋体" w:cs="Times New Roman"/>
          <w:b w:val="0"/>
          <w:bCs w:val="0"/>
          <w:color w:val="auto"/>
          <w:szCs w:val="21"/>
          <w:lang w:val="en-US" w:eastAsia="zh-CN"/>
        </w:rPr>
        <w:t>抽取部分享受就业补贴的企业单位，</w:t>
      </w:r>
      <w:r>
        <w:rPr>
          <w:rFonts w:hint="eastAsia" w:ascii="宋体" w:hAnsi="宋体" w:eastAsia="宋体" w:cs="Times New Roman"/>
          <w:b w:val="0"/>
          <w:bCs w:val="0"/>
          <w:color w:val="auto"/>
          <w:szCs w:val="21"/>
          <w:lang w:val="en-US" w:eastAsia="zh-CN"/>
        </w:rPr>
        <w:t>由成交供应商</w:t>
      </w:r>
      <w:r>
        <w:rPr>
          <w:rFonts w:hint="default" w:ascii="宋体" w:hAnsi="宋体" w:eastAsia="宋体" w:cs="Times New Roman"/>
          <w:b w:val="0"/>
          <w:bCs w:val="0"/>
          <w:color w:val="auto"/>
          <w:szCs w:val="21"/>
          <w:lang w:val="en-US" w:eastAsia="zh-CN"/>
        </w:rPr>
        <w:t>进行现场核查。检查企业运作情况，核实补贴地址与企业实际办公地址是否一致。申请创业带动就业补贴与招用类补贴的员工是否真实任职，是否存在空挂职位的情况，企业是否存在套取补贴资金的情况。是否存在任用人员情况与企业实际经营状况不相符的情况。</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检查内容主要包括:①通过核查企业营业执照登记信息、商事登记信息等，对就业补助资金补贴领取对象资料进行核实;②核查就业补助资金补贴领取对象申领材料真实性和完整性，例如劳动合同、员工名册、社保清单、工资单等;③通过检查就业补助资金使用账，如:凭证和账薄、资金分配和去向，了解资金使用情况。</w:t>
      </w:r>
    </w:p>
    <w:p>
      <w:pPr>
        <w:numPr>
          <w:ilvl w:val="0"/>
          <w:numId w:val="0"/>
        </w:numPr>
        <w:snapToGrid w:val="0"/>
        <w:spacing w:line="360" w:lineRule="auto"/>
        <w:ind w:left="216" w:leftChars="103" w:firstLine="201" w:firstLineChars="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6.</w:t>
      </w:r>
      <w:r>
        <w:rPr>
          <w:rFonts w:hint="default" w:ascii="宋体" w:hAnsi="宋体" w:eastAsia="宋体" w:cs="Times New Roman"/>
          <w:b w:val="0"/>
          <w:bCs w:val="0"/>
          <w:color w:val="auto"/>
          <w:szCs w:val="21"/>
          <w:lang w:val="en-US" w:eastAsia="zh-CN"/>
        </w:rPr>
        <w:t>检查个人申领情况</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在检查现场检查企业同时通过电话回访或访谈调查的形式，调查企业</w:t>
      </w:r>
      <w:bookmarkStart w:id="0" w:name="_GoBack"/>
      <w:bookmarkEnd w:id="0"/>
      <w:r>
        <w:rPr>
          <w:rFonts w:hint="default" w:ascii="宋体" w:hAnsi="宋体" w:eastAsia="宋体" w:cs="Times New Roman"/>
          <w:b w:val="0"/>
          <w:bCs w:val="0"/>
          <w:color w:val="auto"/>
          <w:szCs w:val="21"/>
          <w:lang w:val="en-US" w:eastAsia="zh-CN"/>
        </w:rPr>
        <w:t>内享受就业补助资金的就业困难人员情况是否属实。如发现个人陈述状况与申请材料不相符的，应查明差异原因，调查是否存在错报、误报、材料造假等违规情况。</w:t>
      </w:r>
    </w:p>
    <w:p>
      <w:pPr>
        <w:numPr>
          <w:ilvl w:val="0"/>
          <w:numId w:val="2"/>
        </w:numPr>
        <w:snapToGrid w:val="0"/>
        <w:spacing w:line="360" w:lineRule="auto"/>
        <w:ind w:left="216" w:leftChars="103" w:firstLine="413" w:firstLineChars="196"/>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检查流程</w:t>
      </w:r>
    </w:p>
    <w:p>
      <w:pPr>
        <w:numPr>
          <w:ilvl w:val="0"/>
          <w:numId w:val="0"/>
        </w:numPr>
        <w:snapToGrid w:val="0"/>
        <w:spacing w:line="360" w:lineRule="auto"/>
        <w:ind w:left="216" w:leftChars="103" w:firstLine="413" w:firstLineChars="196"/>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1.工作小组安排</w:t>
      </w:r>
    </w:p>
    <w:p>
      <w:pPr>
        <w:numPr>
          <w:ilvl w:val="0"/>
          <w:numId w:val="0"/>
        </w:numPr>
        <w:snapToGrid w:val="0"/>
        <w:spacing w:line="360" w:lineRule="auto"/>
        <w:ind w:left="216" w:leftChars="103" w:firstLine="413" w:firstLineChars="196"/>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成交供应商须安排工作组，工作组驻场时间与就业、职建中心工作时间相同，每日驻场至项目结束。工作组人数不少于三人（其中一人常驻项目地址），并必须包含一名经验丰富的项目负责人（需有中级或中级以上审计师技术职称）和一名工作人员（需有初级或初级以上审计师技术职称）。</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eastAsia" w:ascii="宋体" w:hAnsi="宋体" w:cs="Times New Roman"/>
          <w:b w:val="0"/>
          <w:bCs w:val="0"/>
          <w:color w:val="auto"/>
          <w:szCs w:val="21"/>
          <w:lang w:val="en-US" w:eastAsia="zh-CN"/>
        </w:rPr>
        <w:t>2.</w:t>
      </w:r>
      <w:r>
        <w:rPr>
          <w:rFonts w:hint="default" w:ascii="宋体" w:hAnsi="宋体" w:eastAsia="宋体" w:cs="Times New Roman"/>
          <w:b w:val="0"/>
          <w:bCs w:val="0"/>
          <w:color w:val="auto"/>
          <w:szCs w:val="21"/>
          <w:lang w:val="en-US" w:eastAsia="zh-CN"/>
        </w:rPr>
        <w:t>现场检查</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组织检查组前往就业补助资金申领企业检查其真实运营情况，对存在实际情况与申报材料不相符的企业进行重点核查。对受惠企业现场调查受众群体的就业情况，收取证明材料，形成检查情况登记表（详见附件3）。如发现受惠企业经营状况存在异常或涉嫌套取补贴资金的情况，</w:t>
      </w:r>
      <w:r>
        <w:rPr>
          <w:rFonts w:hint="eastAsia" w:ascii="宋体" w:hAnsi="宋体" w:eastAsia="宋体" w:cs="Times New Roman"/>
          <w:b w:val="0"/>
          <w:bCs w:val="0"/>
          <w:color w:val="auto"/>
          <w:szCs w:val="21"/>
          <w:lang w:val="en-US" w:eastAsia="zh-CN"/>
        </w:rPr>
        <w:t>成交供应商应</w:t>
      </w:r>
      <w:r>
        <w:rPr>
          <w:rFonts w:hint="default" w:ascii="宋体" w:hAnsi="宋体" w:eastAsia="宋体" w:cs="Times New Roman"/>
          <w:b w:val="0"/>
          <w:bCs w:val="0"/>
          <w:color w:val="auto"/>
          <w:szCs w:val="21"/>
          <w:lang w:val="en-US" w:eastAsia="zh-CN"/>
        </w:rPr>
        <w:t>及时向区就业服务中心、区职建中心汇报情况，提供调查证据，协助进一步调查。</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每次检查应由2名以上工作人员携带补贴申领表、补贴申领花名册等相应材料开展检查，检查后如实填写《荔湾区就业补助资金现场监督检查情况登记表》（附件3）。检查过程要求拍照记录检查场景（须有门牌号、公司招牌、办公场景，并且有一名工作人员入镜）、在岗情况、资料台账，必要时做好调查询问笔录（附件4）或进行录像录音。坚持资料检查为主，问询谈话为辅的原则，对无法按规定提供相关资料的申报单位和个人，应详细了解原因，限其于4个工作日内交至检查单位核查。</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检查内容主要包括:每次检查应重点检查企业的商事登记、员工的劳动合同、近6个月的考勤记录、工资台账（签收表等）、办公经营场地租赁合同（自有物业提供产权证明）、物业出租方收取租金证明、个税明细及经营情况等。纳入重点核查范围的单位和人员，在对其申领以劳动关系为基础要件的补贴项目开展检查时，应将劳动合同和工资支付凭证作为必查材料。并对检查过程做好台账登记和存档工作。</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在检查现场检查企业同时通过电话回访或访谈调查的形式，调查企业内享受就业补助资金的就业困难人员情况是否属实。如发现个人陈述状况与申请材料不相符的，应查明差异原因，调查是否存在错报、误报、材料造假等违规情况。</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default" w:ascii="宋体" w:hAnsi="宋体" w:eastAsia="宋体" w:cs="Times New Roman"/>
          <w:b w:val="0"/>
          <w:bCs w:val="0"/>
          <w:color w:val="auto"/>
          <w:szCs w:val="21"/>
          <w:lang w:val="en-US" w:eastAsia="zh-CN"/>
        </w:rPr>
        <w:t>如发现受惠企业经营状况存在异常或涉嫌套取补贴资金的情况，及时向区就业中心汇报情况，提供调查证据，协助进一步调查。</w:t>
      </w:r>
    </w:p>
    <w:p>
      <w:pPr>
        <w:numPr>
          <w:ilvl w:val="0"/>
          <w:numId w:val="0"/>
        </w:numPr>
        <w:snapToGrid w:val="0"/>
        <w:spacing w:line="360" w:lineRule="auto"/>
        <w:ind w:left="216" w:leftChars="103" w:firstLine="411" w:firstLineChars="196"/>
        <w:rPr>
          <w:rFonts w:hint="default" w:ascii="宋体" w:hAnsi="宋体" w:cs="Times New Roman"/>
          <w:b w:val="0"/>
          <w:bCs w:val="0"/>
          <w:color w:val="auto"/>
          <w:szCs w:val="21"/>
          <w:lang w:val="en-US" w:eastAsia="zh-CN"/>
        </w:rPr>
      </w:pPr>
      <w:r>
        <w:rPr>
          <w:rFonts w:hint="eastAsia" w:ascii="宋体" w:hAnsi="宋体" w:cs="Times New Roman"/>
          <w:b w:val="0"/>
          <w:bCs w:val="0"/>
          <w:color w:val="auto"/>
          <w:szCs w:val="21"/>
          <w:lang w:val="en-US" w:eastAsia="zh-CN"/>
        </w:rPr>
        <w:t>3.</w:t>
      </w:r>
      <w:r>
        <w:rPr>
          <w:rFonts w:hint="default" w:ascii="宋体" w:hAnsi="宋体" w:cs="Times New Roman"/>
          <w:b w:val="0"/>
          <w:bCs w:val="0"/>
          <w:color w:val="auto"/>
          <w:szCs w:val="21"/>
          <w:lang w:val="en-US" w:eastAsia="zh-CN"/>
        </w:rPr>
        <w:t>资料检查及报告出具要求</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对每一期受理的各类就业补助资金申请材料进行复核检查。区就业服务中心、区职建中心应在每项补贴受理期结束后，提供所有需要检查项目的就业系统受理情况汇总表，以及受理申请时收到的纸质资料。</w:t>
      </w:r>
    </w:p>
    <w:p>
      <w:pPr>
        <w:numPr>
          <w:ilvl w:val="0"/>
          <w:numId w:val="0"/>
        </w:numPr>
        <w:snapToGrid w:val="0"/>
        <w:spacing w:line="360" w:lineRule="auto"/>
        <w:ind w:left="216" w:leftChars="103" w:firstLine="411" w:firstLineChars="196"/>
        <w:rPr>
          <w:rFonts w:hint="default" w:ascii="宋体" w:hAnsi="宋体" w:eastAsia="宋体" w:cs="Times New Roman"/>
          <w:b w:val="0"/>
          <w:bCs w:val="0"/>
          <w:color w:val="auto"/>
          <w:szCs w:val="21"/>
          <w:lang w:val="en-US" w:eastAsia="zh-CN"/>
        </w:rPr>
        <w:sectPr>
          <w:pgSz w:w="11906" w:h="16838"/>
          <w:pgMar w:top="1984" w:right="1474" w:bottom="1871" w:left="1587" w:header="851" w:footer="992" w:gutter="0"/>
          <w:pgNumType w:fmt="decimal"/>
          <w:cols w:space="720" w:num="1"/>
          <w:docGrid w:type="lines" w:linePitch="318" w:charSpace="0"/>
        </w:sectPr>
      </w:pPr>
      <w:r>
        <w:rPr>
          <w:rFonts w:hint="default" w:ascii="宋体" w:hAnsi="宋体" w:eastAsia="宋体" w:cs="Times New Roman"/>
          <w:b w:val="0"/>
          <w:bCs w:val="0"/>
          <w:color w:val="auto"/>
          <w:szCs w:val="21"/>
          <w:lang w:val="en-US" w:eastAsia="zh-CN"/>
        </w:rPr>
        <w:t>在收到完整资料后，</w:t>
      </w: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检查组需要在15个工作日内完成资料检查。对全部已经通过复审的申请表格（纸质或电子版）、相关附件、证明材料进行全面检查，记录检查情况，形成检查记录。并根据各个补贴项目复核要求对申请企业或个人的工商登记信息、失业就业登记信息、毕业证信息以及居住证信息等进行核查，确保其符合相关补贴条件。并根据重点补贴项目风险防范指导清单（附件1）对相关风险进行防控，如发现材料存在错漏或不符合申请资格的情况，或者发现风险防控漏洞，及时整理汇总问题形成检查记录表，提出整改补充建议。</w:t>
      </w:r>
      <w:r>
        <w:rPr>
          <w:rFonts w:hint="eastAsia" w:ascii="宋体" w:hAnsi="宋体" w:eastAsia="宋体" w:cs="Times New Roman"/>
          <w:b w:val="0"/>
          <w:bCs w:val="0"/>
          <w:color w:val="auto"/>
          <w:szCs w:val="21"/>
          <w:lang w:val="en-US" w:eastAsia="zh-CN"/>
        </w:rPr>
        <w:t>成交供应商</w:t>
      </w:r>
      <w:r>
        <w:rPr>
          <w:rFonts w:hint="default" w:ascii="宋体" w:hAnsi="宋体" w:eastAsia="宋体" w:cs="Times New Roman"/>
          <w:b w:val="0"/>
          <w:bCs w:val="0"/>
          <w:color w:val="auto"/>
          <w:szCs w:val="21"/>
          <w:lang w:val="en-US" w:eastAsia="zh-CN"/>
        </w:rPr>
        <w:t>在每月完成资料复核与受惠企业现场检查后，整理汇总检查情况（附件5），编制检查记录表。每季度对当期检查结果进行汇总，并在季度结束后次月15日前出具季度监督检查报告。若区人社局、区就业服务中心、区职建中心需要接受上级检查或专项审计，将协助准备迎检材料，并提出整改建议，协助完成整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8BA21"/>
    <w:multiLevelType w:val="singleLevel"/>
    <w:tmpl w:val="13A8BA21"/>
    <w:lvl w:ilvl="0" w:tentative="0">
      <w:start w:val="3"/>
      <w:numFmt w:val="chineseCounting"/>
      <w:suff w:val="nothing"/>
      <w:lvlText w:val="（%1）"/>
      <w:lvlJc w:val="left"/>
      <w:rPr>
        <w:rFonts w:hint="eastAsia"/>
      </w:rPr>
    </w:lvl>
  </w:abstractNum>
  <w:abstractNum w:abstractNumId="1">
    <w:nsid w:val="5620F338"/>
    <w:multiLevelType w:val="singleLevel"/>
    <w:tmpl w:val="5620F33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860FD"/>
    <w:rsid w:val="171860FD"/>
    <w:rsid w:val="2A024CEF"/>
    <w:rsid w:val="4970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2025-05-16T09:08:00Z</dcterms:created>
  <dc:creator>阿尔卑斯</dc:creator>
  <cp:lastModifiedBy>阿尔卑斯</cp:lastModifiedBy>
  <cp:lastPrinted>2025-05-16T09:31:00Z</cp:lastPrinted>
  <dcterms:modified xsi:type="dcterms:W3CDTF">2025-05-19T01:22:10Z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79EB5D889CDD44DABC85089B9C7C3CD5</vt:lpwstr>
  </property>
</Properties>
</file>