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BE2AA">
      <w:pPr>
        <w:pStyle w:val="3"/>
        <w:spacing w:line="560" w:lineRule="exact"/>
        <w:jc w:val="left"/>
        <w:rPr>
          <w:rFonts w:hint="eastAsia" w:asciiTheme="majorEastAsia" w:hAnsiTheme="majorEastAsia" w:eastAsiaTheme="majorEastAsia" w:cstheme="majorEastAsia"/>
          <w:sz w:val="32"/>
          <w:szCs w:val="32"/>
          <w:lang w:val="en-US" w:eastAsia="zh-CN"/>
        </w:rPr>
      </w:pPr>
      <w:bookmarkStart w:id="5" w:name="_GoBack"/>
      <w:r>
        <w:rPr>
          <w:rFonts w:hint="eastAsia" w:asciiTheme="majorEastAsia" w:hAnsiTheme="majorEastAsia" w:eastAsiaTheme="majorEastAsia" w:cstheme="majorEastAsia"/>
          <w:sz w:val="32"/>
          <w:szCs w:val="32"/>
          <w:lang w:val="en-US" w:eastAsia="zh-CN"/>
        </w:rPr>
        <w:t>附件1</w:t>
      </w:r>
    </w:p>
    <w:bookmarkEnd w:id="5"/>
    <w:p w14:paraId="6EF7A132">
      <w:pPr>
        <w:pStyle w:val="3"/>
        <w:spacing w:line="560" w:lineRule="exact"/>
      </w:pPr>
    </w:p>
    <w:p w14:paraId="25BF9525">
      <w:pPr>
        <w:pStyle w:val="3"/>
        <w:spacing w:line="560" w:lineRule="exact"/>
      </w:pPr>
      <w:r>
        <w:t>广州市荔湾区产业投资基金管理办法</w:t>
      </w:r>
    </w:p>
    <w:p w14:paraId="3C6C6692">
      <w:pPr>
        <w:pStyle w:val="3"/>
        <w:spacing w:line="560" w:lineRule="exact"/>
        <w:rPr>
          <w:rFonts w:hint="default" w:eastAsia="方正小标宋简体"/>
          <w:lang w:eastAsia="zh-CN"/>
        </w:rPr>
      </w:pPr>
      <w:r>
        <w:rPr>
          <w:rFonts w:hint="default"/>
          <w:lang w:eastAsia="zh-CN"/>
        </w:rPr>
        <w:t>（</w:t>
      </w:r>
      <w:r>
        <w:rPr>
          <w:rFonts w:hint="default"/>
          <w:lang w:val="en-US" w:eastAsia="zh-CN"/>
        </w:rPr>
        <w:t>修订稿</w:t>
      </w:r>
      <w:r>
        <w:rPr>
          <w:rFonts w:hint="default"/>
          <w:lang w:eastAsia="zh-CN"/>
        </w:rPr>
        <w:t>）</w:t>
      </w:r>
    </w:p>
    <w:p w14:paraId="09FB39C8">
      <w:pPr>
        <w:pStyle w:val="2"/>
        <w:spacing w:before="0" w:line="560" w:lineRule="exact"/>
        <w:rPr>
          <w:rFonts w:ascii="方正小标宋简体"/>
          <w:sz w:val="33"/>
        </w:rPr>
      </w:pPr>
    </w:p>
    <w:p w14:paraId="170C7DAE">
      <w:pPr>
        <w:pStyle w:val="2"/>
        <w:spacing w:line="560" w:lineRule="exact"/>
        <w:ind w:left="351" w:right="671"/>
        <w:jc w:val="center"/>
        <w:rPr>
          <w:rFonts w:ascii="黑体"/>
        </w:rPr>
      </w:pPr>
      <w:r>
        <w:rPr>
          <w:rFonts w:hint="eastAsia" w:ascii="黑体" w:eastAsia="黑体"/>
        </w:rPr>
        <w:t>第一章</w:t>
      </w:r>
      <w:r>
        <w:rPr>
          <w:rFonts w:hint="eastAsia" w:ascii="黑体" w:eastAsia="黑体"/>
          <w:lang w:val="en-US" w:eastAsia="zh-CN"/>
        </w:rPr>
        <w:t xml:space="preserve">  </w:t>
      </w:r>
      <w:r>
        <w:rPr>
          <w:rFonts w:hint="eastAsia" w:ascii="黑体" w:eastAsia="黑体"/>
        </w:rPr>
        <w:t>总则</w:t>
      </w:r>
    </w:p>
    <w:p w14:paraId="774411F2">
      <w:pPr>
        <w:pStyle w:val="2"/>
        <w:spacing w:before="0" w:line="560" w:lineRule="exact"/>
        <w:rPr>
          <w:rFonts w:ascii="黑体"/>
          <w:sz w:val="26"/>
        </w:rPr>
      </w:pPr>
    </w:p>
    <w:p w14:paraId="535C39BC">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为充分发挥广州市荔湾区产业投资基金的集中扶持</w:t>
      </w:r>
      <w:r>
        <w:rPr>
          <w:spacing w:val="7"/>
        </w:rPr>
        <w:t>和产业引导作用，规范广州市荔湾区产业投资基金</w:t>
      </w:r>
      <w:r>
        <w:rPr>
          <w:spacing w:val="9"/>
        </w:rPr>
        <w:t>（</w:t>
      </w:r>
      <w:r>
        <w:rPr>
          <w:spacing w:val="6"/>
        </w:rPr>
        <w:t>以下简称“产业投资基金”）的管理与运作，加快构建现代化产业体系，</w:t>
      </w:r>
      <w:r>
        <w:rPr>
          <w:spacing w:val="-1"/>
        </w:rPr>
        <w:t>进一步促进荔湾区产业创新转型升级和高质量发展，依据《财政</w:t>
      </w:r>
      <w:r>
        <w:rPr>
          <w:spacing w:val="-18"/>
        </w:rPr>
        <w:t>部关于印发〈政府投资基金暂行管理办法〉的通知</w:t>
      </w:r>
      <w:r>
        <w:rPr>
          <w:spacing w:val="-238"/>
        </w:rPr>
        <w:t>》</w:t>
      </w:r>
      <w:r>
        <w:t>（</w:t>
      </w:r>
      <w:r>
        <w:rPr>
          <w:spacing w:val="-40"/>
        </w:rPr>
        <w:t>财预〔</w:t>
      </w:r>
      <w:r>
        <w:t>2015〕210</w:t>
      </w:r>
      <w:r>
        <w:rPr>
          <w:spacing w:val="-43"/>
        </w:rPr>
        <w:t>号</w:t>
      </w:r>
      <w:r>
        <w:rPr>
          <w:spacing w:val="-10"/>
        </w:rPr>
        <w:t>）</w:t>
      </w:r>
      <w:r>
        <w:rPr>
          <w:spacing w:val="-5"/>
        </w:rPr>
        <w:t>、《广州市财政局关于印发〈广州市政府投资基金管理办法〉的通知》</w:t>
      </w:r>
      <w:r>
        <w:t>（</w:t>
      </w:r>
      <w:r>
        <w:rPr>
          <w:spacing w:val="-2"/>
        </w:rPr>
        <w:t>穗财规字〔</w:t>
      </w:r>
      <w:r>
        <w:t>2020</w:t>
      </w:r>
      <w:r>
        <w:rPr>
          <w:spacing w:val="-3"/>
        </w:rPr>
        <w:t>〕</w:t>
      </w:r>
      <w:r>
        <w:t>2</w:t>
      </w:r>
      <w:r>
        <w:rPr>
          <w:spacing w:val="-43"/>
        </w:rPr>
        <w:t>号</w:t>
      </w:r>
      <w:r>
        <w:rPr>
          <w:spacing w:val="-3"/>
        </w:rPr>
        <w:t>）</w:t>
      </w:r>
      <w:r>
        <w:rPr>
          <w:spacing w:val="-2"/>
        </w:rPr>
        <w:t>等有关文件精神，结</w:t>
      </w:r>
      <w:r>
        <w:rPr>
          <w:spacing w:val="-12"/>
        </w:rPr>
        <w:t>合荔湾区实际，制定本办法。产业投资基金受托管理机构</w:t>
      </w:r>
      <w:r>
        <w:t>（以下</w:t>
      </w:r>
      <w:r>
        <w:rPr>
          <w:spacing w:val="-2"/>
        </w:rPr>
        <w:t>简称“受托管理机构”</w:t>
      </w:r>
      <w:r>
        <w:rPr>
          <w:spacing w:val="-11"/>
        </w:rPr>
        <w:t>）</w:t>
      </w:r>
      <w:r>
        <w:rPr>
          <w:spacing w:val="-10"/>
        </w:rPr>
        <w:t>的遴选、投资、监督、考核、退出等管理活动适用本办法。</w:t>
      </w:r>
    </w:p>
    <w:p w14:paraId="09E6F538">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本办法所称产业投资基金，是由区政府以财政性资</w:t>
      </w:r>
      <w:r>
        <w:rPr>
          <w:spacing w:val="-11"/>
        </w:rPr>
        <w:t>金出资发起设立，按照市场化方式运作，不以盈利为目的的政府</w:t>
      </w:r>
      <w:r>
        <w:rPr>
          <w:spacing w:val="-14"/>
        </w:rPr>
        <w:t>投资基金，带动社会资本优先投向现代都市工业及科技创新领域产业和项目，支持现代都市工业企业及科技创新企业发展壮大，推动荔湾区高质量发展。</w:t>
      </w:r>
    </w:p>
    <w:p w14:paraId="3792117A">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产业投资基金以有限合伙制形式设立，</w:t>
      </w:r>
      <w:r>
        <w:rPr>
          <w:rFonts w:hint="eastAsia"/>
          <w:lang w:val="en-US" w:eastAsia="zh-CN"/>
        </w:rPr>
        <w:t>基金目标规模为10亿元人民币，首期规模为5亿元，</w:t>
      </w:r>
      <w:r>
        <w:t>基金规模视年度预算安排和实际运作情况可予以调整。政府出资规</w:t>
      </w:r>
      <w:r>
        <w:rPr>
          <w:spacing w:val="-11"/>
        </w:rPr>
        <w:t>模经区政府预算安排，所需资金在区科工信局部门预算资金中安排，按程序增资到广州市荔湾发展集团有</w:t>
      </w:r>
      <w:r>
        <w:rPr>
          <w:spacing w:val="-14"/>
        </w:rPr>
        <w:t>限责任公司（以下简称“荔湾发展集团”），由荔湾发展集团作为有限合伙人与受托管理机构成立有限合伙企业（产业投资基金），荔湾发展集团以其认缴的出资金额为限对合伙企业债务承担责任，不执行合伙企业事务。受托管理机构为其普通合伙人，负责产业投资基金的日常运营、投资、退出，对合伙企业债务承担无限责任。政府出资部分由区科工信局会同区财政局下达资金计划，视年度预算安排和基金实际运作情况可予以调整。产业投资基金也可接受个人、企业或社会机构无偿捐赠的资金及其他各类资金。</w:t>
      </w:r>
    </w:p>
    <w:p w14:paraId="7159F5A0">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产业投资基金按照“政府引导、市场运作、科学决</w:t>
      </w:r>
      <w:r>
        <w:rPr>
          <w:spacing w:val="-11"/>
        </w:rPr>
        <w:t>策、防范风险”原则进行管理和运作。受托管理机构应制定相应</w:t>
      </w:r>
      <w:r>
        <w:rPr>
          <w:spacing w:val="-16"/>
        </w:rPr>
        <w:t>的全流程投资管理制度，并组建投资决策委员会，负责项目的投</w:t>
      </w:r>
      <w:r>
        <w:rPr>
          <w:spacing w:val="-13"/>
        </w:rPr>
        <w:t>资、管理及退出事宜，委员由受托管理机构委派。为保证政策导</w:t>
      </w:r>
      <w:r>
        <w:rPr>
          <w:spacing w:val="-20"/>
        </w:rPr>
        <w:t>向，由荔湾发展集团派出</w:t>
      </w:r>
      <w:r>
        <w:t>1</w:t>
      </w:r>
      <w:r>
        <w:rPr>
          <w:spacing w:val="-10"/>
        </w:rPr>
        <w:t>名代表以观察员身份参与投资决策委</w:t>
      </w:r>
      <w:r>
        <w:rPr>
          <w:spacing w:val="-15"/>
        </w:rPr>
        <w:t>员会会议的讨论，在产</w:t>
      </w:r>
      <w:r>
        <w:rPr>
          <w:spacing w:val="-14"/>
        </w:rPr>
        <w:t>业投资基金违法、违规和偏离政策导向的情况下，可行使一票否决权，但不参与产业投资基金的经营业务、日常管理及投资决策。</w:t>
      </w:r>
    </w:p>
    <w:p w14:paraId="41E69BF6">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产业投资基金按照“谁设立，谁管理，谁代行政府</w:t>
      </w:r>
      <w:r>
        <w:rPr>
          <w:spacing w:val="-11"/>
        </w:rPr>
        <w:t>出资人职责”的原则，区科工信局作为产业投资基金的主管部门，</w:t>
      </w:r>
      <w:r>
        <w:rPr>
          <w:spacing w:val="-9"/>
        </w:rPr>
        <w:t>代为履行出资人职责，负责牵头产业投资基金组建、投资目录及</w:t>
      </w:r>
      <w:r>
        <w:rPr>
          <w:spacing w:val="-13"/>
        </w:rPr>
        <w:t>方向确定、监管评价等，推进产业投资基金的政策目标、政策效</w:t>
      </w:r>
      <w:r>
        <w:rPr>
          <w:spacing w:val="-11"/>
        </w:rPr>
        <w:t>果的落实；会同区财政局遴选确定受托管理机构，做好基金监督</w:t>
      </w:r>
      <w:r>
        <w:rPr>
          <w:spacing w:val="-15"/>
        </w:rPr>
        <w:t>和绩效评价工作等。荔湾发展集团作为出资人代表，根据区科工信局要求协助具体工作实施。</w:t>
      </w:r>
    </w:p>
    <w:p w14:paraId="5964A03E">
      <w:pPr>
        <w:pStyle w:val="2"/>
        <w:spacing w:before="0" w:line="560" w:lineRule="exact"/>
        <w:rPr>
          <w:sz w:val="44"/>
        </w:rPr>
      </w:pPr>
    </w:p>
    <w:p w14:paraId="611B42D1">
      <w:pPr>
        <w:pStyle w:val="2"/>
        <w:spacing w:before="0" w:line="560" w:lineRule="exact"/>
        <w:ind w:left="353" w:right="670"/>
        <w:jc w:val="center"/>
        <w:rPr>
          <w:rFonts w:hint="eastAsia" w:ascii="黑体" w:eastAsia="黑体"/>
        </w:rPr>
      </w:pPr>
      <w:r>
        <w:rPr>
          <w:rFonts w:hint="eastAsia" w:ascii="黑体" w:eastAsia="黑体"/>
        </w:rPr>
        <w:t>第二章</w:t>
      </w:r>
      <w:r>
        <w:rPr>
          <w:rFonts w:hint="eastAsia" w:ascii="黑体" w:eastAsia="黑体"/>
          <w:lang w:val="en-US" w:eastAsia="zh-CN"/>
        </w:rPr>
        <w:t xml:space="preserve">  </w:t>
      </w:r>
      <w:r>
        <w:rPr>
          <w:rFonts w:hint="eastAsia" w:ascii="黑体" w:eastAsia="黑体"/>
        </w:rPr>
        <w:t>受托管理机构</w:t>
      </w:r>
    </w:p>
    <w:p w14:paraId="398B7FFB">
      <w:pPr>
        <w:pStyle w:val="2"/>
        <w:spacing w:before="0" w:line="560" w:lineRule="exact"/>
        <w:rPr>
          <w:rFonts w:ascii="黑体"/>
          <w:sz w:val="26"/>
        </w:rPr>
      </w:pPr>
    </w:p>
    <w:p w14:paraId="1C8913C4">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受托管理机构的确定方式按照《广州市政府投资基</w:t>
      </w:r>
      <w:r>
        <w:rPr>
          <w:spacing w:val="-2"/>
        </w:rPr>
        <w:t>金管理办法》</w:t>
      </w:r>
      <w:r>
        <w:t>（</w:t>
      </w:r>
      <w:r>
        <w:rPr>
          <w:spacing w:val="-2"/>
        </w:rPr>
        <w:t>穗财规字〔</w:t>
      </w:r>
      <w:r>
        <w:t>2020</w:t>
      </w:r>
      <w:r>
        <w:rPr>
          <w:spacing w:val="-5"/>
        </w:rPr>
        <w:t>〕</w:t>
      </w:r>
      <w:r>
        <w:t>2</w:t>
      </w:r>
      <w:r>
        <w:rPr>
          <w:spacing w:val="-47"/>
        </w:rPr>
        <w:t>号</w:t>
      </w:r>
      <w:r>
        <w:rPr>
          <w:spacing w:val="-5"/>
        </w:rPr>
        <w:t>）</w:t>
      </w:r>
      <w:r>
        <w:rPr>
          <w:spacing w:val="-1"/>
        </w:rPr>
        <w:t>的有关规定执行，通过</w:t>
      </w:r>
      <w:r>
        <w:rPr>
          <w:spacing w:val="-12"/>
        </w:rPr>
        <w:t>遴选方式确定。区科工信局会同区财政局与遴选出的受托管理机构签订委托管理协议。</w:t>
      </w:r>
    </w:p>
    <w:p w14:paraId="6C95CF0F">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区科工信局、区财政局根据产业投资基金年度资金</w:t>
      </w:r>
      <w:r>
        <w:rPr>
          <w:spacing w:val="-12"/>
        </w:rPr>
        <w:t>安排计划，确定委托管理资金额度，受托管理机构按照相关法律</w:t>
      </w:r>
      <w:r>
        <w:rPr>
          <w:spacing w:val="-13"/>
        </w:rPr>
        <w:t>法规、区政府有关要求及委托管理协议约定，对产业投资基金进</w:t>
      </w:r>
      <w:r>
        <w:rPr>
          <w:spacing w:val="-14"/>
        </w:rPr>
        <w:t>行管理。区科工信局、区财政局可视年度预算安排和实际运行情</w:t>
      </w:r>
      <w:r>
        <w:rPr>
          <w:spacing w:val="-16"/>
        </w:rPr>
        <w:t>况，对委托管理资金额度予以调整。受托管理期限原则为</w:t>
      </w:r>
      <w:r>
        <w:t>10</w:t>
      </w:r>
      <w:r>
        <w:rPr>
          <w:spacing w:val="-29"/>
        </w:rPr>
        <w:t>年，根据实际运行情况，区科工信局和区财政局可进行调整。</w:t>
      </w:r>
    </w:p>
    <w:p w14:paraId="60A2175B">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rPr>
          <w:sz w:val="32"/>
        </w:rPr>
      </w:pPr>
      <w:r>
        <w:rPr>
          <w:sz w:val="32"/>
        </w:rPr>
        <w:t>受托管理机构应符合以下条件：</w:t>
      </w:r>
    </w:p>
    <w:p w14:paraId="5DE76E39">
      <w:pPr>
        <w:pStyle w:val="2"/>
        <w:spacing w:before="0" w:line="560" w:lineRule="exact"/>
        <w:ind w:left="751"/>
      </w:pPr>
      <w:r>
        <w:t>（一）具有独立法人资格的公司；</w:t>
      </w:r>
    </w:p>
    <w:p w14:paraId="003832F4">
      <w:pPr>
        <w:pStyle w:val="2"/>
        <w:spacing w:before="0" w:line="560" w:lineRule="exact"/>
        <w:ind w:left="751"/>
      </w:pPr>
      <w:r>
        <w:t>（二）注册资本不低于1亿元人民币；</w:t>
      </w:r>
    </w:p>
    <w:p w14:paraId="612CF52C">
      <w:pPr>
        <w:pStyle w:val="2"/>
        <w:spacing w:before="0" w:line="560" w:lineRule="exact"/>
        <w:ind w:left="111" w:right="429" w:firstLine="640"/>
        <w:rPr>
          <w:rFonts w:hint="eastAsia"/>
          <w:spacing w:val="-10"/>
          <w:lang w:eastAsia="zh-CN"/>
        </w:rPr>
      </w:pPr>
      <w:r>
        <w:t>（三</w:t>
      </w:r>
      <w:r>
        <w:rPr>
          <w:spacing w:val="-115"/>
        </w:rPr>
        <w:t>）</w:t>
      </w:r>
      <w:r>
        <w:rPr>
          <w:spacing w:val="-28"/>
        </w:rPr>
        <w:t>至少</w:t>
      </w:r>
      <w:r>
        <w:t>5</w:t>
      </w:r>
      <w:r>
        <w:rPr>
          <w:spacing w:val="-34"/>
        </w:rPr>
        <w:t>名从事</w:t>
      </w:r>
      <w:r>
        <w:t>3</w:t>
      </w:r>
      <w:r>
        <w:rPr>
          <w:spacing w:val="-10"/>
        </w:rPr>
        <w:t>年以上投资基金相关经历并具备基金从业资格的从业人员</w:t>
      </w:r>
      <w:r>
        <w:rPr>
          <w:rFonts w:hint="eastAsia"/>
          <w:spacing w:val="-10"/>
          <w:lang w:eastAsia="zh-CN"/>
        </w:rPr>
        <w:t>；</w:t>
      </w:r>
    </w:p>
    <w:p w14:paraId="11089198">
      <w:pPr>
        <w:pStyle w:val="2"/>
        <w:spacing w:before="0" w:line="560" w:lineRule="exact"/>
        <w:ind w:left="111" w:right="429" w:firstLine="640"/>
      </w:pPr>
      <w:r>
        <w:t>（四）有完善的投资基金管理制度；</w:t>
      </w:r>
    </w:p>
    <w:p w14:paraId="313FC751">
      <w:pPr>
        <w:pStyle w:val="2"/>
        <w:spacing w:before="0" w:line="560" w:lineRule="exact"/>
        <w:ind w:left="751"/>
      </w:pPr>
      <w:r>
        <w:t>（五）有作为出资人参与设立并管理投资基金的成功经验；</w:t>
      </w:r>
    </w:p>
    <w:p w14:paraId="4CAEE45B">
      <w:pPr>
        <w:pStyle w:val="2"/>
        <w:spacing w:before="0" w:line="560" w:lineRule="exact"/>
        <w:ind w:left="111" w:right="429" w:firstLine="640"/>
        <w:jc w:val="both"/>
      </w:pPr>
      <w:r>
        <w:rPr>
          <w:w w:val="95"/>
        </w:rPr>
        <w:t>（六</w:t>
      </w:r>
      <w:r>
        <w:rPr>
          <w:spacing w:val="-58"/>
          <w:w w:val="95"/>
        </w:rPr>
        <w:t>）</w:t>
      </w:r>
      <w:r>
        <w:t>最近三年以上保持良好的财务状况，没有受过行政主管机关或司法机关重大</w:t>
      </w:r>
      <w:r>
        <w:rPr>
          <w:spacing w:val="-11"/>
        </w:rPr>
        <w:t>处罚的不良记录，严格按照委托管理协议管理政府出资资金；</w:t>
      </w:r>
    </w:p>
    <w:p w14:paraId="02AD57F0">
      <w:pPr>
        <w:pStyle w:val="2"/>
        <w:spacing w:before="0" w:line="560" w:lineRule="exact"/>
        <w:ind w:left="751"/>
      </w:pPr>
      <w:r>
        <w:t>（七）其他国家省市法律法规的规定。</w:t>
      </w:r>
    </w:p>
    <w:p w14:paraId="1633410C">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firstLine="640" w:firstLineChars="200"/>
        <w:jc w:val="both"/>
        <w:textAlignment w:val="auto"/>
      </w:pPr>
      <w:r>
        <w:t>在产业投资基金委托管理协议中应当对受托管理机构的职责进行明确，主要包括但不限于：</w:t>
      </w:r>
    </w:p>
    <w:p w14:paraId="167CFFAD">
      <w:pPr>
        <w:pStyle w:val="2"/>
        <w:spacing w:line="560" w:lineRule="exact"/>
        <w:ind w:left="751"/>
      </w:pPr>
      <w:r>
        <w:t>（一）建立完善内部决策和风险控制机制；</w:t>
      </w:r>
    </w:p>
    <w:p w14:paraId="45F76898">
      <w:pPr>
        <w:pStyle w:val="2"/>
        <w:spacing w:before="0" w:line="560" w:lineRule="exact"/>
        <w:ind w:left="111" w:right="429" w:firstLine="640"/>
      </w:pPr>
      <w:r>
        <w:rPr>
          <w:w w:val="95"/>
        </w:rPr>
        <w:t>（二</w:t>
      </w:r>
      <w:r>
        <w:rPr>
          <w:spacing w:val="-39"/>
          <w:w w:val="95"/>
        </w:rPr>
        <w:t>）</w:t>
      </w:r>
      <w:r>
        <w:t>对项目开展尽职调查，撰写尽职调查报告，进行投资分析，拟订投资方案；</w:t>
      </w:r>
    </w:p>
    <w:p w14:paraId="2E89C8BA">
      <w:pPr>
        <w:pStyle w:val="2"/>
        <w:spacing w:line="560" w:lineRule="exact"/>
        <w:ind w:left="751"/>
      </w:pPr>
      <w:r>
        <w:t>（三）实施经批准的投资方案，签署投资协议；</w:t>
      </w:r>
    </w:p>
    <w:p w14:paraId="034FA442">
      <w:pPr>
        <w:pStyle w:val="2"/>
        <w:spacing w:before="0" w:line="560" w:lineRule="exact"/>
        <w:ind w:left="111" w:right="431" w:firstLine="640"/>
      </w:pPr>
      <w:r>
        <w:rPr>
          <w:w w:val="95"/>
        </w:rPr>
        <w:t>（四</w:t>
      </w:r>
      <w:r>
        <w:rPr>
          <w:spacing w:val="-29"/>
          <w:w w:val="95"/>
        </w:rPr>
        <w:t>）</w:t>
      </w:r>
      <w:r>
        <w:t>做好项目投后管理，为被投企业（项目）提供增值服务，监督、指导被投企业（项目）运行；</w:t>
      </w:r>
    </w:p>
    <w:p w14:paraId="36120C29">
      <w:pPr>
        <w:pStyle w:val="2"/>
        <w:spacing w:line="560" w:lineRule="exact"/>
        <w:ind w:left="751"/>
      </w:pPr>
      <w:r>
        <w:t>（五）拟订退出方案，做好项目的退出；</w:t>
      </w:r>
    </w:p>
    <w:p w14:paraId="2AC8A7BB">
      <w:pPr>
        <w:pStyle w:val="2"/>
        <w:spacing w:before="0" w:line="560" w:lineRule="exact"/>
        <w:ind w:left="111" w:right="430" w:firstLine="640"/>
      </w:pPr>
      <w:r>
        <w:rPr>
          <w:w w:val="95"/>
        </w:rPr>
        <w:t>（六</w:t>
      </w:r>
      <w:r>
        <w:rPr>
          <w:spacing w:val="-39"/>
          <w:w w:val="95"/>
        </w:rPr>
        <w:t>）</w:t>
      </w:r>
      <w:r>
        <w:t>定期向区科工信局、区财政局报告资金运作情况、项目投资管理情况及相关重大情况等；</w:t>
      </w:r>
    </w:p>
    <w:p w14:paraId="00371343">
      <w:pPr>
        <w:pStyle w:val="2"/>
        <w:spacing w:line="560" w:lineRule="exact"/>
        <w:ind w:left="111" w:right="429" w:firstLine="640"/>
      </w:pPr>
      <w:r>
        <w:rPr>
          <w:w w:val="95"/>
        </w:rPr>
        <w:t>（七</w:t>
      </w:r>
      <w:r>
        <w:rPr>
          <w:spacing w:val="-29"/>
          <w:w w:val="95"/>
        </w:rPr>
        <w:t>）</w:t>
      </w:r>
      <w:r>
        <w:t>及时将分红、退出等资金（含本金及收益）按规定上缴国库；</w:t>
      </w:r>
    </w:p>
    <w:p w14:paraId="33C622FA">
      <w:pPr>
        <w:pStyle w:val="2"/>
        <w:spacing w:line="560" w:lineRule="exact"/>
        <w:ind w:left="751"/>
      </w:pPr>
      <w:r>
        <w:t>（八）完成其他投资运作相关工作。</w:t>
      </w:r>
    </w:p>
    <w:p w14:paraId="572ED2E5">
      <w:pPr>
        <w:pStyle w:val="2"/>
        <w:numPr>
          <w:ilvl w:val="0"/>
          <w:numId w:val="1"/>
        </w:numPr>
        <w:spacing w:before="0" w:line="560" w:lineRule="exact"/>
        <w:ind w:left="0" w:right="0" w:firstLine="640" w:firstLineChars="200"/>
        <w:jc w:val="both"/>
      </w:pPr>
      <w:r>
        <w:t>受托管理机构应选择在荔湾区具有分支机构的商业</w:t>
      </w:r>
      <w:r>
        <w:rPr>
          <w:spacing w:val="-7"/>
        </w:rPr>
        <w:t>银行作为托管银行开设产业投资基金专户，对受托管理的产业投资基金实行专户管理。在产业投资基金委托管理协议中应当明确约定受托管理机构选定托管银行的条件及具体要求，原则上应符合以下条件及要求：</w:t>
      </w:r>
    </w:p>
    <w:p w14:paraId="5E5C4D9F">
      <w:pPr>
        <w:pStyle w:val="2"/>
        <w:spacing w:before="0" w:line="560" w:lineRule="exact"/>
        <w:ind w:left="751"/>
      </w:pPr>
      <w:r>
        <w:t>（一）经国家有关部门核准认定具有基金托管资格的；</w:t>
      </w:r>
    </w:p>
    <w:p w14:paraId="0D92A1A9">
      <w:pPr>
        <w:pStyle w:val="2"/>
        <w:spacing w:before="0" w:line="560" w:lineRule="exact"/>
        <w:ind w:left="111" w:right="429" w:firstLine="640"/>
      </w:pPr>
      <w:r>
        <w:rPr>
          <w:w w:val="95"/>
        </w:rPr>
        <w:t>（二</w:t>
      </w:r>
      <w:r>
        <w:rPr>
          <w:spacing w:val="-58"/>
          <w:w w:val="95"/>
        </w:rPr>
        <w:t>）</w:t>
      </w:r>
      <w:r>
        <w:rPr>
          <w:spacing w:val="-7"/>
        </w:rPr>
        <w:t>最近三年以上保持良好的财务状况，没有受过行政主管机关或司法机关重大处罚的不良记录；</w:t>
      </w:r>
    </w:p>
    <w:p w14:paraId="575E9D3C">
      <w:pPr>
        <w:pStyle w:val="2"/>
        <w:spacing w:line="560" w:lineRule="exact"/>
        <w:ind w:left="751"/>
        <w:rPr>
          <w:sz w:val="20"/>
        </w:rPr>
      </w:pPr>
      <w:r>
        <w:t>（三</w:t>
      </w:r>
      <w:r>
        <w:rPr>
          <w:spacing w:val="-115"/>
        </w:rPr>
        <w:t>）</w:t>
      </w:r>
      <w:r>
        <w:t>与政府部门开展科技金融业务合作情况良好的优先考虑。</w:t>
      </w:r>
    </w:p>
    <w:p w14:paraId="673678EF">
      <w:pPr>
        <w:pStyle w:val="2"/>
        <w:spacing w:before="0" w:line="560" w:lineRule="exact"/>
        <w:ind w:left="351" w:right="671"/>
        <w:jc w:val="center"/>
        <w:rPr>
          <w:rFonts w:hint="default" w:ascii="黑体" w:eastAsia="黑体"/>
          <w:lang w:val="en-US" w:eastAsia="zh-CN"/>
        </w:rPr>
      </w:pPr>
      <w:r>
        <w:rPr>
          <w:rFonts w:hint="eastAsia" w:ascii="黑体" w:eastAsia="黑体"/>
        </w:rPr>
        <w:t>第三章</w:t>
      </w:r>
      <w:r>
        <w:rPr>
          <w:rFonts w:hint="eastAsia" w:ascii="黑体" w:eastAsia="黑体"/>
          <w:lang w:val="en-US" w:eastAsia="zh-CN"/>
        </w:rPr>
        <w:t xml:space="preserve">  投资方式及</w:t>
      </w:r>
      <w:r>
        <w:rPr>
          <w:rFonts w:hint="eastAsia" w:ascii="黑体" w:eastAsia="黑体"/>
        </w:rPr>
        <w:t>投资领域</w:t>
      </w:r>
    </w:p>
    <w:p w14:paraId="07D6C161">
      <w:pPr>
        <w:pStyle w:val="2"/>
        <w:spacing w:line="560" w:lineRule="exact"/>
        <w:rPr>
          <w:rFonts w:ascii="黑体"/>
        </w:rPr>
      </w:pPr>
    </w:p>
    <w:p w14:paraId="19F38F9F">
      <w:pPr>
        <w:pStyle w:val="2"/>
        <w:numPr>
          <w:ilvl w:val="0"/>
          <w:numId w:val="1"/>
        </w:numPr>
        <w:spacing w:line="560" w:lineRule="exact"/>
        <w:ind w:firstLine="612" w:firstLineChars="200"/>
      </w:pPr>
      <w:r>
        <w:rPr>
          <w:spacing w:val="-7"/>
        </w:rPr>
        <w:t>产业投资基金</w:t>
      </w:r>
      <w:r>
        <w:rPr>
          <w:rFonts w:hint="eastAsia"/>
          <w:spacing w:val="-7"/>
          <w:lang w:val="en-US" w:eastAsia="zh-CN"/>
        </w:rPr>
        <w:t>原则上可</w:t>
      </w:r>
      <w:r>
        <w:rPr>
          <w:rFonts w:hint="eastAsia"/>
          <w:spacing w:val="-7"/>
        </w:rPr>
        <w:t>通过参股设立子基金或直接投资方式开展投资</w:t>
      </w:r>
      <w:r>
        <w:rPr>
          <w:spacing w:val="-7"/>
        </w:rPr>
        <w:t>。</w:t>
      </w:r>
      <w:r>
        <w:rPr>
          <w:rFonts w:hint="eastAsia"/>
          <w:spacing w:val="-7"/>
        </w:rPr>
        <w:t>具体投资可通过出资参股方式，与社会资本、产业资本共同发起设立子基金，或通过增资方式参与现有子基金，及根据区政府招商引资和推进重大产业项目实施的需要开展直接投资等</w:t>
      </w:r>
      <w:r>
        <w:rPr>
          <w:rFonts w:hint="eastAsia"/>
          <w:spacing w:val="-7"/>
          <w:lang w:eastAsia="zh-CN"/>
        </w:rPr>
        <w:t>。</w:t>
      </w:r>
      <w:r>
        <w:rPr>
          <w:rFonts w:hint="eastAsia"/>
          <w:spacing w:val="-7"/>
          <w:lang w:val="en-US" w:eastAsia="zh-CN"/>
        </w:rPr>
        <w:t>产业投资基金采取参股设立子基金的，对单只子基金出资比例原则上不超过</w:t>
      </w:r>
      <w:r>
        <w:rPr>
          <w:spacing w:val="-7"/>
        </w:rPr>
        <w:t>产业投资基金认缴规模的</w:t>
      </w:r>
      <w:r>
        <w:rPr>
          <w:rFonts w:hint="eastAsia"/>
          <w:spacing w:val="-7"/>
          <w:lang w:val="en-US" w:eastAsia="zh-CN"/>
        </w:rPr>
        <w:t>20%。采取直接投资方式的，对</w:t>
      </w:r>
      <w:r>
        <w:rPr>
          <w:spacing w:val="-7"/>
        </w:rPr>
        <w:t>单一企业（项目）的投资金额原则上累计不超过产业投资基金认缴规模的</w:t>
      </w:r>
      <w:r>
        <w:rPr>
          <w:rFonts w:hint="eastAsia"/>
          <w:spacing w:val="-7"/>
          <w:lang w:val="en-US" w:eastAsia="zh-CN"/>
        </w:rPr>
        <w:t>2</w:t>
      </w:r>
      <w:r>
        <w:rPr>
          <w:spacing w:val="-7"/>
        </w:rPr>
        <w:t>0</w:t>
      </w:r>
      <w:r>
        <w:rPr>
          <w:spacing w:val="-7"/>
        </w:rPr>
        <w:drawing>
          <wp:inline distT="0" distB="0" distL="0" distR="0">
            <wp:extent cx="85090" cy="154940"/>
            <wp:effectExtent l="0" t="0" r="10160" b="1651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spacing w:val="-7"/>
        </w:rPr>
        <w:t>。</w:t>
      </w:r>
    </w:p>
    <w:p w14:paraId="1075FAD2">
      <w:pPr>
        <w:pStyle w:val="2"/>
        <w:numPr>
          <w:ilvl w:val="0"/>
          <w:numId w:val="1"/>
        </w:numPr>
        <w:spacing w:before="0" w:line="560" w:lineRule="exact"/>
        <w:ind w:left="0" w:right="0" w:firstLine="640" w:firstLineChars="200"/>
        <w:jc w:val="both"/>
      </w:pPr>
      <w:bookmarkStart w:id="0" w:name="OLE_LINK3"/>
      <w:r>
        <w:t>产业投资基金应投向荔湾区行政区域内的企业</w:t>
      </w:r>
      <w:r>
        <w:rPr>
          <w:rFonts w:hint="eastAsia"/>
          <w:lang w:val="en-US" w:eastAsia="zh-CN"/>
        </w:rPr>
        <w:t>或以荔湾区重点支持产业领域为主要投资方向的子基金：</w:t>
      </w:r>
      <w:r>
        <w:rPr>
          <w:spacing w:val="-16"/>
        </w:rPr>
        <w:t>优先支持</w:t>
      </w:r>
      <w:r>
        <w:rPr>
          <w:rFonts w:hint="eastAsia"/>
          <w:spacing w:val="-16"/>
        </w:rPr>
        <w:t>时</w:t>
      </w:r>
      <w:bookmarkStart w:id="1" w:name="OLE_LINK4"/>
      <w:r>
        <w:rPr>
          <w:rFonts w:hint="eastAsia"/>
          <w:spacing w:val="-16"/>
        </w:rPr>
        <w:t>尚消费品、激光与增材制造、现代中药与高端医疗器械、智能装备制造、新一代信息技术、新能源与新型储能、智能无人系统、前沿新材料、现代商贸、专业服务、文化创意及旅游休闲等领域</w:t>
      </w:r>
      <w:bookmarkEnd w:id="1"/>
      <w:r>
        <w:rPr>
          <w:spacing w:val="-19"/>
        </w:rPr>
        <w:t>，重点投向现代都市工业或科技</w:t>
      </w:r>
      <w:r>
        <w:rPr>
          <w:spacing w:val="-18"/>
        </w:rPr>
        <w:t>创新产业载体建设项目，以及种子期、初创期、成长期、有发展潜力的创新型企业</w:t>
      </w:r>
      <w:bookmarkEnd w:id="0"/>
      <w:r>
        <w:rPr>
          <w:spacing w:val="-18"/>
        </w:rPr>
        <w:t>。</w:t>
      </w:r>
    </w:p>
    <w:p w14:paraId="67CCF38F">
      <w:pPr>
        <w:pStyle w:val="2"/>
        <w:numPr>
          <w:ilvl w:val="0"/>
          <w:numId w:val="1"/>
        </w:numPr>
        <w:spacing w:before="0" w:line="560" w:lineRule="exact"/>
        <w:ind w:left="0" w:firstLine="640" w:firstLineChars="200"/>
        <w:jc w:val="both"/>
      </w:pPr>
      <w:r>
        <w:t>以下情形均可认定为投资荔湾区行政区域内的企业：</w:t>
      </w:r>
    </w:p>
    <w:p w14:paraId="43B1DDB9">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firstLine="640" w:firstLineChars="200"/>
        <w:textAlignment w:val="auto"/>
      </w:pPr>
      <w:r>
        <w:t>在荔湾区注册，具备独立企业法人资格；</w:t>
      </w:r>
    </w:p>
    <w:p w14:paraId="0A6788AD">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left"/>
        <w:textAlignment w:val="auto"/>
      </w:pPr>
      <w:r>
        <w:t>（二</w:t>
      </w:r>
      <w:r>
        <w:rPr>
          <w:spacing w:val="-58"/>
        </w:rPr>
        <w:t>）</w:t>
      </w:r>
      <w:r>
        <w:rPr>
          <w:spacing w:val="-3"/>
        </w:rPr>
        <w:t>通过设立子公司形式将主要经营主体落户荔湾区</w:t>
      </w:r>
      <w:r>
        <w:t>（投</w:t>
      </w:r>
      <w:r>
        <w:rPr>
          <w:spacing w:val="-13"/>
        </w:rPr>
        <w:t>资出资完成的</w:t>
      </w:r>
      <w:r>
        <w:rPr>
          <w:rFonts w:ascii="Times New Roman" w:hAnsi="Times New Roman" w:eastAsia="Times New Roman"/>
        </w:rPr>
        <w:t>2</w:t>
      </w:r>
      <w:r>
        <w:t>年内，子公司须成为荔湾区纳统的</w:t>
      </w:r>
      <w:r>
        <w:rPr>
          <w:rFonts w:ascii="Times New Roman" w:hAnsi="Times New Roman" w:eastAsia="Times New Roman"/>
        </w:rPr>
        <w:t>“</w:t>
      </w:r>
      <w:r>
        <w:t>四上</w:t>
      </w:r>
      <w:r>
        <w:rPr>
          <w:rFonts w:ascii="Times New Roman" w:hAnsi="Times New Roman" w:eastAsia="Times New Roman"/>
        </w:rPr>
        <w:t>”</w:t>
      </w:r>
      <w:r>
        <w:t>企业）的荔湾区外企业。</w:t>
      </w:r>
    </w:p>
    <w:p w14:paraId="5F12BF20">
      <w:pPr>
        <w:pStyle w:val="2"/>
        <w:spacing w:before="0" w:line="560" w:lineRule="exact"/>
        <w:ind w:left="353" w:right="670"/>
        <w:jc w:val="center"/>
        <w:rPr>
          <w:rFonts w:hint="eastAsia" w:ascii="黑体" w:eastAsia="黑体"/>
        </w:rPr>
      </w:pPr>
      <w:r>
        <w:rPr>
          <w:rFonts w:hint="eastAsia" w:ascii="黑体" w:eastAsia="黑体"/>
        </w:rPr>
        <w:t>第四章</w:t>
      </w:r>
      <w:r>
        <w:rPr>
          <w:rFonts w:hint="eastAsia" w:ascii="黑体" w:eastAsia="黑体"/>
          <w:lang w:val="en-US" w:eastAsia="zh-CN"/>
        </w:rPr>
        <w:t xml:space="preserve">  直接投资</w:t>
      </w:r>
      <w:r>
        <w:rPr>
          <w:rFonts w:hint="eastAsia" w:ascii="黑体" w:eastAsia="黑体"/>
        </w:rPr>
        <w:t>项目投资管理</w:t>
      </w:r>
    </w:p>
    <w:p w14:paraId="3F67EF77">
      <w:pPr>
        <w:pStyle w:val="2"/>
        <w:spacing w:before="0" w:line="560" w:lineRule="exact"/>
        <w:rPr>
          <w:rFonts w:ascii="黑体"/>
          <w:sz w:val="26"/>
        </w:rPr>
      </w:pPr>
    </w:p>
    <w:p w14:paraId="6C04B979">
      <w:pPr>
        <w:pStyle w:val="2"/>
        <w:numPr>
          <w:ilvl w:val="0"/>
          <w:numId w:val="1"/>
        </w:numPr>
        <w:spacing w:before="0" w:line="560" w:lineRule="exact"/>
        <w:ind w:left="0" w:right="0" w:firstLine="596" w:firstLineChars="200"/>
        <w:jc w:val="both"/>
      </w:pPr>
      <w:r>
        <w:rPr>
          <w:spacing w:val="-11"/>
        </w:rPr>
        <w:t>受托管理机构应做好投资项目的尽职调查。对于符合基金投资标准且有融资需求的项目，受托管理机构应按照行业公认的道德规范与业务标准，遵循勤勉尽责、诚实信用的原则，开展尽职调查工作，并形成《尽职调查报告》及工作底稿文件。</w:t>
      </w:r>
    </w:p>
    <w:p w14:paraId="6525D75E">
      <w:pPr>
        <w:pStyle w:val="2"/>
        <w:numPr>
          <w:ilvl w:val="0"/>
          <w:numId w:val="1"/>
        </w:numPr>
        <w:spacing w:before="0" w:line="560" w:lineRule="exact"/>
        <w:ind w:left="0" w:right="0" w:firstLine="596" w:firstLineChars="200"/>
        <w:jc w:val="both"/>
        <w:rPr>
          <w:spacing w:val="-11"/>
        </w:rPr>
      </w:pPr>
      <w:r>
        <w:rPr>
          <w:spacing w:val="-11"/>
        </w:rPr>
        <w:t>受托管理机构作出投资项目决策，应形成投资决策委员会决议。符合投资标准并完成尽调工作的项目，受托管理机构可提交投资决策委员会审议，做出相应决策。投资及退出事项须经投资决策委员会同意后方能实施。</w:t>
      </w:r>
    </w:p>
    <w:p w14:paraId="3FF9461A">
      <w:pPr>
        <w:pStyle w:val="2"/>
        <w:numPr>
          <w:ilvl w:val="0"/>
          <w:numId w:val="1"/>
        </w:numPr>
        <w:spacing w:before="0" w:line="560" w:lineRule="exact"/>
        <w:ind w:left="0" w:right="0" w:firstLine="596" w:firstLineChars="200"/>
        <w:jc w:val="both"/>
        <w:rPr>
          <w:spacing w:val="-11"/>
        </w:rPr>
      </w:pPr>
      <w:r>
        <w:rPr>
          <w:spacing w:val="-11"/>
        </w:rPr>
        <w:t>受托管理机构应做好投资项目的执行工作。对通过投资决策审定的项目，受托管理机构应及时签署投资协议等法律文件，进行投资付款。</w:t>
      </w:r>
    </w:p>
    <w:p w14:paraId="4215A57D">
      <w:pPr>
        <w:pStyle w:val="2"/>
        <w:numPr>
          <w:ilvl w:val="0"/>
          <w:numId w:val="1"/>
        </w:numPr>
        <w:spacing w:before="0" w:line="560" w:lineRule="exact"/>
        <w:ind w:left="0" w:right="0" w:firstLine="640" w:firstLineChars="200"/>
        <w:jc w:val="both"/>
      </w:pPr>
      <w:r>
        <w:t>受托管理机构应做好投资项目的日常管理工作：</w:t>
      </w:r>
    </w:p>
    <w:p w14:paraId="08876E7B">
      <w:pPr>
        <w:pStyle w:val="2"/>
        <w:spacing w:before="0" w:line="560" w:lineRule="exact"/>
        <w:ind w:left="111" w:right="430" w:firstLine="640"/>
        <w:jc w:val="both"/>
      </w:pPr>
      <w:r>
        <w:rPr>
          <w:w w:val="95"/>
        </w:rPr>
        <w:t>（一</w:t>
      </w:r>
      <w:r>
        <w:rPr>
          <w:spacing w:val="-147"/>
          <w:w w:val="95"/>
        </w:rPr>
        <w:t>）</w:t>
      </w:r>
      <w:r>
        <w:rPr>
          <w:spacing w:val="-5"/>
        </w:rPr>
        <w:t>具体负责项目的投后跟踪管理，除了跟进被投企业（项目）经营进展外，还可为企业提供战略性咨询、策略性咨询、资本运作建议、对接资源、团队搭建、后轮融资等增值服务，使企业在尽可能短的时间内快速成长、增值；</w:t>
      </w:r>
    </w:p>
    <w:p w14:paraId="6FCEA0D7">
      <w:pPr>
        <w:pStyle w:val="2"/>
        <w:spacing w:before="0" w:line="560" w:lineRule="exact"/>
        <w:ind w:left="111" w:right="431" w:firstLine="640"/>
      </w:pPr>
      <w:r>
        <w:rPr>
          <w:w w:val="95"/>
        </w:rPr>
        <w:t>（二</w:t>
      </w:r>
      <w:r>
        <w:rPr>
          <w:spacing w:val="-39"/>
          <w:w w:val="95"/>
        </w:rPr>
        <w:t>）</w:t>
      </w:r>
      <w:r>
        <w:rPr>
          <w:spacing w:val="-5"/>
        </w:rPr>
        <w:t>根据投资协议可推荐人选担任被投企业（项目）的董事、监事等职务；</w:t>
      </w:r>
    </w:p>
    <w:p w14:paraId="3B22F824">
      <w:pPr>
        <w:pStyle w:val="2"/>
        <w:spacing w:line="560" w:lineRule="exact"/>
        <w:ind w:left="111" w:right="429" w:firstLine="640"/>
        <w:jc w:val="both"/>
      </w:pPr>
      <w:r>
        <w:rPr>
          <w:w w:val="95"/>
        </w:rPr>
        <w:t>（三</w:t>
      </w:r>
      <w:r>
        <w:rPr>
          <w:spacing w:val="-29"/>
          <w:w w:val="95"/>
        </w:rPr>
        <w:t>）</w:t>
      </w:r>
      <w:r>
        <w:rPr>
          <w:spacing w:val="-5"/>
        </w:rPr>
        <w:t>建立被投企业（项目）动态风险监控机制，若被投企业（项目）出现重大风险问题，应及时向区科工信局报告并提出应对和解决方案。</w:t>
      </w:r>
    </w:p>
    <w:p w14:paraId="0507F211">
      <w:pPr>
        <w:pStyle w:val="2"/>
        <w:spacing w:line="560" w:lineRule="exact"/>
        <w:ind w:left="351" w:right="671"/>
        <w:jc w:val="center"/>
        <w:rPr>
          <w:rFonts w:hint="eastAsia" w:ascii="黑体" w:eastAsia="黑体"/>
          <w:lang w:val="en-US" w:eastAsia="zh-CN"/>
        </w:rPr>
      </w:pPr>
      <w:r>
        <w:rPr>
          <w:rFonts w:hint="eastAsia" w:ascii="黑体" w:eastAsia="黑体"/>
        </w:rPr>
        <w:t>第五章</w:t>
      </w:r>
      <w:r>
        <w:rPr>
          <w:rFonts w:hint="eastAsia" w:ascii="黑体" w:eastAsia="黑体"/>
          <w:lang w:val="en-US" w:eastAsia="zh-CN"/>
        </w:rPr>
        <w:t xml:space="preserve"> 参股子基金运作管理 </w:t>
      </w:r>
    </w:p>
    <w:p w14:paraId="329A79D6">
      <w:pPr>
        <w:pStyle w:val="2"/>
        <w:numPr>
          <w:ilvl w:val="0"/>
          <w:numId w:val="1"/>
        </w:numPr>
        <w:spacing w:before="0" w:line="560" w:lineRule="exact"/>
        <w:ind w:left="0" w:right="0" w:firstLine="612" w:firstLineChars="200"/>
        <w:jc w:val="both"/>
      </w:pPr>
      <w:r>
        <w:rPr>
          <w:spacing w:val="-7"/>
        </w:rPr>
        <w:t>产业投资基金</w:t>
      </w:r>
      <w:r>
        <w:rPr>
          <w:rFonts w:hint="eastAsia"/>
          <w:spacing w:val="-7"/>
          <w:lang w:val="en-US" w:eastAsia="zh-CN"/>
        </w:rPr>
        <w:t>参股设立子基金，应当在协议（章程）中落实本管理办法相关规定。子基金采取市场化机制运作，依据章程或合伙协议等相关协议的约定进行投资、管理和退出。产业投资基金受托管理机构监督子基金的投资和运作，但不参与子基金的日常管理。</w:t>
      </w:r>
    </w:p>
    <w:p w14:paraId="59009E19">
      <w:pPr>
        <w:pStyle w:val="2"/>
        <w:numPr>
          <w:ilvl w:val="0"/>
          <w:numId w:val="1"/>
        </w:numPr>
        <w:spacing w:before="0" w:line="560" w:lineRule="exact"/>
        <w:ind w:left="0" w:right="0" w:firstLine="612" w:firstLineChars="200"/>
        <w:jc w:val="both"/>
      </w:pPr>
      <w:r>
        <w:rPr>
          <w:spacing w:val="-7"/>
        </w:rPr>
        <w:t>产业投资基金</w:t>
      </w:r>
      <w:r>
        <w:rPr>
          <w:rFonts w:hint="eastAsia"/>
          <w:spacing w:val="-7"/>
        </w:rPr>
        <w:t>投资子基金的主要要求如下：</w:t>
      </w:r>
    </w:p>
    <w:p w14:paraId="71634E40">
      <w:pPr>
        <w:pStyle w:val="2"/>
        <w:numPr>
          <w:ilvl w:val="0"/>
          <w:numId w:val="3"/>
        </w:numPr>
        <w:spacing w:before="0" w:line="560" w:lineRule="exact"/>
        <w:ind w:left="0" w:leftChars="0" w:right="0" w:firstLine="640" w:firstLineChars="200"/>
        <w:jc w:val="left"/>
        <w:rPr>
          <w:rFonts w:hint="eastAsia"/>
          <w:lang w:val="en-US" w:eastAsia="zh-CN"/>
        </w:rPr>
      </w:pPr>
      <w:r>
        <w:rPr>
          <w:rFonts w:hint="eastAsia"/>
        </w:rPr>
        <w:t>投资规模。</w:t>
      </w:r>
      <w:r>
        <w:rPr>
          <w:spacing w:val="-7"/>
        </w:rPr>
        <w:t>产业投资基金</w:t>
      </w:r>
      <w:r>
        <w:rPr>
          <w:rFonts w:hint="eastAsia"/>
        </w:rPr>
        <w:t>的投资比例原则上不超过子基金规模的</w:t>
      </w:r>
      <w:r>
        <w:rPr>
          <w:rFonts w:hint="eastAsia"/>
          <w:highlight w:val="yellow"/>
          <w:lang w:val="en-US" w:eastAsia="zh-CN"/>
        </w:rPr>
        <w:t>40</w:t>
      </w:r>
      <w:r>
        <w:rPr>
          <w:rFonts w:hint="eastAsia"/>
          <w:highlight w:val="yellow"/>
        </w:rPr>
        <w:t>%</w:t>
      </w:r>
      <w:r>
        <w:rPr>
          <w:rFonts w:hint="eastAsia"/>
        </w:rPr>
        <w:t>，且不成为子基金的第一大出资人。</w:t>
      </w:r>
      <w:r>
        <w:rPr>
          <w:rFonts w:hint="eastAsia"/>
          <w:lang w:val="en-US" w:eastAsia="zh-CN"/>
        </w:rPr>
        <w:t>子基金对单个项目的投资额原则上不超过子基金规模的</w:t>
      </w:r>
      <w:r>
        <w:rPr>
          <w:rFonts w:hint="eastAsia"/>
          <w:highlight w:val="yellow"/>
          <w:lang w:val="en-US" w:eastAsia="zh-CN"/>
        </w:rPr>
        <w:t>10%</w:t>
      </w:r>
      <w:r>
        <w:rPr>
          <w:rFonts w:hint="eastAsia"/>
          <w:lang w:val="en-US" w:eastAsia="zh-CN"/>
        </w:rPr>
        <w:t>。</w:t>
      </w:r>
    </w:p>
    <w:p w14:paraId="76B69399">
      <w:pPr>
        <w:pStyle w:val="2"/>
        <w:numPr>
          <w:ilvl w:val="0"/>
          <w:numId w:val="3"/>
        </w:numPr>
        <w:spacing w:before="0" w:line="560" w:lineRule="exact"/>
        <w:ind w:left="0" w:leftChars="0" w:right="0" w:firstLine="640" w:firstLineChars="200"/>
        <w:jc w:val="left"/>
        <w:rPr>
          <w:rFonts w:hint="eastAsia"/>
        </w:rPr>
      </w:pPr>
      <w:r>
        <w:rPr>
          <w:rFonts w:hint="eastAsia"/>
        </w:rPr>
        <w:t>基金投向。子基金应优先投资于本办法第十二条所述投资领域，且投资规模不少于子基金实缴规模的60%。</w:t>
      </w:r>
    </w:p>
    <w:p w14:paraId="7D21DE06">
      <w:pPr>
        <w:pStyle w:val="2"/>
        <w:numPr>
          <w:ilvl w:val="0"/>
          <w:numId w:val="3"/>
        </w:numPr>
        <w:spacing w:before="0" w:line="560" w:lineRule="exact"/>
        <w:ind w:left="0" w:leftChars="0" w:right="0" w:firstLine="640" w:firstLineChars="200"/>
        <w:jc w:val="left"/>
        <w:rPr>
          <w:rFonts w:hint="eastAsia"/>
        </w:rPr>
      </w:pPr>
      <w:r>
        <w:rPr>
          <w:rFonts w:hint="eastAsia"/>
          <w:lang w:eastAsia="zh-CN"/>
        </w:rPr>
        <w:t>返投要求。</w:t>
      </w:r>
      <w:r>
        <w:rPr>
          <w:rFonts w:hint="eastAsia"/>
        </w:rPr>
        <w:t>加大基金对落户本地项目的支持力度，子基金在存续期内投资于</w:t>
      </w:r>
      <w:r>
        <w:rPr>
          <w:rFonts w:hint="eastAsia"/>
          <w:lang w:val="en-US" w:eastAsia="zh-CN"/>
        </w:rPr>
        <w:t>荔湾</w:t>
      </w:r>
      <w:r>
        <w:rPr>
          <w:rFonts w:hint="eastAsia"/>
        </w:rPr>
        <w:t>区注册企业的实际投资金额不低于</w:t>
      </w:r>
      <w:r>
        <w:rPr>
          <w:rFonts w:hint="eastAsia"/>
          <w:lang w:val="en-US" w:eastAsia="zh-CN"/>
        </w:rPr>
        <w:t>产业投资基金</w:t>
      </w:r>
      <w:r>
        <w:rPr>
          <w:rFonts w:hint="eastAsia"/>
        </w:rPr>
        <w:t>参股出资的资金额的</w:t>
      </w:r>
      <w:r>
        <w:rPr>
          <w:rFonts w:hint="eastAsia"/>
          <w:highlight w:val="yellow"/>
          <w:lang w:val="en-US" w:eastAsia="zh-CN"/>
        </w:rPr>
        <w:t>1.5</w:t>
      </w:r>
      <w:r>
        <w:rPr>
          <w:rFonts w:hint="eastAsia"/>
          <w:highlight w:val="yellow"/>
        </w:rPr>
        <w:t>倍</w:t>
      </w:r>
      <w:r>
        <w:rPr>
          <w:rFonts w:hint="eastAsia"/>
        </w:rPr>
        <w:t>（下称返投）。对社会资本出资比例较高或者规模较大的子基金，返投要求可按照“一事一议”方式适当放宽。</w:t>
      </w:r>
    </w:p>
    <w:p w14:paraId="0FF800E7">
      <w:pPr>
        <w:pStyle w:val="2"/>
        <w:numPr>
          <w:ilvl w:val="0"/>
          <w:numId w:val="3"/>
        </w:numPr>
        <w:spacing w:before="0" w:line="560" w:lineRule="exact"/>
        <w:ind w:left="0" w:leftChars="0" w:right="0" w:firstLine="640" w:firstLineChars="200"/>
        <w:jc w:val="left"/>
        <w:rPr>
          <w:rFonts w:hint="eastAsia"/>
          <w:lang w:val="en-US" w:eastAsia="zh-CN"/>
        </w:rPr>
      </w:pPr>
      <w:r>
        <w:rPr>
          <w:rFonts w:hint="eastAsia"/>
        </w:rPr>
        <w:t>基金运行。新设子基金原则上注册在</w:t>
      </w:r>
      <w:r>
        <w:rPr>
          <w:rFonts w:hint="eastAsia"/>
          <w:lang w:val="en-US" w:eastAsia="zh-CN"/>
        </w:rPr>
        <w:t>荔湾</w:t>
      </w:r>
      <w:r>
        <w:rPr>
          <w:rFonts w:hint="eastAsia"/>
        </w:rPr>
        <w:t>区，且选择在</w:t>
      </w:r>
      <w:r>
        <w:rPr>
          <w:rFonts w:hint="eastAsia"/>
          <w:lang w:val="en-US" w:eastAsia="zh-CN"/>
        </w:rPr>
        <w:t>荔湾</w:t>
      </w:r>
      <w:r>
        <w:rPr>
          <w:rFonts w:hint="eastAsia"/>
        </w:rPr>
        <w:t>区注册纳税且数据纳统的商业银行作为托管行，</w:t>
      </w:r>
      <w:r>
        <w:rPr>
          <w:rFonts w:hint="eastAsia"/>
          <w:lang w:val="en-US" w:eastAsia="zh-CN"/>
        </w:rPr>
        <w:t>子基金原则上以直投项目方式进行投资，不得再投资于其他基金。</w:t>
      </w:r>
    </w:p>
    <w:p w14:paraId="4F5C05FB">
      <w:pPr>
        <w:pStyle w:val="2"/>
        <w:numPr>
          <w:ilvl w:val="0"/>
          <w:numId w:val="3"/>
        </w:numPr>
        <w:spacing w:before="0" w:line="560" w:lineRule="exact"/>
        <w:ind w:left="0" w:leftChars="0" w:right="0" w:firstLine="640" w:firstLineChars="200"/>
        <w:jc w:val="left"/>
        <w:rPr>
          <w:rFonts w:hint="eastAsia"/>
        </w:rPr>
      </w:pPr>
      <w:r>
        <w:rPr>
          <w:rFonts w:hint="eastAsia"/>
        </w:rPr>
        <w:t>规范运作。子基金管理团队管理应根据相关法律法规规范治理结构、日常管理和投资运作行为，建立健全严格的投资决策程序、风险控制机制和健全的财务管理制度。</w:t>
      </w:r>
    </w:p>
    <w:p w14:paraId="2B64351E">
      <w:pPr>
        <w:pStyle w:val="2"/>
        <w:numPr>
          <w:ilvl w:val="0"/>
          <w:numId w:val="3"/>
        </w:numPr>
        <w:spacing w:before="0" w:line="560" w:lineRule="exact"/>
        <w:ind w:left="0" w:leftChars="0" w:right="0" w:firstLine="640" w:firstLineChars="200"/>
        <w:jc w:val="left"/>
        <w:rPr>
          <w:rFonts w:hint="eastAsia"/>
          <w:lang w:eastAsia="zh-CN"/>
        </w:rPr>
      </w:pPr>
      <w:r>
        <w:rPr>
          <w:rFonts w:hint="eastAsia"/>
          <w:lang w:val="en-US" w:eastAsia="zh-CN"/>
        </w:rPr>
        <w:t>定期报告。子基金应在每季度结束10日内向产业投资基金受托管理机构书面报告子基金运行及资金使用情况，每年结束之日起4个月内报送经审计的年度报告。产业投资基金受托管理机构视工作需要可委托专业机构对子基金进行审计。</w:t>
      </w:r>
    </w:p>
    <w:p w14:paraId="0DAEE343">
      <w:pPr>
        <w:pStyle w:val="2"/>
        <w:numPr>
          <w:ilvl w:val="0"/>
          <w:numId w:val="3"/>
        </w:numPr>
        <w:spacing w:before="0" w:line="560" w:lineRule="exact"/>
        <w:ind w:left="0" w:leftChars="0" w:right="0" w:firstLine="640" w:firstLineChars="200"/>
        <w:jc w:val="left"/>
        <w:rPr>
          <w:rFonts w:hint="eastAsia"/>
          <w:lang w:val="en-US" w:eastAsia="zh-CN"/>
        </w:rPr>
      </w:pPr>
      <w:r>
        <w:rPr>
          <w:rFonts w:hint="eastAsia"/>
          <w:lang w:val="en-US" w:eastAsia="zh-CN"/>
        </w:rPr>
        <w:t>管理费用。子基金管理机构可以按子基金合伙协议或相关章程约定从子基金资产中计提一定比例的管理费用。产业投资基金出资部分年度管理费用一般不超过产业投资基金对该子基金实缴金额的</w:t>
      </w:r>
      <w:r>
        <w:rPr>
          <w:rFonts w:hint="eastAsia"/>
          <w:highlight w:val="yellow"/>
          <w:lang w:val="en-US" w:eastAsia="zh-CN"/>
        </w:rPr>
        <w:t>2.0%</w:t>
      </w:r>
      <w:r>
        <w:rPr>
          <w:rFonts w:hint="eastAsia"/>
          <w:lang w:val="en-US" w:eastAsia="zh-CN"/>
        </w:rPr>
        <w:t>，具体标准在签署的合伙协议等法律文件中明确。</w:t>
      </w:r>
    </w:p>
    <w:p w14:paraId="074EEF62">
      <w:pPr>
        <w:pStyle w:val="2"/>
        <w:numPr>
          <w:ilvl w:val="0"/>
          <w:numId w:val="3"/>
        </w:numPr>
        <w:spacing w:before="0" w:line="560" w:lineRule="exact"/>
        <w:ind w:left="0" w:leftChars="0" w:right="0" w:firstLine="640" w:firstLineChars="200"/>
        <w:jc w:val="left"/>
        <w:rPr>
          <w:rFonts w:hint="eastAsia"/>
          <w:lang w:val="en-US" w:eastAsia="zh-CN"/>
        </w:rPr>
      </w:pPr>
      <w:r>
        <w:rPr>
          <w:rFonts w:hint="eastAsia"/>
          <w:lang w:val="en-US" w:eastAsia="zh-CN"/>
        </w:rPr>
        <w:t>收益分配原则。子基金应当按照“先回本、后分利”的原则进行核算。具体收益分配方法在签署的合伙协议等法律文件中明确。</w:t>
      </w:r>
    </w:p>
    <w:p w14:paraId="3698B4C0">
      <w:pPr>
        <w:pStyle w:val="2"/>
        <w:numPr>
          <w:ilvl w:val="-1"/>
          <w:numId w:val="0"/>
        </w:numPr>
        <w:spacing w:before="0" w:line="560" w:lineRule="exact"/>
        <w:ind w:left="0" w:leftChars="0" w:right="0" w:firstLine="640" w:firstLineChars="200"/>
        <w:jc w:val="left"/>
        <w:rPr>
          <w:rFonts w:hint="eastAsia"/>
        </w:rPr>
      </w:pPr>
      <w:r>
        <w:rPr>
          <w:rFonts w:hint="eastAsia"/>
          <w:lang w:val="en-US" w:eastAsia="zh-CN"/>
        </w:rPr>
        <w:t>（九）退出机制。</w:t>
      </w:r>
      <w:r>
        <w:rPr>
          <w:rFonts w:hint="eastAsia"/>
        </w:rPr>
        <w:t>子基金的存续期限原则上不得超过</w:t>
      </w:r>
      <w:r>
        <w:rPr>
          <w:rFonts w:hint="eastAsia"/>
          <w:lang w:val="en-US" w:eastAsia="zh-CN"/>
        </w:rPr>
        <w:t>产业投资</w:t>
      </w:r>
      <w:r>
        <w:rPr>
          <w:rFonts w:hint="eastAsia"/>
        </w:rPr>
        <w:t>基金的到期期限</w:t>
      </w:r>
      <w:r>
        <w:rPr>
          <w:rFonts w:hint="eastAsia"/>
          <w:lang w:eastAsia="zh-CN"/>
        </w:rPr>
        <w:t>，</w:t>
      </w:r>
      <w:r>
        <w:rPr>
          <w:rFonts w:hint="eastAsia"/>
          <w:highlight w:val="none"/>
          <w:lang w:eastAsia="zh-CN"/>
        </w:rPr>
        <w:t>存续期内遇有重大事项变更或者存续期满确需延期的，由</w:t>
      </w:r>
      <w:bookmarkStart w:id="2" w:name="OLE_LINK1"/>
      <w:r>
        <w:rPr>
          <w:rFonts w:hint="eastAsia"/>
          <w:highlight w:val="none"/>
          <w:lang w:val="en-US" w:eastAsia="zh-CN"/>
        </w:rPr>
        <w:t>产业投资</w:t>
      </w:r>
      <w:r>
        <w:rPr>
          <w:rFonts w:hint="eastAsia"/>
          <w:highlight w:val="none"/>
          <w:lang w:eastAsia="zh-CN"/>
        </w:rPr>
        <w:t>基金的决策机构审议通过后</w:t>
      </w:r>
      <w:bookmarkEnd w:id="2"/>
      <w:r>
        <w:rPr>
          <w:rFonts w:hint="eastAsia"/>
          <w:highlight w:val="none"/>
          <w:lang w:eastAsia="zh-CN"/>
        </w:rPr>
        <w:t>办理变更或者延期手续</w:t>
      </w:r>
      <w:r>
        <w:rPr>
          <w:rFonts w:hint="eastAsia"/>
          <w:highlight w:val="none"/>
        </w:rPr>
        <w:t>。</w:t>
      </w:r>
      <w:r>
        <w:t>子基金完成</w:t>
      </w:r>
      <w:r>
        <w:rPr>
          <w:rFonts w:hint="eastAsia"/>
          <w:lang w:val="en-US" w:eastAsia="zh-CN"/>
        </w:rPr>
        <w:t>产业投资</w:t>
      </w:r>
      <w:r>
        <w:t>基金返投要求后，在有受让人的情况下，</w:t>
      </w:r>
      <w:r>
        <w:rPr>
          <w:rFonts w:hint="eastAsia"/>
          <w:lang w:val="en-US" w:eastAsia="zh-CN"/>
        </w:rPr>
        <w:t>产业投资</w:t>
      </w:r>
      <w:r>
        <w:t>基金可适时退出子基金，</w:t>
      </w:r>
      <w:r>
        <w:rPr>
          <w:rFonts w:hint="eastAsia"/>
          <w:lang w:val="en-US" w:eastAsia="zh-CN"/>
        </w:rPr>
        <w:t>产业投资基金</w:t>
      </w:r>
      <w:r>
        <w:rPr>
          <w:rFonts w:hint="eastAsia"/>
        </w:rPr>
        <w:t>一般与其他出资人同股同权，原则上按照市场公允价值退出。</w:t>
      </w:r>
    </w:p>
    <w:p w14:paraId="21F6FE04">
      <w:pPr>
        <w:pStyle w:val="2"/>
        <w:numPr>
          <w:ilvl w:val="0"/>
          <w:numId w:val="1"/>
        </w:numPr>
        <w:spacing w:before="0" w:line="560" w:lineRule="exact"/>
        <w:ind w:left="0" w:leftChars="0" w:right="0" w:firstLine="640" w:firstLineChars="200"/>
        <w:jc w:val="both"/>
        <w:rPr>
          <w:rFonts w:hint="eastAsia"/>
        </w:rPr>
      </w:pPr>
      <w:r>
        <w:rPr>
          <w:rFonts w:hint="eastAsia"/>
        </w:rPr>
        <w:t>子基金返投认定范围及标准为：</w:t>
      </w:r>
    </w:p>
    <w:p w14:paraId="340E8C8A">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（一）子基金直接投资</w:t>
      </w:r>
      <w:r>
        <w:rPr>
          <w:rFonts w:hint="eastAsia"/>
          <w:lang w:val="en-US" w:eastAsia="zh-CN"/>
        </w:rPr>
        <w:t>荔湾</w:t>
      </w:r>
      <w:r>
        <w:rPr>
          <w:rFonts w:hint="eastAsia"/>
        </w:rPr>
        <w:t>区企业的，按实际投资金额计算；</w:t>
      </w:r>
    </w:p>
    <w:p w14:paraId="13725005">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（二）被投资企业在获得投资后，在子基金投资期限内将注册地迁入</w:t>
      </w:r>
      <w:r>
        <w:rPr>
          <w:rFonts w:hint="eastAsia"/>
          <w:lang w:val="en-US" w:eastAsia="zh-CN"/>
        </w:rPr>
        <w:t>荔湾</w:t>
      </w:r>
      <w:r>
        <w:rPr>
          <w:rFonts w:hint="eastAsia"/>
        </w:rPr>
        <w:t>区，或者研发中心、生产基地、销售公司等对</w:t>
      </w:r>
      <w:r>
        <w:rPr>
          <w:rFonts w:hint="eastAsia"/>
          <w:lang w:val="en-US" w:eastAsia="zh-CN"/>
        </w:rPr>
        <w:t>荔湾</w:t>
      </w:r>
      <w:r>
        <w:rPr>
          <w:rFonts w:hint="eastAsia"/>
        </w:rPr>
        <w:t>区可产生税收贡献的子公司设立或迁入</w:t>
      </w:r>
      <w:r>
        <w:rPr>
          <w:rFonts w:hint="eastAsia"/>
          <w:lang w:val="en-US" w:eastAsia="zh-CN"/>
        </w:rPr>
        <w:t>荔湾</w:t>
      </w:r>
      <w:r>
        <w:rPr>
          <w:rFonts w:hint="eastAsia"/>
        </w:rPr>
        <w:t>区的，以实际投资企业金额计算；</w:t>
      </w:r>
    </w:p>
    <w:p w14:paraId="1142FA64">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（三）子基金投资的区外企业在</w:t>
      </w:r>
      <w:r>
        <w:rPr>
          <w:rFonts w:hint="eastAsia"/>
          <w:lang w:val="en-US" w:eastAsia="zh-CN"/>
        </w:rPr>
        <w:t>荔湾</w:t>
      </w:r>
      <w:r>
        <w:rPr>
          <w:rFonts w:hint="eastAsia"/>
        </w:rPr>
        <w:t>区投资设立新企业并有实质性经营活动的，以新设立企业的实际投资金额计算；</w:t>
      </w:r>
    </w:p>
    <w:p w14:paraId="6FEFDBD1">
      <w:pPr>
        <w:pStyle w:val="2"/>
        <w:numPr>
          <w:ilvl w:val="-1"/>
          <w:numId w:val="0"/>
        </w:numPr>
        <w:tabs>
          <w:tab w:val="left" w:pos="0"/>
        </w:tabs>
        <w:spacing w:before="0" w:line="560" w:lineRule="exact"/>
        <w:ind w:left="0" w:leftChars="0" w:right="0" w:firstLine="640" w:firstLineChars="200"/>
        <w:jc w:val="both"/>
        <w:rPr>
          <w:rFonts w:hint="eastAsia" w:eastAsia="仿宋_GB2312"/>
          <w:lang w:eastAsia="zh-CN"/>
        </w:rPr>
      </w:pPr>
      <w:r>
        <w:rPr>
          <w:rFonts w:hint="eastAsia"/>
        </w:rPr>
        <w:t>（四）投资的</w:t>
      </w:r>
      <w:r>
        <w:rPr>
          <w:rFonts w:hint="eastAsia"/>
          <w:lang w:val="en-US" w:eastAsia="zh-CN"/>
        </w:rPr>
        <w:t>荔湾</w:t>
      </w:r>
      <w:r>
        <w:rPr>
          <w:rFonts w:hint="eastAsia"/>
        </w:rPr>
        <w:t>区外企业以股权投资方式投资</w:t>
      </w:r>
      <w:r>
        <w:rPr>
          <w:rFonts w:hint="eastAsia"/>
          <w:lang w:val="en-US" w:eastAsia="zh-CN"/>
        </w:rPr>
        <w:t>荔湾</w:t>
      </w:r>
      <w:r>
        <w:rPr>
          <w:rFonts w:hint="eastAsia"/>
        </w:rPr>
        <w:t>区内企业的</w:t>
      </w:r>
      <w:r>
        <w:rPr>
          <w:rFonts w:hint="eastAsia"/>
          <w:lang w:eastAsia="zh-CN"/>
        </w:rPr>
        <w:t>，</w:t>
      </w:r>
      <w:r>
        <w:rPr>
          <w:rFonts w:hint="eastAsia"/>
        </w:rPr>
        <w:t>以实际投资企业金额计算；</w:t>
      </w:r>
    </w:p>
    <w:p w14:paraId="391C0557">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w:t>
      </w:r>
      <w:r>
        <w:rPr>
          <w:rFonts w:hint="eastAsia"/>
          <w:lang w:val="en-US" w:eastAsia="zh-CN"/>
        </w:rPr>
        <w:t>五</w:t>
      </w:r>
      <w:r>
        <w:rPr>
          <w:rFonts w:hint="eastAsia"/>
        </w:rPr>
        <w:t>）子基金、子基金管理公司、子基金管理公司的关联机构及其管理的其他基金将已投资的企业和项目引进</w:t>
      </w:r>
      <w:r>
        <w:rPr>
          <w:rFonts w:hint="eastAsia"/>
          <w:lang w:val="en-US" w:eastAsia="zh-CN"/>
        </w:rPr>
        <w:t>荔湾</w:t>
      </w:r>
      <w:r>
        <w:rPr>
          <w:rFonts w:hint="eastAsia"/>
        </w:rPr>
        <w:t>区的，以新增落地</w:t>
      </w:r>
      <w:r>
        <w:rPr>
          <w:rFonts w:hint="eastAsia"/>
          <w:lang w:val="en-US" w:eastAsia="zh-CN"/>
        </w:rPr>
        <w:t>荔湾</w:t>
      </w:r>
      <w:r>
        <w:rPr>
          <w:rFonts w:hint="eastAsia"/>
        </w:rPr>
        <w:t>区的实际投资金额计算；</w:t>
      </w:r>
    </w:p>
    <w:p w14:paraId="086F5EFA">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w:t>
      </w:r>
      <w:r>
        <w:rPr>
          <w:rFonts w:hint="eastAsia"/>
          <w:lang w:val="en-US" w:eastAsia="zh-CN"/>
        </w:rPr>
        <w:t>六</w:t>
      </w:r>
      <w:r>
        <w:rPr>
          <w:rFonts w:hint="eastAsia"/>
        </w:rPr>
        <w:t>）子基金管理公司在管的其他基金新增投资</w:t>
      </w:r>
      <w:r>
        <w:rPr>
          <w:rFonts w:hint="eastAsia"/>
          <w:lang w:val="en-US" w:eastAsia="zh-CN"/>
        </w:rPr>
        <w:t>荔湾</w:t>
      </w:r>
      <w:r>
        <w:rPr>
          <w:rFonts w:hint="eastAsia"/>
        </w:rPr>
        <w:t>区企业的，以实际投资金额计算。</w:t>
      </w:r>
    </w:p>
    <w:p w14:paraId="4CD726F3">
      <w:pPr>
        <w:pStyle w:val="2"/>
        <w:numPr>
          <w:ilvl w:val="-1"/>
          <w:numId w:val="0"/>
        </w:numPr>
        <w:tabs>
          <w:tab w:val="left" w:pos="0"/>
        </w:tabs>
        <w:spacing w:before="0" w:line="560" w:lineRule="exact"/>
        <w:ind w:left="0" w:leftChars="0" w:right="0" w:firstLine="640" w:firstLineChars="200"/>
        <w:jc w:val="both"/>
        <w:rPr>
          <w:rFonts w:hint="eastAsia"/>
        </w:rPr>
      </w:pPr>
      <w:r>
        <w:rPr>
          <w:rFonts w:hint="eastAsia"/>
        </w:rPr>
        <w:t>（</w:t>
      </w:r>
      <w:r>
        <w:rPr>
          <w:rFonts w:hint="eastAsia"/>
          <w:lang w:val="en-US" w:eastAsia="zh-CN"/>
        </w:rPr>
        <w:t>七</w:t>
      </w:r>
      <w:r>
        <w:rPr>
          <w:rFonts w:hint="eastAsia"/>
        </w:rPr>
        <w:t>）其他可认定为投资</w:t>
      </w:r>
      <w:r>
        <w:rPr>
          <w:rFonts w:hint="eastAsia"/>
          <w:lang w:val="en-US" w:eastAsia="zh-CN"/>
        </w:rPr>
        <w:t>荔湾</w:t>
      </w:r>
      <w:r>
        <w:rPr>
          <w:rFonts w:hint="eastAsia"/>
        </w:rPr>
        <w:t>区企业的。</w:t>
      </w:r>
    </w:p>
    <w:p w14:paraId="1E3DBA8D">
      <w:pPr>
        <w:numPr>
          <w:ilvl w:val="0"/>
          <w:numId w:val="0"/>
        </w:numPr>
        <w:tabs>
          <w:tab w:val="left" w:pos="0"/>
        </w:tabs>
        <w:spacing w:beforeLines="0" w:afterLines="0" w:line="500" w:lineRule="exact"/>
        <w:ind w:firstLine="440" w:firstLineChars="200"/>
        <w:jc w:val="both"/>
        <w:rPr>
          <w:rFonts w:hint="eastAsia"/>
        </w:rPr>
      </w:pPr>
    </w:p>
    <w:p w14:paraId="0EA493FE">
      <w:pPr>
        <w:pStyle w:val="2"/>
        <w:numPr>
          <w:ilvl w:val="0"/>
          <w:numId w:val="1"/>
        </w:numPr>
        <w:spacing w:before="0" w:line="560" w:lineRule="exact"/>
        <w:ind w:left="0" w:leftChars="0" w:right="0" w:firstLine="640" w:firstLineChars="200"/>
        <w:jc w:val="both"/>
        <w:rPr>
          <w:rFonts w:hint="default" w:eastAsia="仿宋_GB2312"/>
          <w:highlight w:val="none"/>
          <w:lang w:val="en-US" w:eastAsia="zh-CN"/>
        </w:rPr>
      </w:pPr>
      <w:r>
        <w:rPr>
          <w:rFonts w:hint="eastAsia"/>
          <w:highlight w:val="none"/>
          <w:lang w:val="en-US" w:eastAsia="zh-CN"/>
        </w:rPr>
        <w:t>产业投资基金按照以下程序遴选符合条件的合作机构组建子基金：</w:t>
      </w:r>
    </w:p>
    <w:p w14:paraId="3F651262">
      <w:pPr>
        <w:pStyle w:val="2"/>
        <w:numPr>
          <w:ilvl w:val="-1"/>
          <w:numId w:val="0"/>
        </w:numPr>
        <w:tabs>
          <w:tab w:val="left" w:pos="0"/>
        </w:tabs>
        <w:spacing w:before="0" w:line="560" w:lineRule="exact"/>
        <w:ind w:left="0" w:leftChars="0" w:right="0" w:firstLine="640" w:firstLineChars="200"/>
        <w:jc w:val="both"/>
        <w:rPr>
          <w:rFonts w:hint="default" w:eastAsia="仿宋_GB2312"/>
          <w:highlight w:val="none"/>
          <w:lang w:val="en-US" w:eastAsia="zh-CN"/>
        </w:rPr>
      </w:pPr>
      <w:r>
        <w:rPr>
          <w:rFonts w:hint="default" w:eastAsia="仿宋_GB2312"/>
          <w:highlight w:val="none"/>
          <w:lang w:val="en-US" w:eastAsia="zh-CN"/>
        </w:rPr>
        <w:t>（一）公开征集。</w:t>
      </w:r>
      <w:r>
        <w:rPr>
          <w:rFonts w:hint="eastAsia"/>
          <w:highlight w:val="none"/>
          <w:lang w:val="en-US" w:eastAsia="zh-CN"/>
        </w:rPr>
        <w:t>按照产业投资基金资金安排计划，由产业投资基金</w:t>
      </w:r>
      <w:r>
        <w:rPr>
          <w:rFonts w:hint="default" w:eastAsia="仿宋_GB2312"/>
          <w:highlight w:val="none"/>
          <w:lang w:val="en-US" w:eastAsia="zh-CN"/>
        </w:rPr>
        <w:t>受托管理机构研究制订并面向社会发布申报指南。申报机构根据申报指南及本办法的规定和要求编制申报材料，报送</w:t>
      </w:r>
      <w:r>
        <w:rPr>
          <w:rFonts w:hint="eastAsia"/>
          <w:highlight w:val="none"/>
          <w:lang w:val="en-US" w:eastAsia="zh-CN"/>
        </w:rPr>
        <w:t>产业投资基金</w:t>
      </w:r>
      <w:r>
        <w:rPr>
          <w:rFonts w:hint="default" w:eastAsia="仿宋_GB2312"/>
          <w:highlight w:val="none"/>
          <w:lang w:val="en-US" w:eastAsia="zh-CN"/>
        </w:rPr>
        <w:t>受托管理机构</w:t>
      </w:r>
      <w:r>
        <w:rPr>
          <w:rFonts w:hint="eastAsia"/>
          <w:highlight w:val="none"/>
          <w:lang w:val="en-US" w:eastAsia="zh-CN"/>
        </w:rPr>
        <w:t>；</w:t>
      </w:r>
    </w:p>
    <w:p w14:paraId="72E1E290">
      <w:pPr>
        <w:pStyle w:val="2"/>
        <w:numPr>
          <w:ilvl w:val="-1"/>
          <w:numId w:val="0"/>
        </w:numPr>
        <w:tabs>
          <w:tab w:val="left" w:pos="0"/>
        </w:tabs>
        <w:spacing w:before="0" w:line="560" w:lineRule="exact"/>
        <w:ind w:left="0" w:leftChars="0" w:right="0" w:firstLine="640" w:firstLineChars="200"/>
        <w:jc w:val="both"/>
        <w:rPr>
          <w:rFonts w:hint="default" w:eastAsia="仿宋_GB2312"/>
          <w:highlight w:val="none"/>
          <w:lang w:val="en-US" w:eastAsia="zh-CN"/>
        </w:rPr>
      </w:pPr>
      <w:r>
        <w:rPr>
          <w:rFonts w:hint="default" w:eastAsia="仿宋_GB2312"/>
          <w:highlight w:val="none"/>
          <w:lang w:val="en-US" w:eastAsia="zh-CN"/>
        </w:rPr>
        <w:t>（二）尽职调查。</w:t>
      </w:r>
      <w:r>
        <w:rPr>
          <w:rFonts w:hint="eastAsia"/>
          <w:highlight w:val="none"/>
          <w:lang w:val="en-US" w:eastAsia="zh-CN"/>
        </w:rPr>
        <w:t>产业投资基金</w:t>
      </w:r>
      <w:r>
        <w:rPr>
          <w:rFonts w:hint="default" w:eastAsia="仿宋_GB2312"/>
          <w:highlight w:val="none"/>
          <w:lang w:val="en-US" w:eastAsia="zh-CN"/>
        </w:rPr>
        <w:t>受托管理机构对子基金及申报机构（子基金管理人）</w:t>
      </w:r>
      <w:r>
        <w:rPr>
          <w:rFonts w:hint="eastAsia"/>
          <w:highlight w:val="none"/>
          <w:lang w:val="en-US" w:eastAsia="zh-CN"/>
        </w:rPr>
        <w:t>进行筛选，并</w:t>
      </w:r>
      <w:r>
        <w:rPr>
          <w:rFonts w:hint="default" w:eastAsia="仿宋_GB2312"/>
          <w:highlight w:val="none"/>
          <w:lang w:val="en-US" w:eastAsia="zh-CN"/>
        </w:rPr>
        <w:t>进行尽职调查和投资分析</w:t>
      </w:r>
      <w:r>
        <w:rPr>
          <w:rFonts w:hint="eastAsia"/>
          <w:highlight w:val="none"/>
          <w:lang w:val="en-US" w:eastAsia="zh-CN"/>
        </w:rPr>
        <w:t>；</w:t>
      </w:r>
    </w:p>
    <w:p w14:paraId="26B307C8">
      <w:pPr>
        <w:pStyle w:val="2"/>
        <w:numPr>
          <w:ilvl w:val="-1"/>
          <w:numId w:val="0"/>
        </w:numPr>
        <w:tabs>
          <w:tab w:val="left" w:pos="0"/>
        </w:tabs>
        <w:spacing w:before="0" w:line="560" w:lineRule="exact"/>
        <w:ind w:left="0" w:leftChars="0" w:right="0" w:firstLine="640" w:firstLineChars="200"/>
        <w:jc w:val="both"/>
        <w:rPr>
          <w:rFonts w:hint="default" w:eastAsia="仿宋_GB2312"/>
          <w:highlight w:val="none"/>
          <w:lang w:val="en-US" w:eastAsia="zh-CN"/>
        </w:rPr>
      </w:pPr>
      <w:r>
        <w:rPr>
          <w:rFonts w:hint="default" w:eastAsia="仿宋_GB2312"/>
          <w:highlight w:val="none"/>
          <w:lang w:val="en-US" w:eastAsia="zh-CN"/>
        </w:rPr>
        <w:t>（三）</w:t>
      </w:r>
      <w:r>
        <w:rPr>
          <w:rFonts w:hint="eastAsia"/>
          <w:highlight w:val="none"/>
          <w:lang w:val="en-US" w:eastAsia="zh-CN"/>
        </w:rPr>
        <w:t>评审会评审。产业投资基金</w:t>
      </w:r>
      <w:r>
        <w:rPr>
          <w:rFonts w:hint="default" w:eastAsia="仿宋_GB2312"/>
          <w:highlight w:val="none"/>
          <w:lang w:val="en-US" w:eastAsia="zh-CN"/>
        </w:rPr>
        <w:t>受托管理机构组织</w:t>
      </w:r>
      <w:r>
        <w:rPr>
          <w:rFonts w:hint="eastAsia"/>
          <w:highlight w:val="none"/>
          <w:lang w:val="en-US" w:eastAsia="zh-CN"/>
        </w:rPr>
        <w:t>评审会结合</w:t>
      </w:r>
      <w:r>
        <w:rPr>
          <w:rFonts w:hint="default" w:eastAsia="仿宋_GB2312"/>
          <w:highlight w:val="none"/>
          <w:lang w:val="en-US" w:eastAsia="zh-CN"/>
        </w:rPr>
        <w:t>尽职调查结果</w:t>
      </w:r>
      <w:r>
        <w:rPr>
          <w:rFonts w:hint="eastAsia"/>
          <w:highlight w:val="none"/>
          <w:lang w:val="en-US" w:eastAsia="zh-CN"/>
        </w:rPr>
        <w:t>对子基金管理机构申报方案</w:t>
      </w:r>
      <w:r>
        <w:rPr>
          <w:rFonts w:hint="default" w:eastAsia="仿宋_GB2312"/>
          <w:highlight w:val="none"/>
          <w:lang w:val="en-US" w:eastAsia="zh-CN"/>
        </w:rPr>
        <w:t>进行评审，结合评审意见提出拟合作机构（子基金管理人）及意向出资限额方案建议，报</w:t>
      </w:r>
      <w:r>
        <w:rPr>
          <w:rFonts w:hint="eastAsia"/>
          <w:highlight w:val="none"/>
          <w:lang w:val="en-US" w:eastAsia="zh-CN"/>
        </w:rPr>
        <w:t>产业投资基金决策机构</w:t>
      </w:r>
      <w:r>
        <w:rPr>
          <w:rFonts w:hint="default" w:eastAsia="仿宋_GB2312"/>
          <w:highlight w:val="none"/>
          <w:lang w:val="en-US" w:eastAsia="zh-CN"/>
        </w:rPr>
        <w:t>审核；</w:t>
      </w:r>
    </w:p>
    <w:p w14:paraId="5ADF5A5E">
      <w:pPr>
        <w:pStyle w:val="2"/>
        <w:numPr>
          <w:ilvl w:val="-1"/>
          <w:numId w:val="0"/>
        </w:numPr>
        <w:tabs>
          <w:tab w:val="left" w:pos="0"/>
        </w:tabs>
        <w:spacing w:before="0" w:line="560" w:lineRule="exact"/>
        <w:ind w:left="0" w:leftChars="0" w:right="0" w:firstLine="640" w:firstLineChars="200"/>
        <w:jc w:val="both"/>
        <w:rPr>
          <w:rFonts w:hint="default" w:eastAsia="仿宋_GB2312"/>
          <w:highlight w:val="none"/>
          <w:lang w:val="en-US" w:eastAsia="zh-CN"/>
        </w:rPr>
      </w:pPr>
      <w:r>
        <w:rPr>
          <w:rFonts w:hint="default" w:eastAsia="仿宋_GB2312"/>
          <w:highlight w:val="none"/>
          <w:lang w:val="en-US" w:eastAsia="zh-CN"/>
        </w:rPr>
        <w:t>（四）社会公示。经</w:t>
      </w:r>
      <w:r>
        <w:rPr>
          <w:rFonts w:hint="eastAsia"/>
          <w:highlight w:val="none"/>
          <w:lang w:val="en-US" w:eastAsia="zh-CN"/>
        </w:rPr>
        <w:t>产业投资基金决策机构</w:t>
      </w:r>
      <w:r>
        <w:rPr>
          <w:rFonts w:hint="default" w:eastAsia="仿宋_GB2312"/>
          <w:highlight w:val="none"/>
          <w:lang w:val="en-US" w:eastAsia="zh-CN"/>
        </w:rPr>
        <w:t>审核后，将科创母基金拟合作机构（子基金管理人）名单向社会公示5个工作日；公示期间若发现问题，一经核实，予以终止审议程序；</w:t>
      </w:r>
    </w:p>
    <w:p w14:paraId="4C2BDCBF">
      <w:pPr>
        <w:pStyle w:val="2"/>
        <w:numPr>
          <w:ilvl w:val="-1"/>
          <w:numId w:val="0"/>
        </w:numPr>
        <w:tabs>
          <w:tab w:val="left" w:pos="0"/>
        </w:tabs>
        <w:spacing w:before="0" w:line="560" w:lineRule="exact"/>
        <w:ind w:left="0" w:leftChars="0" w:right="0" w:firstLine="640" w:firstLineChars="200"/>
        <w:jc w:val="both"/>
        <w:rPr>
          <w:rFonts w:hint="eastAsia"/>
          <w:highlight w:val="none"/>
          <w:lang w:val="en-US" w:eastAsia="zh-CN"/>
        </w:rPr>
      </w:pPr>
      <w:r>
        <w:rPr>
          <w:rFonts w:hint="default" w:eastAsia="仿宋_GB2312"/>
          <w:highlight w:val="none"/>
          <w:lang w:val="en-US" w:eastAsia="zh-CN"/>
        </w:rPr>
        <w:t>（五）审议决策。经公示无异议或有异议但经调查异议不成立的，</w:t>
      </w:r>
      <w:r>
        <w:rPr>
          <w:rFonts w:hint="eastAsia"/>
          <w:highlight w:val="none"/>
          <w:lang w:val="en-US" w:eastAsia="zh-CN"/>
        </w:rPr>
        <w:t>由产业投资基金受托管理机构</w:t>
      </w:r>
      <w:r>
        <w:rPr>
          <w:rFonts w:hint="default" w:eastAsia="仿宋_GB2312"/>
          <w:highlight w:val="none"/>
          <w:lang w:val="en-US" w:eastAsia="zh-CN"/>
        </w:rPr>
        <w:t>将</w:t>
      </w:r>
      <w:r>
        <w:rPr>
          <w:rFonts w:hint="eastAsia"/>
          <w:highlight w:val="none"/>
          <w:lang w:val="en-US" w:eastAsia="zh-CN"/>
        </w:rPr>
        <w:t>产业投资</w:t>
      </w:r>
      <w:r>
        <w:rPr>
          <w:rFonts w:hint="default" w:eastAsia="仿宋_GB2312"/>
          <w:highlight w:val="none"/>
          <w:lang w:val="en-US" w:eastAsia="zh-CN"/>
        </w:rPr>
        <w:t>基金拟合作机构（子基金管理人）名单及意向出资方案提交</w:t>
      </w:r>
      <w:r>
        <w:rPr>
          <w:rFonts w:hint="eastAsia"/>
          <w:highlight w:val="none"/>
          <w:lang w:val="en-US" w:eastAsia="zh-CN"/>
        </w:rPr>
        <w:t>产业投资基金决策机构</w:t>
      </w:r>
      <w:r>
        <w:rPr>
          <w:rFonts w:hint="default" w:eastAsia="仿宋_GB2312"/>
          <w:highlight w:val="none"/>
          <w:lang w:val="en-US" w:eastAsia="zh-CN"/>
        </w:rPr>
        <w:t>审定</w:t>
      </w:r>
      <w:r>
        <w:rPr>
          <w:rFonts w:hint="eastAsia"/>
          <w:highlight w:val="none"/>
          <w:lang w:val="en-US" w:eastAsia="zh-CN"/>
        </w:rPr>
        <w:t>。</w:t>
      </w:r>
    </w:p>
    <w:p w14:paraId="33B0C3FD">
      <w:pPr>
        <w:pStyle w:val="2"/>
        <w:numPr>
          <w:ilvl w:val="0"/>
          <w:numId w:val="1"/>
        </w:numPr>
        <w:spacing w:before="0" w:line="560" w:lineRule="exact"/>
        <w:ind w:left="0" w:leftChars="0" w:right="0" w:firstLine="640" w:firstLineChars="200"/>
        <w:jc w:val="both"/>
        <w:rPr>
          <w:rFonts w:hint="default"/>
          <w:highlight w:val="none"/>
          <w:lang w:val="en-US" w:eastAsia="zh-CN"/>
        </w:rPr>
      </w:pPr>
      <w:r>
        <w:rPr>
          <w:rFonts w:hint="eastAsia"/>
          <w:highlight w:val="none"/>
        </w:rPr>
        <w:t>子基金</w:t>
      </w:r>
      <w:r>
        <w:rPr>
          <w:rFonts w:hint="eastAsia"/>
          <w:highlight w:val="none"/>
          <w:lang w:val="en-US" w:eastAsia="zh-CN"/>
        </w:rPr>
        <w:t>管理机构应符合本办法第八条所列条件。</w:t>
      </w:r>
    </w:p>
    <w:p w14:paraId="09364743">
      <w:pPr>
        <w:pStyle w:val="2"/>
        <w:spacing w:line="560" w:lineRule="exact"/>
        <w:ind w:left="351" w:right="671"/>
        <w:jc w:val="center"/>
        <w:rPr>
          <w:rFonts w:hint="eastAsia" w:ascii="黑体" w:eastAsia="黑体"/>
        </w:rPr>
      </w:pPr>
    </w:p>
    <w:p w14:paraId="3B799888">
      <w:pPr>
        <w:pStyle w:val="2"/>
        <w:spacing w:line="560" w:lineRule="exact"/>
        <w:ind w:left="351" w:right="671"/>
        <w:jc w:val="center"/>
        <w:rPr>
          <w:rFonts w:hint="eastAsia" w:ascii="黑体" w:eastAsia="黑体"/>
        </w:rPr>
      </w:pPr>
      <w:r>
        <w:rPr>
          <w:rFonts w:hint="eastAsia" w:ascii="黑体" w:eastAsia="黑体"/>
          <w:lang w:val="en-US" w:eastAsia="zh-CN"/>
        </w:rPr>
        <w:t xml:space="preserve">第六章  </w:t>
      </w:r>
      <w:r>
        <w:rPr>
          <w:rFonts w:hint="eastAsia" w:ascii="黑体" w:eastAsia="黑体"/>
        </w:rPr>
        <w:t>风险控制</w:t>
      </w:r>
    </w:p>
    <w:p w14:paraId="7E5FFC82">
      <w:pPr>
        <w:pStyle w:val="2"/>
        <w:spacing w:before="0" w:line="560" w:lineRule="exact"/>
        <w:rPr>
          <w:rFonts w:ascii="黑体"/>
          <w:sz w:val="26"/>
        </w:rPr>
      </w:pPr>
    </w:p>
    <w:p w14:paraId="4EA53C08">
      <w:pPr>
        <w:pStyle w:val="2"/>
        <w:numPr>
          <w:ilvl w:val="0"/>
          <w:numId w:val="1"/>
        </w:numPr>
        <w:spacing w:before="0" w:line="560" w:lineRule="exact"/>
        <w:ind w:left="0" w:right="0" w:firstLine="640" w:firstLineChars="200"/>
        <w:jc w:val="both"/>
      </w:pPr>
      <w:r>
        <w:t>受托管理机构应当遵照有关规定，建立基金投资决策和风险约束机制，加强投后管理，切实防范基金投资运作过程中可能出现的风险。</w:t>
      </w:r>
    </w:p>
    <w:p w14:paraId="6E4957BF">
      <w:pPr>
        <w:pStyle w:val="2"/>
        <w:numPr>
          <w:ilvl w:val="0"/>
          <w:numId w:val="1"/>
        </w:numPr>
        <w:spacing w:before="0" w:line="560" w:lineRule="exact"/>
        <w:ind w:left="0" w:right="0" w:firstLine="640" w:firstLineChars="200"/>
        <w:jc w:val="both"/>
        <w:rPr>
          <w:sz w:val="32"/>
        </w:rPr>
      </w:pPr>
      <w:r>
        <w:t>产业投资基金</w:t>
      </w:r>
      <w:r>
        <w:rPr>
          <w:rFonts w:hint="eastAsia"/>
          <w:lang w:val="en-US" w:eastAsia="zh-CN"/>
        </w:rPr>
        <w:t>及参股设立的子基金</w:t>
      </w:r>
      <w:r>
        <w:t>资金不得从事以下业务</w:t>
      </w:r>
      <w:r>
        <w:rPr>
          <w:sz w:val="32"/>
        </w:rPr>
        <w:t>：</w:t>
      </w:r>
    </w:p>
    <w:p w14:paraId="13CF4D6B">
      <w:pPr>
        <w:pStyle w:val="2"/>
        <w:spacing w:before="0" w:line="560" w:lineRule="exact"/>
        <w:ind w:left="751"/>
      </w:pPr>
      <w:r>
        <w:t>（一）从事融资担保以外的担保、抵押、委托贷款等业务；</w:t>
      </w:r>
    </w:p>
    <w:p w14:paraId="03243A07">
      <w:pPr>
        <w:pStyle w:val="2"/>
        <w:spacing w:before="0" w:line="560" w:lineRule="exact"/>
        <w:ind w:left="111" w:right="313" w:firstLine="640"/>
        <w:rPr>
          <w:spacing w:val="-16"/>
        </w:rPr>
      </w:pPr>
      <w:r>
        <w:t>（二）投资二级市场股票、期货、房地产、证券投资基金、</w:t>
      </w:r>
      <w:r>
        <w:rPr>
          <w:spacing w:val="-28"/>
        </w:rPr>
        <w:t>评级</w:t>
      </w:r>
      <w:r>
        <w:t>AAA</w:t>
      </w:r>
      <w:r>
        <w:rPr>
          <w:spacing w:val="-16"/>
        </w:rPr>
        <w:t>以下的企业债、信托产品、非保本型理财产品、保险计划及其他金融衍生品；</w:t>
      </w:r>
    </w:p>
    <w:p w14:paraId="2E76F8D1">
      <w:pPr>
        <w:pStyle w:val="2"/>
        <w:spacing w:line="560" w:lineRule="exact"/>
        <w:ind w:left="111" w:right="313" w:firstLine="640"/>
        <w:rPr>
          <w:sz w:val="26"/>
        </w:rPr>
      </w:pPr>
      <w:r>
        <w:t>（三）向任何第三方提供赞助、捐赠；</w:t>
      </w:r>
    </w:p>
    <w:p w14:paraId="16592F32">
      <w:pPr>
        <w:pStyle w:val="2"/>
        <w:spacing w:before="0" w:line="560" w:lineRule="exact"/>
        <w:ind w:left="751"/>
      </w:pPr>
      <w:r>
        <w:t>（四</w:t>
      </w:r>
      <w:r>
        <w:rPr>
          <w:spacing w:val="-58"/>
        </w:rPr>
        <w:t>）</w:t>
      </w:r>
      <w:r>
        <w:rPr>
          <w:spacing w:val="-6"/>
        </w:rPr>
        <w:t>吸收或变相吸收存款，或向第三方提供贷款和资金拆</w:t>
      </w:r>
    </w:p>
    <w:p w14:paraId="73D3F0D6">
      <w:pPr>
        <w:pStyle w:val="2"/>
        <w:spacing w:before="0" w:line="560" w:lineRule="exact"/>
        <w:ind w:left="111"/>
      </w:pPr>
      <w:r>
        <w:t>借；</w:t>
      </w:r>
    </w:p>
    <w:p w14:paraId="5387D7EB">
      <w:pPr>
        <w:pStyle w:val="2"/>
        <w:spacing w:before="0" w:line="560" w:lineRule="exact"/>
        <w:ind w:left="751"/>
      </w:pPr>
      <w:r>
        <w:rPr>
          <w:w w:val="95"/>
        </w:rPr>
        <w:t>（五）进行承担无限连带责任的对外投资；</w:t>
      </w:r>
    </w:p>
    <w:p w14:paraId="396FB371">
      <w:pPr>
        <w:pStyle w:val="2"/>
        <w:spacing w:before="0" w:line="560" w:lineRule="exact"/>
        <w:ind w:left="751"/>
      </w:pPr>
      <w:r>
        <w:rPr>
          <w:w w:val="95"/>
        </w:rPr>
        <w:t>（六）发行信托或集合理财产品募集资金；</w:t>
      </w:r>
    </w:p>
    <w:p w14:paraId="09793476">
      <w:pPr>
        <w:pStyle w:val="2"/>
        <w:spacing w:before="0" w:line="560" w:lineRule="exact"/>
        <w:ind w:left="751"/>
      </w:pPr>
      <w:r>
        <w:rPr>
          <w:w w:val="95"/>
        </w:rPr>
        <w:t>（七）其他国家法律法规禁止从事的业务。</w:t>
      </w:r>
    </w:p>
    <w:p w14:paraId="248BA394">
      <w:pPr>
        <w:pStyle w:val="2"/>
        <w:spacing w:line="560" w:lineRule="exact"/>
        <w:ind w:left="351" w:right="671"/>
        <w:jc w:val="center"/>
        <w:rPr>
          <w:rFonts w:ascii="黑体"/>
          <w:sz w:val="20"/>
        </w:rPr>
      </w:pPr>
      <w:r>
        <w:rPr>
          <w:rFonts w:hint="eastAsia" w:ascii="黑体" w:eastAsia="黑体"/>
        </w:rPr>
        <w:t>第</w:t>
      </w:r>
      <w:r>
        <w:rPr>
          <w:rFonts w:hint="eastAsia" w:ascii="黑体" w:eastAsia="黑体"/>
          <w:lang w:val="en-US" w:eastAsia="zh-CN"/>
        </w:rPr>
        <w:t>七</w:t>
      </w:r>
      <w:r>
        <w:rPr>
          <w:rFonts w:hint="eastAsia" w:ascii="黑体" w:eastAsia="黑体"/>
        </w:rPr>
        <w:t>章</w:t>
      </w:r>
      <w:r>
        <w:rPr>
          <w:rFonts w:hint="eastAsia" w:ascii="黑体" w:eastAsia="黑体"/>
          <w:lang w:val="en-US" w:eastAsia="zh-CN"/>
        </w:rPr>
        <w:t xml:space="preserve">  </w:t>
      </w:r>
      <w:r>
        <w:rPr>
          <w:rFonts w:hint="eastAsia" w:ascii="黑体" w:eastAsia="黑体"/>
        </w:rPr>
        <w:t>激励约束机制</w:t>
      </w:r>
    </w:p>
    <w:p w14:paraId="39525AE8">
      <w:pPr>
        <w:pStyle w:val="2"/>
        <w:spacing w:before="0" w:line="560" w:lineRule="exact"/>
        <w:rPr>
          <w:rFonts w:ascii="黑体"/>
          <w:sz w:val="14"/>
        </w:rPr>
      </w:pPr>
    </w:p>
    <w:p w14:paraId="5E139EDD">
      <w:pPr>
        <w:pStyle w:val="2"/>
        <w:numPr>
          <w:ilvl w:val="0"/>
          <w:numId w:val="1"/>
        </w:numPr>
        <w:spacing w:before="0" w:line="560" w:lineRule="exact"/>
        <w:ind w:left="0" w:right="0" w:firstLine="640" w:firstLineChars="200"/>
        <w:jc w:val="both"/>
        <w:rPr>
          <w:rFonts w:hint="eastAsia" w:ascii="仿宋_GB2312" w:hAnsi="仿宋_GB2312" w:eastAsia="仿宋_GB2312" w:cs="仿宋_GB2312"/>
          <w:spacing w:val="-25"/>
          <w:sz w:val="32"/>
          <w:szCs w:val="32"/>
        </w:rPr>
      </w:pPr>
      <w:r>
        <w:rPr>
          <w:rFonts w:hint="eastAsia" w:ascii="仿宋_GB2312" w:hAnsi="仿宋_GB2312" w:eastAsia="仿宋_GB2312" w:cs="仿宋_GB2312"/>
          <w:sz w:val="32"/>
          <w:szCs w:val="32"/>
        </w:rPr>
        <w:t>受托管理机构收取管理费，管理费从有限合伙企</w:t>
      </w:r>
      <w:r>
        <w:rPr>
          <w:rFonts w:hint="eastAsia" w:ascii="仿宋_GB2312" w:hAnsi="仿宋_GB2312" w:eastAsia="仿宋_GB2312" w:cs="仿宋_GB2312"/>
          <w:spacing w:val="-11"/>
          <w:sz w:val="32"/>
          <w:szCs w:val="32"/>
        </w:rPr>
        <w:t>业列支，按考核合格等次预提当年的管理费，在年度考核结果确</w:t>
      </w:r>
      <w:r>
        <w:rPr>
          <w:rFonts w:hint="eastAsia" w:ascii="仿宋_GB2312" w:hAnsi="仿宋_GB2312" w:eastAsia="仿宋_GB2312" w:cs="仿宋_GB2312"/>
          <w:spacing w:val="-21"/>
          <w:sz w:val="32"/>
          <w:szCs w:val="32"/>
        </w:rPr>
        <w:t>定后予以拨付。管理费以基金实缴规模为基数</w:t>
      </w:r>
      <w:r>
        <w:rPr>
          <w:rFonts w:hint="eastAsia" w:cs="仿宋_GB2312"/>
          <w:spacing w:val="-21"/>
          <w:sz w:val="32"/>
          <w:szCs w:val="32"/>
          <w:lang w:val="en-US" w:eastAsia="zh-CN"/>
        </w:rPr>
        <w:t>分档分类实施</w:t>
      </w:r>
      <w:r>
        <w:rPr>
          <w:rFonts w:hint="eastAsia" w:ascii="仿宋_GB2312" w:hAnsi="仿宋_GB2312" w:eastAsia="仿宋_GB2312" w:cs="仿宋_GB2312"/>
          <w:spacing w:val="-21"/>
          <w:sz w:val="32"/>
          <w:szCs w:val="32"/>
        </w:rPr>
        <w:t>，</w:t>
      </w:r>
      <w:r>
        <w:rPr>
          <w:rFonts w:hint="eastAsia" w:cs="仿宋_GB2312"/>
          <w:spacing w:val="-21"/>
          <w:sz w:val="32"/>
          <w:szCs w:val="32"/>
          <w:lang w:val="en-US" w:eastAsia="zh-CN"/>
        </w:rPr>
        <w:t>参股子基金部分的管理费按投资子基金实缴金额的1%每年计提，基金用于直接投资部分的管理费</w:t>
      </w:r>
      <w:r>
        <w:rPr>
          <w:rFonts w:hint="eastAsia" w:ascii="仿宋_GB2312" w:hAnsi="仿宋_GB2312" w:eastAsia="仿宋_GB2312" w:cs="仿宋_GB2312"/>
          <w:spacing w:val="-21"/>
          <w:sz w:val="32"/>
          <w:szCs w:val="32"/>
        </w:rPr>
        <w:t>根据区科工信局、</w:t>
      </w:r>
      <w:r>
        <w:rPr>
          <w:rFonts w:hint="eastAsia" w:ascii="仿宋_GB2312" w:hAnsi="仿宋_GB2312" w:eastAsia="仿宋_GB2312" w:cs="仿宋_GB2312"/>
          <w:spacing w:val="-25"/>
          <w:sz w:val="32"/>
          <w:szCs w:val="32"/>
        </w:rPr>
        <w:t>区财政局对受托管理机构的年度考核结果确定当年管理费率，原则上不高于省同类同期政府投资基金管理费水平。具体标准如下：</w:t>
      </w:r>
    </w:p>
    <w:p w14:paraId="5C2B1E22">
      <w:pPr>
        <w:pStyle w:val="2"/>
        <w:spacing w:before="0" w:line="560" w:lineRule="exact"/>
        <w:ind w:left="111" w:right="431" w:firstLine="64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（一）考核结果为合格等次，年度管理费用比例根据基金实缴规模的2</w:t>
      </w:r>
      <w:r>
        <w:rPr>
          <w:rFonts w:hint="eastAsia" w:ascii="仿宋_GB2312" w:hAnsi="仿宋_GB2312" w:eastAsia="仿宋_GB2312" w:cs="仿宋_GB2312"/>
          <w:spacing w:val="-4"/>
          <w:sz w:val="32"/>
          <w:szCs w:val="32"/>
        </w:rPr>
        <w:drawing>
          <wp:inline distT="0" distB="0" distL="0" distR="0">
            <wp:extent cx="85090" cy="154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4"/>
          <w:sz w:val="32"/>
          <w:szCs w:val="32"/>
        </w:rPr>
        <w:t>予以支付。</w:t>
      </w:r>
    </w:p>
    <w:p w14:paraId="11837F51">
      <w:pPr>
        <w:pStyle w:val="2"/>
        <w:spacing w:before="0" w:line="560" w:lineRule="exact"/>
        <w:ind w:left="111" w:right="431" w:firstLine="64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（二）考核结果为不合格等次，年度管理费用比例根据基金实缴规模的1</w:t>
      </w:r>
      <w:r>
        <w:rPr>
          <w:rFonts w:hint="eastAsia" w:ascii="仿宋_GB2312" w:hAnsi="仿宋_GB2312" w:eastAsia="仿宋_GB2312" w:cs="仿宋_GB2312"/>
          <w:spacing w:val="-4"/>
          <w:sz w:val="32"/>
          <w:szCs w:val="32"/>
        </w:rPr>
        <w:drawing>
          <wp:inline distT="0" distB="0" distL="0" distR="0">
            <wp:extent cx="85090" cy="1549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pacing w:val="-4"/>
          <w:sz w:val="32"/>
          <w:szCs w:val="32"/>
        </w:rPr>
        <w:t>予以支付。</w:t>
      </w:r>
    </w:p>
    <w:p w14:paraId="3F8A26EB">
      <w:pPr>
        <w:pStyle w:val="2"/>
        <w:spacing w:before="0" w:line="560" w:lineRule="exact"/>
        <w:ind w:left="111" w:right="431"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（三）连续两年不合格或累计四次考核不合格，可提前解</w:t>
      </w:r>
      <w:r>
        <w:rPr>
          <w:rFonts w:hint="eastAsia" w:ascii="仿宋_GB2312" w:hAnsi="仿宋_GB2312" w:eastAsia="仿宋_GB2312" w:cs="仿宋_GB2312"/>
          <w:spacing w:val="-4"/>
          <w:w w:val="95"/>
          <w:sz w:val="32"/>
          <w:szCs w:val="32"/>
        </w:rPr>
        <w:t>除</w:t>
      </w:r>
      <w:r>
        <w:rPr>
          <w:rFonts w:hint="eastAsia" w:ascii="仿宋_GB2312" w:hAnsi="仿宋_GB2312" w:eastAsia="仿宋_GB2312" w:cs="仿宋_GB2312"/>
          <w:spacing w:val="-4"/>
          <w:sz w:val="32"/>
          <w:szCs w:val="32"/>
        </w:rPr>
        <w:t>受托管理机构资格。</w:t>
      </w:r>
    </w:p>
    <w:p w14:paraId="4FF02CFC">
      <w:pPr>
        <w:pStyle w:val="2"/>
        <w:spacing w:before="0" w:line="560" w:lineRule="exact"/>
        <w:rPr>
          <w:sz w:val="45"/>
        </w:rPr>
      </w:pPr>
    </w:p>
    <w:p w14:paraId="6E3A84D9">
      <w:pPr>
        <w:pStyle w:val="2"/>
        <w:spacing w:line="560" w:lineRule="exact"/>
        <w:ind w:left="351" w:right="671"/>
        <w:jc w:val="center"/>
        <w:rPr>
          <w:rFonts w:hint="eastAsia" w:ascii="黑体" w:eastAsia="黑体"/>
        </w:rPr>
      </w:pPr>
      <w:r>
        <w:rPr>
          <w:rFonts w:hint="eastAsia" w:ascii="黑体" w:eastAsia="黑体"/>
        </w:rPr>
        <w:t>第</w:t>
      </w:r>
      <w:r>
        <w:rPr>
          <w:rFonts w:hint="eastAsia" w:ascii="黑体" w:eastAsia="黑体"/>
          <w:lang w:val="en-US" w:eastAsia="zh-CN"/>
        </w:rPr>
        <w:t>八</w:t>
      </w:r>
      <w:r>
        <w:rPr>
          <w:rFonts w:hint="eastAsia" w:ascii="黑体" w:eastAsia="黑体"/>
        </w:rPr>
        <w:t>章</w:t>
      </w:r>
      <w:r>
        <w:rPr>
          <w:rFonts w:hint="eastAsia" w:ascii="黑体" w:eastAsia="黑体"/>
          <w:lang w:val="en-US" w:eastAsia="zh-CN"/>
        </w:rPr>
        <w:t xml:space="preserve">  </w:t>
      </w:r>
      <w:r>
        <w:rPr>
          <w:rFonts w:hint="eastAsia" w:ascii="黑体" w:eastAsia="黑体"/>
        </w:rPr>
        <w:t>退出机制</w:t>
      </w:r>
    </w:p>
    <w:p w14:paraId="4C6FCB21">
      <w:pPr>
        <w:pStyle w:val="2"/>
        <w:spacing w:line="560" w:lineRule="exact"/>
        <w:ind w:left="351" w:right="671"/>
        <w:jc w:val="center"/>
        <w:rPr>
          <w:rFonts w:hint="eastAsia" w:ascii="黑体" w:eastAsia="黑体"/>
        </w:rPr>
      </w:pPr>
    </w:p>
    <w:p w14:paraId="60F20366">
      <w:pPr>
        <w:pStyle w:val="2"/>
        <w:numPr>
          <w:ilvl w:val="0"/>
          <w:numId w:val="1"/>
        </w:numPr>
        <w:spacing w:before="0" w:line="560" w:lineRule="exact"/>
        <w:ind w:left="0" w:right="0" w:firstLine="640" w:firstLineChars="200"/>
        <w:jc w:val="both"/>
      </w:pPr>
      <w:r>
        <w:t>有限合伙企业的存续期原则上不超过10年。若需终止并整体回收资金，由区科工信局函告受托管理机构，由受托管理机构按程序处置。如存续期届满，有限合伙企业尚有投资项目未完成退出的，报经区政府批准后，有限合伙企业可以延长存续期至项目全部退出。在存续期延长期内，不得新增投资项目。</w:t>
      </w:r>
    </w:p>
    <w:p w14:paraId="78C07925">
      <w:pPr>
        <w:pStyle w:val="2"/>
        <w:numPr>
          <w:ilvl w:val="0"/>
          <w:numId w:val="1"/>
        </w:numPr>
        <w:spacing w:before="0" w:line="560" w:lineRule="exact"/>
        <w:ind w:left="0" w:right="0" w:firstLine="640" w:firstLineChars="200"/>
        <w:jc w:val="both"/>
      </w:pPr>
      <w:r>
        <w:t>受托管理机构应做好投资项目的退出，具体可以通过股权上市后二级市场卖出、协议转让、回购及清算等途径实现投资退出。</w:t>
      </w:r>
      <w:bookmarkStart w:id="3" w:name="OLE_LINK7"/>
      <w:bookmarkStart w:id="4" w:name="OLE_LINK6"/>
      <w:r>
        <w:t>鼓励和支持被投企业创业团队按照投资协议约定的退出条件和价格回购股权。</w:t>
      </w:r>
      <w:bookmarkEnd w:id="3"/>
      <w:bookmarkEnd w:id="4"/>
      <w:r>
        <w:t>投资项目具备退出条件后，受托管理机构应制订退出方案，经投资决策委员会审议通过后实施项目退出。</w:t>
      </w:r>
    </w:p>
    <w:p w14:paraId="3106B8DB">
      <w:pPr>
        <w:pStyle w:val="2"/>
        <w:numPr>
          <w:ilvl w:val="0"/>
          <w:numId w:val="1"/>
        </w:numPr>
        <w:spacing w:before="0" w:line="560" w:lineRule="exact"/>
        <w:ind w:left="0" w:right="0" w:firstLine="640" w:firstLineChars="200"/>
        <w:jc w:val="both"/>
      </w:pPr>
      <w:r>
        <w:rPr>
          <w:lang w:val="zh-CN" w:eastAsia="zh-CN"/>
        </w:rPr>
        <w:t>项目退出后，收益分配采取“先回本后分利”的原则。先按全体合伙人实缴出资比例进行分配。如有剩余，政府出资部分按基准收益利率（由受托管理机构在合伙协议等中予以</w:t>
      </w:r>
      <w:r>
        <w:t>约定）优先进行分配。分配基准收益后剩余的超额收益，政府出资部分和受托管理机构按合伙协议约定的比例再进行分配。对于归属政府的投资收益和利息等，按照财政国库管理制度有关规定及时足额上缴国库。投资基金的亏损应由出资方共同承担，政府应以出资额为限承担有限责任。</w:t>
      </w:r>
    </w:p>
    <w:p w14:paraId="3C33BA45"/>
    <w:p w14:paraId="269580D7">
      <w:pPr>
        <w:pStyle w:val="2"/>
        <w:numPr>
          <w:ilvl w:val="0"/>
          <w:numId w:val="1"/>
        </w:numPr>
        <w:spacing w:before="0" w:line="560" w:lineRule="exact"/>
        <w:ind w:left="0" w:right="0" w:firstLine="640" w:firstLineChars="200"/>
        <w:jc w:val="both"/>
      </w:pPr>
      <w:r>
        <w:t>政府出资从产业</w:t>
      </w:r>
      <w:r>
        <w:rPr>
          <w:sz w:val="32"/>
        </w:rPr>
        <w:t>投资基金退出时，其他出资人</w:t>
      </w:r>
      <w:r>
        <w:rPr>
          <w:spacing w:val="-5"/>
        </w:rPr>
        <w:t>享有优先受让政府出资部分产业投资基金份额的权利。政府出资</w:t>
      </w:r>
      <w:r>
        <w:rPr>
          <w:spacing w:val="-13"/>
        </w:rPr>
        <w:t>部分所持有基金份额在</w:t>
      </w:r>
      <w:r>
        <w:t>5</w:t>
      </w:r>
      <w:r>
        <w:rPr>
          <w:spacing w:val="-31"/>
        </w:rPr>
        <w:t>年以内</w:t>
      </w:r>
      <w:r>
        <w:t>（</w:t>
      </w:r>
      <w:r>
        <w:rPr>
          <w:spacing w:val="-42"/>
        </w:rPr>
        <w:t>含</w:t>
      </w:r>
      <w:r>
        <w:t>5</w:t>
      </w:r>
      <w:r>
        <w:rPr>
          <w:spacing w:val="-42"/>
        </w:rPr>
        <w:t>年</w:t>
      </w:r>
      <w:r>
        <w:rPr>
          <w:spacing w:val="-39"/>
        </w:rPr>
        <w:t>）</w:t>
      </w:r>
      <w:r>
        <w:rPr>
          <w:spacing w:val="-6"/>
        </w:rPr>
        <w:t>的，转让价格可参照其原始投资额确定。</w:t>
      </w:r>
    </w:p>
    <w:p w14:paraId="3F5A55AA">
      <w:pPr>
        <w:pStyle w:val="2"/>
        <w:numPr>
          <w:ilvl w:val="0"/>
          <w:numId w:val="1"/>
        </w:numPr>
        <w:spacing w:before="0" w:line="560" w:lineRule="exact"/>
        <w:ind w:left="0" w:right="0" w:firstLine="640" w:firstLineChars="200"/>
        <w:jc w:val="both"/>
      </w:pPr>
      <w:r>
        <w:t>不得向其他出资人承诺产业投资基金投资本金不受损失，不得承诺最低收益，国家另有规定除外。</w:t>
      </w:r>
    </w:p>
    <w:p w14:paraId="25262910"/>
    <w:p w14:paraId="2B60E6F8">
      <w:pPr>
        <w:pStyle w:val="2"/>
        <w:numPr>
          <w:ilvl w:val="0"/>
          <w:numId w:val="1"/>
        </w:numPr>
        <w:spacing w:before="0" w:line="560" w:lineRule="exact"/>
        <w:ind w:left="0" w:right="0" w:firstLine="640" w:firstLineChars="200"/>
        <w:jc w:val="both"/>
      </w:pPr>
      <w:r>
        <w:t>有限合伙企业终止（包括解散和破产）后，受托管理机构应当按照法律法规的相关规定组织清算，清偿债权人的债权后，剩余财产按同股同权原则分配。受托管理机构应将清算情况向区科工信局报告。</w:t>
      </w:r>
    </w:p>
    <w:p w14:paraId="235C33FC">
      <w:pPr>
        <w:pStyle w:val="2"/>
        <w:spacing w:line="560" w:lineRule="exact"/>
        <w:ind w:left="353" w:right="670"/>
        <w:jc w:val="center"/>
        <w:rPr>
          <w:rFonts w:hint="eastAsia" w:ascii="黑体" w:eastAsia="黑体"/>
        </w:rPr>
      </w:pPr>
      <w:r>
        <w:rPr>
          <w:rFonts w:hint="eastAsia" w:ascii="黑体" w:eastAsia="黑体"/>
        </w:rPr>
        <w:t>第</w:t>
      </w:r>
      <w:r>
        <w:rPr>
          <w:rFonts w:hint="eastAsia" w:ascii="黑体" w:eastAsia="黑体"/>
          <w:lang w:val="en-US" w:eastAsia="zh-CN"/>
        </w:rPr>
        <w:t>九</w:t>
      </w:r>
      <w:r>
        <w:rPr>
          <w:rFonts w:hint="eastAsia" w:ascii="黑体" w:eastAsia="黑体"/>
        </w:rPr>
        <w:t>章</w:t>
      </w:r>
      <w:r>
        <w:rPr>
          <w:rFonts w:hint="eastAsia" w:ascii="黑体" w:eastAsia="黑体"/>
          <w:lang w:val="en-US" w:eastAsia="zh-CN"/>
        </w:rPr>
        <w:t xml:space="preserve">  </w:t>
      </w:r>
      <w:r>
        <w:rPr>
          <w:rFonts w:hint="eastAsia" w:ascii="黑体" w:eastAsia="黑体"/>
        </w:rPr>
        <w:t>监督检查及报告机制</w:t>
      </w:r>
    </w:p>
    <w:p w14:paraId="02905320">
      <w:pPr>
        <w:pStyle w:val="2"/>
        <w:spacing w:before="0" w:line="560" w:lineRule="exact"/>
        <w:rPr>
          <w:rFonts w:ascii="黑体"/>
          <w:sz w:val="26"/>
        </w:rPr>
      </w:pPr>
    </w:p>
    <w:p w14:paraId="74401F25">
      <w:pPr>
        <w:pStyle w:val="2"/>
        <w:numPr>
          <w:ilvl w:val="0"/>
          <w:numId w:val="1"/>
        </w:numPr>
        <w:spacing w:before="0" w:line="560" w:lineRule="exact"/>
        <w:ind w:left="0" w:right="0" w:firstLine="640" w:firstLineChars="200"/>
        <w:jc w:val="both"/>
      </w:pPr>
      <w:r>
        <w:t>产业投资基金应当接受区财政局对基金运行情况的绩效评价、区审计局对基金运行情况的监督。</w:t>
      </w:r>
    </w:p>
    <w:p w14:paraId="7F85E520">
      <w:pPr>
        <w:pStyle w:val="2"/>
        <w:numPr>
          <w:ilvl w:val="0"/>
          <w:numId w:val="1"/>
        </w:numPr>
        <w:spacing w:before="0" w:line="560" w:lineRule="exact"/>
        <w:ind w:left="0" w:right="0" w:firstLine="640" w:firstLineChars="200"/>
        <w:jc w:val="both"/>
      </w:pPr>
      <w:r>
        <w:t>受托管理机构应在每个项目完成投资或退出之日起20个工作日内，向区科工信局、区财政局书面报告。</w:t>
      </w:r>
    </w:p>
    <w:p w14:paraId="34BC34DE">
      <w:pPr>
        <w:pStyle w:val="2"/>
        <w:numPr>
          <w:ilvl w:val="0"/>
          <w:numId w:val="1"/>
        </w:numPr>
        <w:spacing w:before="0" w:line="560" w:lineRule="exact"/>
        <w:ind w:left="0" w:right="0" w:firstLine="640" w:firstLineChars="200"/>
        <w:jc w:val="both"/>
      </w:pPr>
      <w:r>
        <w:t>在委托管理协议中应当明确约定建立定期报告制度，受托管理机构应向区科工信局、区财政局书面报告基金运行情况、资产负债情况、投资损益情况及其他可能影响投资者权益的其他重大情况，编制并向区科工信局、区财政局报送资产负债表、损益表、现金流量表和财政资金存放表、基金项目表等报表。</w:t>
      </w:r>
      <w:r>
        <w:rPr>
          <w:rFonts w:hint="eastAsia"/>
          <w:lang w:val="en-US" w:eastAsia="zh-CN"/>
        </w:rPr>
        <w:t>季度报告应在</w:t>
      </w:r>
      <w:r>
        <w:t>每季度结束</w:t>
      </w:r>
      <w:r>
        <w:rPr>
          <w:rFonts w:hint="eastAsia"/>
        </w:rPr>
        <w:t>10个工作日内</w:t>
      </w:r>
      <w:r>
        <w:rPr>
          <w:rFonts w:hint="eastAsia"/>
          <w:lang w:val="en-US" w:eastAsia="zh-CN"/>
        </w:rPr>
        <w:t>、半年度报告应在上半年结束之日起六十日内、年度报告应在</w:t>
      </w:r>
      <w:r>
        <w:rPr>
          <w:rFonts w:hint="eastAsia"/>
        </w:rPr>
        <w:t>每年结束之日起</w:t>
      </w:r>
      <w:r>
        <w:rPr>
          <w:rFonts w:hint="eastAsia"/>
          <w:lang w:val="en-US" w:eastAsia="zh-CN"/>
        </w:rPr>
        <w:t>4个月内报送。</w:t>
      </w:r>
    </w:p>
    <w:p w14:paraId="6FF35C0A">
      <w:pPr>
        <w:pStyle w:val="2"/>
        <w:numPr>
          <w:ilvl w:val="0"/>
          <w:numId w:val="1"/>
        </w:numPr>
        <w:spacing w:before="0" w:line="560" w:lineRule="exact"/>
        <w:ind w:left="0" w:right="0" w:firstLine="640" w:firstLineChars="200"/>
        <w:jc w:val="both"/>
      </w:pPr>
      <w:r>
        <w:t>区财政局按照《财政总会计制度》（财库〔2022〕41号）和《政府投资基金暂行管理办法》（财预〔2015〕210号）等文件规定，反映产业投资基金中政府出资部分形成的资产和权益。</w:t>
      </w:r>
    </w:p>
    <w:p w14:paraId="5FDBD285">
      <w:pPr>
        <w:pStyle w:val="2"/>
        <w:numPr>
          <w:ilvl w:val="0"/>
          <w:numId w:val="1"/>
        </w:numPr>
        <w:spacing w:before="0" w:line="560" w:lineRule="exact"/>
        <w:ind w:left="0" w:right="0" w:firstLine="640" w:firstLineChars="200"/>
        <w:jc w:val="both"/>
      </w:pPr>
      <w:r>
        <w:t>委托管理协议应当约定，在资金运行中发生违法违规、投资项目退出可能遭受重大损失等重大问题时，受托管理机构应当在发现后5个工作日内，向区科工信局、区财政局书面报告。</w:t>
      </w:r>
    </w:p>
    <w:p w14:paraId="0828856D">
      <w:pPr>
        <w:pStyle w:val="2"/>
        <w:numPr>
          <w:ilvl w:val="0"/>
          <w:numId w:val="1"/>
        </w:numPr>
        <w:spacing w:before="0" w:line="560" w:lineRule="exact"/>
        <w:ind w:left="0" w:right="0" w:firstLine="640" w:firstLineChars="200"/>
        <w:jc w:val="both"/>
      </w:pPr>
      <w:r>
        <w:t>若发现受托管理机构存在或可能存在失职等问题和隐患的，区科工信局可向受托管理机构提出书面或口头整改意见。经认定为违法、失职行为的，由受托管理机构依法对造成的损失承担相应的法律责任。对依法依规、已履行规定程序作出决策的投资，如因不可抗力、政策变动等因素造成投资损失，不追究受托管理机构责任。</w:t>
      </w:r>
    </w:p>
    <w:p w14:paraId="6474ECEE">
      <w:pPr>
        <w:pStyle w:val="2"/>
        <w:numPr>
          <w:ilvl w:val="0"/>
          <w:numId w:val="1"/>
        </w:numPr>
        <w:spacing w:before="0" w:line="560" w:lineRule="exact"/>
        <w:ind w:left="0" w:right="0" w:firstLine="640" w:firstLineChars="200"/>
        <w:jc w:val="both"/>
      </w:pPr>
      <w:r>
        <w:t>建立基金投资资金管理运作考核机制。考核从整体效能出发，对产业投资基金政策目标、政策效果进行综合绩效评价，不对单个投资项目盈亏等经济效益指标进行硬性考核。考核结果与受托管理机构当年度可</w:t>
      </w:r>
      <w:r>
        <w:rPr>
          <w:spacing w:val="-11"/>
        </w:rPr>
        <w:t>提取管理费率挂钩。</w:t>
      </w:r>
    </w:p>
    <w:p w14:paraId="1A37B8AA">
      <w:pPr>
        <w:pStyle w:val="2"/>
        <w:spacing w:before="0" w:line="560" w:lineRule="exact"/>
        <w:rPr>
          <w:sz w:val="45"/>
        </w:rPr>
      </w:pPr>
    </w:p>
    <w:p w14:paraId="2BADCD32">
      <w:pPr>
        <w:pStyle w:val="2"/>
        <w:spacing w:line="560" w:lineRule="exact"/>
        <w:ind w:left="351" w:right="671"/>
        <w:jc w:val="center"/>
        <w:rPr>
          <w:rFonts w:hint="eastAsia" w:ascii="黑体" w:eastAsia="黑体"/>
        </w:rPr>
      </w:pPr>
      <w:r>
        <w:rPr>
          <w:rFonts w:hint="eastAsia" w:ascii="黑体" w:eastAsia="黑体"/>
        </w:rPr>
        <w:t>第</w:t>
      </w:r>
      <w:r>
        <w:rPr>
          <w:rFonts w:hint="eastAsia" w:ascii="黑体" w:eastAsia="黑体"/>
          <w:lang w:val="en-US" w:eastAsia="zh-CN"/>
        </w:rPr>
        <w:t>十</w:t>
      </w:r>
      <w:r>
        <w:rPr>
          <w:rFonts w:hint="eastAsia" w:ascii="黑体" w:eastAsia="黑体"/>
        </w:rPr>
        <w:t>章</w:t>
      </w:r>
      <w:r>
        <w:rPr>
          <w:rFonts w:hint="eastAsia" w:ascii="黑体" w:eastAsia="黑体"/>
          <w:lang w:val="en-US" w:eastAsia="zh-CN"/>
        </w:rPr>
        <w:t xml:space="preserve">  </w:t>
      </w:r>
      <w:r>
        <w:rPr>
          <w:rFonts w:hint="eastAsia" w:ascii="黑体" w:eastAsia="黑体"/>
        </w:rPr>
        <w:t>附则</w:t>
      </w:r>
    </w:p>
    <w:p w14:paraId="3B681925">
      <w:pPr>
        <w:pStyle w:val="2"/>
        <w:numPr>
          <w:ilvl w:val="0"/>
          <w:numId w:val="1"/>
        </w:numPr>
        <w:spacing w:before="0" w:line="560" w:lineRule="exact"/>
        <w:ind w:left="0" w:right="0" w:firstLine="640" w:firstLineChars="200"/>
        <w:jc w:val="both"/>
      </w:pPr>
      <w:r>
        <w:t>本办法未规定的有关内容，适用广州市政府投资基金管理相关制度的规定。</w:t>
      </w:r>
    </w:p>
    <w:p w14:paraId="65DC2BEF">
      <w:pPr>
        <w:pStyle w:val="2"/>
        <w:numPr>
          <w:ilvl w:val="0"/>
          <w:numId w:val="1"/>
        </w:numPr>
        <w:spacing w:before="0" w:line="560" w:lineRule="exact"/>
        <w:ind w:left="0" w:right="0" w:firstLine="640" w:firstLineChars="200"/>
        <w:jc w:val="both"/>
      </w:pPr>
      <w:r>
        <w:t>本办法由区科工信局负责解释，自发布之日起施行，有效期5年。</w:t>
      </w:r>
    </w:p>
    <w:p w14:paraId="747430C2">
      <w:pPr>
        <w:pStyle w:val="2"/>
        <w:spacing w:line="560" w:lineRule="exact"/>
        <w:rPr>
          <w:sz w:val="20"/>
        </w:rPr>
      </w:pPr>
    </w:p>
    <w:p w14:paraId="44661D44">
      <w:pPr>
        <w:pStyle w:val="2"/>
        <w:spacing w:line="560" w:lineRule="exact"/>
        <w:rPr>
          <w:sz w:val="20"/>
        </w:rPr>
      </w:pPr>
    </w:p>
    <w:p w14:paraId="5D741135">
      <w:pPr>
        <w:pStyle w:val="2"/>
        <w:spacing w:line="560" w:lineRule="exact"/>
        <w:rPr>
          <w:sz w:val="20"/>
        </w:rPr>
      </w:pPr>
    </w:p>
    <w:p w14:paraId="22DAFE5D">
      <w:pPr>
        <w:pStyle w:val="2"/>
        <w:spacing w:line="560" w:lineRule="exact"/>
        <w:rPr>
          <w:sz w:val="20"/>
        </w:rPr>
      </w:pPr>
    </w:p>
    <w:p w14:paraId="1A060B77">
      <w:pPr>
        <w:pStyle w:val="2"/>
        <w:spacing w:line="560" w:lineRule="exact"/>
        <w:rPr>
          <w:sz w:val="20"/>
        </w:rPr>
      </w:pPr>
    </w:p>
    <w:p w14:paraId="78DF6855">
      <w:pPr>
        <w:pStyle w:val="2"/>
        <w:spacing w:line="560" w:lineRule="exact"/>
        <w:rPr>
          <w:sz w:val="20"/>
        </w:rPr>
      </w:pPr>
    </w:p>
    <w:p w14:paraId="2022B9BC">
      <w:pPr>
        <w:pStyle w:val="2"/>
        <w:spacing w:line="560" w:lineRule="exact"/>
        <w:rPr>
          <w:sz w:val="20"/>
        </w:rPr>
      </w:pPr>
    </w:p>
    <w:p w14:paraId="766932BF">
      <w:pPr>
        <w:pStyle w:val="2"/>
        <w:spacing w:line="560" w:lineRule="exact"/>
        <w:rPr>
          <w:sz w:val="20"/>
        </w:rPr>
      </w:pPr>
    </w:p>
    <w:p w14:paraId="04D1ADA8">
      <w:pPr>
        <w:pStyle w:val="2"/>
        <w:spacing w:line="560" w:lineRule="exact"/>
        <w:ind w:left="94"/>
        <w:rPr>
          <w:sz w:val="2"/>
        </w:rPr>
      </w:pPr>
    </w:p>
    <w:sectPr>
      <w:footerReference r:id="rId5" w:type="default"/>
      <w:footerReference r:id="rId6" w:type="even"/>
      <w:pgSz w:w="11910" w:h="16840"/>
      <w:pgMar w:top="1580" w:right="1100" w:bottom="1160" w:left="1420" w:header="0" w:footer="9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C5B1E">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5924550</wp:posOffset>
              </wp:positionH>
              <wp:positionV relativeFrom="page">
                <wp:posOffset>9759950</wp:posOffset>
              </wp:positionV>
              <wp:extent cx="676275" cy="203835"/>
              <wp:effectExtent l="0" t="0" r="0" b="0"/>
              <wp:wrapNone/>
              <wp:docPr id="11" name="文本框 4"/>
              <wp:cNvGraphicFramePr/>
              <a:graphic xmlns:a="http://schemas.openxmlformats.org/drawingml/2006/main">
                <a:graphicData uri="http://schemas.microsoft.com/office/word/2010/wordprocessingShape">
                  <wps:wsp>
                    <wps:cNvSpPr txBox="1"/>
                    <wps:spPr>
                      <a:xfrm>
                        <a:off x="0" y="0"/>
                        <a:ext cx="676275" cy="203835"/>
                      </a:xfrm>
                      <a:prstGeom prst="rect">
                        <a:avLst/>
                      </a:prstGeom>
                      <a:noFill/>
                      <a:ln>
                        <a:noFill/>
                      </a:ln>
                    </wps:spPr>
                    <wps:txbx>
                      <w:txbxContent>
                        <w:p w14:paraId="7D916087">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w:t>
                          </w:r>
                        </w:p>
                      </w:txbxContent>
                    </wps:txbx>
                    <wps:bodyPr lIns="0" tIns="0" rIns="0" bIns="0" upright="1"/>
                  </wps:wsp>
                </a:graphicData>
              </a:graphic>
            </wp:anchor>
          </w:drawing>
        </mc:Choice>
        <mc:Fallback>
          <w:pict>
            <v:shape id="文本框 4" o:spid="_x0000_s1026" o:spt="202" type="#_x0000_t202" style="position:absolute;left:0pt;margin-left:466.5pt;margin-top:768.5pt;height:16.05pt;width:53.25pt;mso-position-horizontal-relative:page;mso-position-vertical-relative:page;z-index:-251656192;mso-width-relative:page;mso-height-relative:page;" filled="f" stroked="f" coordsize="21600,21600" o:gfxdata="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64tB2wAAAA4BAAAPAAAAAAAAAAEAIAAAACIAAABkcnMvZG93bnJldi54bWxQ&#10;SwECFAAUAAAACACHTuJAEPPrp7sBAAByAwAADgAAAAAAAAABACAAAAAqAQAAZHJzL2Uyb0RvYy54&#10;bWxQSwUGAAAAAAYABgBZAQAAVwUAAAAA&#10;">
              <v:fill on="f" focussize="0,0"/>
              <v:stroke on="f"/>
              <v:imagedata o:title=""/>
              <o:lock v:ext="edit" aspectratio="f"/>
              <v:textbox inset="0mm,0mm,0mm,0mm">
                <w:txbxContent>
                  <w:p w14:paraId="7D916087">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11</w:t>
                    </w:r>
                    <w:r>
                      <w:fldChar w:fldCharType="end"/>
                    </w:r>
                    <w:r>
                      <w:rPr>
                        <w:rFonts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309F">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9935210</wp:posOffset>
              </wp:positionV>
              <wp:extent cx="737235" cy="20383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00E1B810">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w:t>
                          </w:r>
                        </w:p>
                      </w:txbxContent>
                    </wps:txbx>
                    <wps:bodyPr lIns="0" tIns="0" rIns="0" bIns="0" upright="1"/>
                  </wps:wsp>
                </a:graphicData>
              </a:graphic>
            </wp:anchor>
          </w:drawing>
        </mc:Choice>
        <mc:Fallback>
          <w:pict>
            <v:shape id="文本框 3" o:spid="_x0000_s1026" o:spt="202" type="#_x0000_t202" style="position:absolute;left:0pt;margin-left:75.55pt;margin-top:782.3pt;height:16.05pt;width:58.05pt;mso-position-horizontal-relative:page;mso-position-vertical-relative:page;z-index:-251657216;mso-width-relative:page;mso-height-relative:page;" filled="f" stroked="f" coordsize="21600,21600" o:gfxdata="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IRcd2gAAAA0BAAAPAAAAAAAAAAEAIAAAACIAAABkcnMvZG93bnJldi54bWxQSwEC&#10;FAAUAAAACACHTuJA/3vNurkBAAByAwAADgAAAAAAAAABACAAAAApAQAAZHJzL2Uyb0RvYy54bWxQ&#10;SwUGAAAAAAYABgBZAQAAVAUAAAAA&#10;">
              <v:fill on="f" focussize="0,0"/>
              <v:stroke on="f"/>
              <v:imagedata o:title=""/>
              <o:lock v:ext="edit" aspectratio="f"/>
              <v:textbox inset="0mm,0mm,0mm,0mm">
                <w:txbxContent>
                  <w:p w14:paraId="00E1B810">
                    <w:pPr>
                      <w:spacing w:before="0" w:line="321" w:lineRule="exact"/>
                      <w:ind w:left="20" w:right="0" w:firstLine="0"/>
                      <w:jc w:val="left"/>
                      <w:rPr>
                        <w:rFonts w:ascii="宋体" w:hAnsi="宋体"/>
                        <w:sz w:val="28"/>
                      </w:rPr>
                    </w:pPr>
                    <w:r>
                      <w:rPr>
                        <w:rFonts w:ascii="宋体" w:hAnsi="宋体"/>
                        <w:sz w:val="28"/>
                      </w:rPr>
                      <w:t>—</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DF5B0"/>
    <w:multiLevelType w:val="singleLevel"/>
    <w:tmpl w:val="F20DF5B0"/>
    <w:lvl w:ilvl="0" w:tentative="0">
      <w:start w:val="1"/>
      <w:numFmt w:val="chineseCounting"/>
      <w:suff w:val="nothing"/>
      <w:lvlText w:val="（%1）"/>
      <w:lvlJc w:val="left"/>
      <w:rPr>
        <w:rFonts w:hint="eastAsia"/>
      </w:rPr>
    </w:lvl>
  </w:abstractNum>
  <w:abstractNum w:abstractNumId="1">
    <w:nsid w:val="F388F619"/>
    <w:multiLevelType w:val="singleLevel"/>
    <w:tmpl w:val="F388F619"/>
    <w:lvl w:ilvl="0" w:tentative="0">
      <w:start w:val="1"/>
      <w:numFmt w:val="chineseCounting"/>
      <w:suff w:val="nothing"/>
      <w:lvlText w:val="（%1）"/>
      <w:lvlJc w:val="left"/>
      <w:rPr>
        <w:rFonts w:hint="eastAsia"/>
      </w:rPr>
    </w:lvl>
  </w:abstractNum>
  <w:abstractNum w:abstractNumId="2">
    <w:nsid w:val="61049F33"/>
    <w:multiLevelType w:val="singleLevel"/>
    <w:tmpl w:val="61049F33"/>
    <w:lvl w:ilvl="0" w:tentative="0">
      <w:start w:val="1"/>
      <w:numFmt w:val="chineseCounting"/>
      <w:suff w:val="nothing"/>
      <w:lvlText w:val="第%1条 "/>
      <w:lvlJc w:val="left"/>
      <w:pPr>
        <w:tabs>
          <w:tab w:val="left" w:pos="0"/>
        </w:tabs>
        <w:ind w:left="0" w:firstLine="397"/>
      </w:pPr>
      <w:rPr>
        <w:rFonts w:hint="eastAsia" w:ascii="宋体" w:hAnsi="宋体" w:eastAsia="仿宋_GB2312" w:cs="宋体"/>
        <w:b/>
        <w:sz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GI4NjI3MmZiM2YwM2FhYjM5Mzg4M2NjYzg1ODkifQ=="/>
    <w:docVar w:name="KSO_WPS_MARK_KEY" w:val="305efadd-d027-4bac-aac4-33212121ce1b"/>
  </w:docVars>
  <w:rsids>
    <w:rsidRoot w:val="00000000"/>
    <w:rsid w:val="018A2F26"/>
    <w:rsid w:val="04903DA2"/>
    <w:rsid w:val="04CA2A00"/>
    <w:rsid w:val="05202CEB"/>
    <w:rsid w:val="063068AF"/>
    <w:rsid w:val="07584FC3"/>
    <w:rsid w:val="08C0550B"/>
    <w:rsid w:val="09545DE0"/>
    <w:rsid w:val="098E154B"/>
    <w:rsid w:val="09AE5B4B"/>
    <w:rsid w:val="0B5D3864"/>
    <w:rsid w:val="0C2E55E3"/>
    <w:rsid w:val="0C6A6E8F"/>
    <w:rsid w:val="0DF16862"/>
    <w:rsid w:val="0F620A3A"/>
    <w:rsid w:val="133D279D"/>
    <w:rsid w:val="15BE3473"/>
    <w:rsid w:val="1D120DE5"/>
    <w:rsid w:val="1E075156"/>
    <w:rsid w:val="1EE66CFA"/>
    <w:rsid w:val="1FCA6C72"/>
    <w:rsid w:val="228026A7"/>
    <w:rsid w:val="23DC0672"/>
    <w:rsid w:val="25361EBF"/>
    <w:rsid w:val="2AAA6A97"/>
    <w:rsid w:val="2B3C2485"/>
    <w:rsid w:val="2BC9393C"/>
    <w:rsid w:val="2D0E12EE"/>
    <w:rsid w:val="2DF27532"/>
    <w:rsid w:val="33823E0D"/>
    <w:rsid w:val="348B43C3"/>
    <w:rsid w:val="358B752B"/>
    <w:rsid w:val="38AE6296"/>
    <w:rsid w:val="39214837"/>
    <w:rsid w:val="39341D80"/>
    <w:rsid w:val="39DD1F80"/>
    <w:rsid w:val="3A1146C0"/>
    <w:rsid w:val="3A7B06DF"/>
    <w:rsid w:val="3D476D61"/>
    <w:rsid w:val="4F34040B"/>
    <w:rsid w:val="4FE0077F"/>
    <w:rsid w:val="50095254"/>
    <w:rsid w:val="51204125"/>
    <w:rsid w:val="593020E8"/>
    <w:rsid w:val="594A04CD"/>
    <w:rsid w:val="5AA10B25"/>
    <w:rsid w:val="5B967797"/>
    <w:rsid w:val="5CF8377A"/>
    <w:rsid w:val="5E412A78"/>
    <w:rsid w:val="63CC72AE"/>
    <w:rsid w:val="673C49E2"/>
    <w:rsid w:val="677D6895"/>
    <w:rsid w:val="683E55BD"/>
    <w:rsid w:val="6AA23C0B"/>
    <w:rsid w:val="6C0A5A84"/>
    <w:rsid w:val="6CF4454C"/>
    <w:rsid w:val="6D564F77"/>
    <w:rsid w:val="6EBF4B32"/>
    <w:rsid w:val="70330545"/>
    <w:rsid w:val="7330511B"/>
    <w:rsid w:val="768549D7"/>
    <w:rsid w:val="79956392"/>
    <w:rsid w:val="7C7952FF"/>
    <w:rsid w:val="7F245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353" w:right="670"/>
      <w:jc w:val="center"/>
      <w:outlineLvl w:val="1"/>
    </w:pPr>
    <w:rPr>
      <w:rFonts w:ascii="方正小标宋简体" w:hAnsi="方正小标宋简体" w:eastAsia="方正小标宋简体" w:cs="方正小标宋简体"/>
      <w:sz w:val="44"/>
      <w:szCs w:val="4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4">
    <w:name w:val="annotation text"/>
    <w:basedOn w:val="1"/>
    <w:qFormat/>
    <w:uiPriority w:val="0"/>
    <w:pPr>
      <w:jc w:val="left"/>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6849</Words>
  <Characters>6892</Characters>
  <TotalTime>16</TotalTime>
  <ScaleCrop>false</ScaleCrop>
  <LinksUpToDate>false</LinksUpToDate>
  <CharactersWithSpaces>6912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2025-01-22T06:14:00Z</dcterms:created>
  <dc:creator>丽华</dc:creator>
  <cp:lastModifiedBy>莫业博</cp:lastModifiedBy>
  <cp:lastPrinted>2025-02-10T02:41:00Z</cp:lastPrinted>
  <dcterms:modified xsi:type="dcterms:W3CDTF">2025-02-11T09:53:58Z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WPS 文字</vt:lpwstr>
  </property>
  <property fmtid="{D5CDD505-2E9C-101B-9397-08002B2CF9AE}" pid="4" name="LastSaved">
    <vt:filetime>2025-01-22T00:00:00Z</vt:filetime>
  </property>
  <property fmtid="{D5CDD505-2E9C-101B-9397-08002B2CF9AE}" pid="5" name="KSOProductBuildVer">
    <vt:lpwstr>2052-12.1.0.19770</vt:lpwstr>
  </property>
  <property fmtid="{D5CDD505-2E9C-101B-9397-08002B2CF9AE}" pid="6" name="ICV">
    <vt:lpwstr>C05355EF14944AF4BCC713250AD84706</vt:lpwstr>
  </property>
  <property fmtid="{D5CDD505-2E9C-101B-9397-08002B2CF9AE}" pid="7" name="KSOTemplateDocerSaveRecord">
    <vt:lpwstr>eyJoZGlkIjoiZWVmMzA5MDQzNmI2ZjliNzM3NzA1ZjhkZGYzYTgyY2EiLCJ1c2VySWQiOiI0MjA4ODY0NDkifQ==</vt:lpwstr>
  </property>
</Properties>
</file>