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 w:leftChars="0" w:firstLine="4" w:firstLineChars="0"/>
        <w:rPr>
          <w:rFonts w:hint="default" w:ascii="Times New Roman" w:hAnsi="Times New Roman" w:eastAsia="仿宋_GB2312" w:cs="Times New Roman"/>
          <w:b/>
          <w:lang w:val="en-US" w:eastAsia="zh-CN"/>
        </w:rPr>
      </w:pPr>
      <w:r>
        <w:rPr>
          <w:rFonts w:hint="default" w:ascii="Times New Roman" w:hAnsi="Times New Roman" w:eastAsia="黑体" w:cs="Times New Roman"/>
          <w:b w:val="0"/>
          <w:bCs/>
          <w:lang w:val="en-US" w:eastAsia="zh-CN"/>
        </w:rPr>
        <w:t>附件2</w:t>
      </w: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snapToGrid/>
        <w:ind w:left="-4" w:leftChars="0" w:firstLine="4" w:firstLineChars="0"/>
        <w:jc w:val="center"/>
        <w:rPr>
          <w:rFonts w:hint="default" w:ascii="Times New Roman" w:hAnsi="Times New Roman" w:eastAsia="方正小标宋简体" w:cs="Times New Roman"/>
          <w:sz w:val="48"/>
        </w:rPr>
      </w:pPr>
      <w:r>
        <w:rPr>
          <w:rFonts w:hint="default" w:ascii="Times New Roman" w:hAnsi="Times New Roman" w:eastAsia="方正小标宋简体" w:cs="Times New Roman"/>
          <w:sz w:val="48"/>
        </w:rPr>
        <w:t>荔湾区生产性服务业</w:t>
      </w:r>
    </w:p>
    <w:p>
      <w:pPr>
        <w:snapToGrid/>
        <w:ind w:left="-4" w:leftChars="0" w:firstLine="4" w:firstLineChars="0"/>
        <w:jc w:val="center"/>
        <w:rPr>
          <w:rFonts w:hint="default" w:ascii="Times New Roman" w:hAnsi="Times New Roman" w:eastAsia="方正小标宋简体" w:cs="Times New Roman"/>
          <w:sz w:val="48"/>
        </w:rPr>
      </w:pPr>
      <w:r>
        <w:rPr>
          <w:rFonts w:hint="default" w:ascii="Times New Roman" w:hAnsi="Times New Roman" w:eastAsia="方正小标宋简体" w:cs="Times New Roman"/>
          <w:sz w:val="48"/>
        </w:rPr>
        <w:t>高质量发展规划（2023-2035）</w:t>
      </w:r>
    </w:p>
    <w:p>
      <w:pPr>
        <w:ind w:left="-4" w:leftChars="0" w:firstLine="4" w:firstLineChars="0"/>
        <w:jc w:val="center"/>
        <w:rPr>
          <w:rFonts w:hint="default" w:ascii="Times New Roman" w:hAnsi="Times New Roman" w:cs="Times New Roman"/>
        </w:rPr>
      </w:pPr>
      <w:r>
        <w:rPr>
          <w:rFonts w:hint="default" w:ascii="Times New Roman" w:hAnsi="Times New Roman" w:eastAsia="楷体" w:cs="Times New Roman"/>
          <w:sz w:val="32"/>
          <w:szCs w:val="32"/>
        </w:rPr>
        <w:t>（</w:t>
      </w:r>
      <w:r>
        <w:rPr>
          <w:rFonts w:hint="eastAsia" w:ascii="Times New Roman" w:hAnsi="Times New Roman" w:eastAsia="楷体" w:cs="Times New Roman"/>
          <w:sz w:val="32"/>
          <w:szCs w:val="32"/>
          <w:lang w:val="en-US" w:eastAsia="zh-CN"/>
        </w:rPr>
        <w:t>征求意见</w:t>
      </w:r>
      <w:r>
        <w:rPr>
          <w:rFonts w:hint="default" w:ascii="Times New Roman" w:hAnsi="Times New Roman" w:eastAsia="楷体" w:cs="Times New Roman"/>
          <w:sz w:val="32"/>
          <w:szCs w:val="32"/>
        </w:rPr>
        <w:t>稿）</w:t>
      </w: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pPr>
    </w:p>
    <w:p>
      <w:pPr>
        <w:pStyle w:val="2"/>
        <w:rPr>
          <w:rFonts w:ascii="Times New Roman" w:hAnsi="Times New Roman" w:cs="Times New Roman"/>
        </w:rPr>
      </w:pPr>
    </w:p>
    <w:p>
      <w:pPr>
        <w:ind w:left="-4" w:leftChars="0" w:firstLine="4" w:firstLineChars="0"/>
        <w:rPr>
          <w:rFonts w:ascii="Times New Roman" w:hAnsi="Times New Roman" w:cs="Times New Roman"/>
        </w:rPr>
      </w:pPr>
    </w:p>
    <w:p>
      <w:pPr>
        <w:pStyle w:val="5"/>
        <w:ind w:left="-4" w:leftChars="0" w:firstLine="4" w:firstLineChars="0"/>
        <w:jc w:val="center"/>
        <w:rPr>
          <w:rFonts w:hint="default" w:ascii="Times New Roman" w:hAnsi="Times New Roman" w:cs="Times New Roman"/>
        </w:rPr>
      </w:pPr>
      <w:r>
        <w:rPr>
          <w:rFonts w:hint="default" w:ascii="Times New Roman" w:hAnsi="Times New Roman" w:cs="Times New Roman"/>
        </w:rPr>
        <w:t>荔湾区发展和改革局</w:t>
      </w:r>
    </w:p>
    <w:p>
      <w:pPr>
        <w:pStyle w:val="5"/>
        <w:ind w:left="-4" w:leftChars="0" w:firstLine="4" w:firstLineChars="0"/>
        <w:jc w:val="center"/>
        <w:rPr>
          <w:rFonts w:hint="default"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992" w:gutter="0"/>
          <w:pgNumType w:fmt="decimal"/>
          <w:cols w:space="425" w:num="1"/>
          <w:docGrid w:type="lines" w:linePitch="312" w:charSpace="0"/>
        </w:sectPr>
      </w:pPr>
      <w:r>
        <w:rPr>
          <w:rFonts w:hint="default" w:ascii="Times New Roman" w:hAnsi="Times New Roman" w:cs="Times New Roman"/>
        </w:rPr>
        <w:t>2023年6月</w:t>
      </w:r>
    </w:p>
    <w:sdt>
      <w:sdtPr>
        <w:rPr>
          <w:rFonts w:hint="default" w:ascii="Times New Roman" w:hAnsi="Times New Roman" w:eastAsia="宋体" w:cs="Times New Roman"/>
          <w:sz w:val="21"/>
          <w:szCs w:val="24"/>
          <w:lang w:val="en-US" w:eastAsia="zh-CN" w:bidi="ar-SA"/>
        </w:rPr>
        <w:id w:val="147480157"/>
        <w15:color w:val="DBDBDB"/>
        <w:docPartObj>
          <w:docPartGallery w:val="Table of Contents"/>
          <w:docPartUnique/>
        </w:docPartObj>
      </w:sdtPr>
      <w:sdtEndPr>
        <w:rPr>
          <w:rFonts w:hint="default" w:ascii="Times New Roman" w:hAnsi="Times New Roman" w:eastAsia="宋体" w:cs="Times New Roman"/>
          <w:sz w:val="21"/>
          <w:szCs w:val="24"/>
          <w:lang w:val="en-US" w:eastAsia="zh-CN" w:bidi="ar-SA"/>
        </w:rPr>
      </w:sdtEndPr>
      <w:sdtContent>
        <w:p>
          <w:pPr>
            <w:spacing w:before="0" w:after="0" w:line="240" w:lineRule="auto"/>
            <w:ind w:left="-4" w:leftChars="0" w:right="0" w:rightChars="0" w:firstLine="4" w:firstLineChars="0"/>
            <w:jc w:val="center"/>
            <w:rPr>
              <w:rFonts w:hint="default" w:ascii="Times New Roman" w:hAnsi="Times New Roman" w:cs="Times New Roman"/>
            </w:rPr>
          </w:pPr>
          <w:r>
            <w:rPr>
              <w:rFonts w:hint="default" w:ascii="Times New Roman" w:hAnsi="Times New Roman" w:eastAsia="宋体" w:cs="Times New Roman"/>
              <w:sz w:val="21"/>
            </w:rPr>
            <w:t>目录</w:t>
          </w:r>
        </w:p>
        <w:p>
          <w:pPr>
            <w:pStyle w:val="2"/>
            <w:tabs>
              <w:tab w:val="right" w:leader="dot" w:pos="8306"/>
            </w:tabs>
            <w:ind w:left="-4" w:leftChars="0" w:firstLine="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_Toc8241 </w:instrText>
          </w:r>
          <w:r>
            <w:rPr>
              <w:rFonts w:hint="default" w:ascii="Times New Roman" w:hAnsi="Times New Roman" w:cs="Times New Roman"/>
            </w:rPr>
            <w:fldChar w:fldCharType="separate"/>
          </w:r>
          <w:r>
            <w:rPr>
              <w:rFonts w:hint="eastAsia" w:ascii="Times New Roman" w:hAnsi="Times New Roman" w:cs="Times New Roman"/>
              <w:lang w:val="en-US" w:eastAsia="zh-CN"/>
            </w:rPr>
            <w:t>引</w:t>
          </w:r>
          <w:r>
            <w:rPr>
              <w:rFonts w:hint="default" w:ascii="Times New Roman" w:hAnsi="Times New Roman" w:cs="Times New Roman"/>
            </w:rPr>
            <w:t>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_Toc8241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_Toc5758 </w:instrText>
          </w:r>
          <w:r>
            <w:rPr>
              <w:rFonts w:hint="default" w:ascii="Times New Roman" w:hAnsi="Times New Roman" w:cs="Times New Roman"/>
            </w:rPr>
            <w:fldChar w:fldCharType="separate"/>
          </w:r>
          <w:r>
            <w:rPr>
              <w:rFonts w:hint="default" w:ascii="Times New Roman" w:hAnsi="Times New Roman" w:cs="Times New Roman"/>
            </w:rPr>
            <w:t>一、发展基础与形势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_Toc5758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_Toc21207 </w:instrText>
          </w:r>
          <w:r>
            <w:rPr>
              <w:rFonts w:hint="default" w:ascii="Times New Roman" w:hAnsi="Times New Roman" w:cs="Times New Roman"/>
            </w:rPr>
            <w:fldChar w:fldCharType="separate"/>
          </w:r>
          <w:r>
            <w:rPr>
              <w:rFonts w:hint="default" w:ascii="Times New Roman" w:hAnsi="Times New Roman" w:cs="Times New Roman"/>
            </w:rPr>
            <w:t>(一) 发展现状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_Toc21207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_Toc14397 </w:instrText>
          </w:r>
          <w:r>
            <w:rPr>
              <w:rFonts w:hint="default" w:ascii="Times New Roman" w:hAnsi="Times New Roman" w:cs="Times New Roman"/>
            </w:rPr>
            <w:fldChar w:fldCharType="separate"/>
          </w:r>
          <w:r>
            <w:rPr>
              <w:rFonts w:hint="default" w:ascii="Times New Roman" w:hAnsi="Times New Roman" w:cs="Times New Roman"/>
            </w:rPr>
            <w:t>(二) 发展趋势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_Toc14397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_Toc4140 </w:instrText>
          </w:r>
          <w:r>
            <w:rPr>
              <w:rFonts w:hint="default" w:ascii="Times New Roman" w:hAnsi="Times New Roman" w:cs="Times New Roman"/>
            </w:rPr>
            <w:fldChar w:fldCharType="separate"/>
          </w:r>
          <w:r>
            <w:rPr>
              <w:rFonts w:hint="default" w:ascii="Times New Roman" w:hAnsi="Times New Roman" w:cs="Times New Roman"/>
            </w:rPr>
            <w:t>(三) 发展机遇与挑战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_Toc4140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_Toc10662 </w:instrText>
          </w:r>
          <w:r>
            <w:rPr>
              <w:rFonts w:hint="default" w:ascii="Times New Roman" w:hAnsi="Times New Roman" w:cs="Times New Roman"/>
            </w:rPr>
            <w:fldChar w:fldCharType="separate"/>
          </w:r>
          <w:r>
            <w:rPr>
              <w:rFonts w:hint="default" w:ascii="Times New Roman" w:hAnsi="Times New Roman" w:cs="Times New Roman"/>
            </w:rPr>
            <w:t>二、总体要求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_Toc10662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_Toc3153 </w:instrText>
          </w:r>
          <w:r>
            <w:rPr>
              <w:rFonts w:hint="default" w:ascii="Times New Roman" w:hAnsi="Times New Roman" w:cs="Times New Roman"/>
            </w:rPr>
            <w:fldChar w:fldCharType="separate"/>
          </w:r>
          <w:r>
            <w:rPr>
              <w:rFonts w:hint="default" w:ascii="Times New Roman" w:hAnsi="Times New Roman" w:cs="Times New Roman"/>
            </w:rPr>
            <w:t>(一) 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_Toc3153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_Toc24122 </w:instrText>
          </w:r>
          <w:r>
            <w:rPr>
              <w:rFonts w:hint="default" w:ascii="Times New Roman" w:hAnsi="Times New Roman" w:cs="Times New Roman"/>
            </w:rPr>
            <w:fldChar w:fldCharType="separate"/>
          </w:r>
          <w:r>
            <w:rPr>
              <w:rFonts w:hint="default" w:ascii="Times New Roman" w:hAnsi="Times New Roman" w:cs="Times New Roman"/>
            </w:rPr>
            <w:t>(二) 基本原则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_Toc24122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_Toc9527 </w:instrText>
          </w:r>
          <w:r>
            <w:rPr>
              <w:rFonts w:hint="default" w:ascii="Times New Roman" w:hAnsi="Times New Roman" w:cs="Times New Roman"/>
            </w:rPr>
            <w:fldChar w:fldCharType="separate"/>
          </w:r>
          <w:r>
            <w:rPr>
              <w:rFonts w:hint="default" w:ascii="Times New Roman" w:hAnsi="Times New Roman" w:cs="Times New Roman"/>
            </w:rPr>
            <w:t>(三) 发展目标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_Toc9527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_Toc23238 </w:instrText>
          </w:r>
          <w:r>
            <w:rPr>
              <w:rFonts w:hint="default" w:ascii="Times New Roman" w:hAnsi="Times New Roman" w:cs="Times New Roman"/>
            </w:rPr>
            <w:fldChar w:fldCharType="separate"/>
          </w:r>
          <w:r>
            <w:rPr>
              <w:rFonts w:hint="default" w:ascii="Times New Roman" w:hAnsi="Times New Roman" w:cs="Times New Roman"/>
            </w:rPr>
            <w:t>三、构建高品质</w:t>
          </w:r>
          <w:r>
            <w:rPr>
              <w:rFonts w:hint="default" w:ascii="Times New Roman" w:hAnsi="Times New Roman" w:cs="Times New Roman"/>
              <w:lang w:eastAsia="zh-CN"/>
            </w:rPr>
            <w:t>产业</w:t>
          </w:r>
          <w:r>
            <w:rPr>
              <w:rFonts w:hint="default" w:ascii="Times New Roman" w:hAnsi="Times New Roman" w:cs="Times New Roman"/>
            </w:rPr>
            <w:t>新体系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_Toc23238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_Toc6260 </w:instrText>
          </w:r>
          <w:r>
            <w:rPr>
              <w:rFonts w:hint="default" w:ascii="Times New Roman" w:hAnsi="Times New Roman" w:cs="Times New Roman"/>
            </w:rPr>
            <w:fldChar w:fldCharType="separate"/>
          </w:r>
          <w:r>
            <w:rPr>
              <w:rFonts w:hint="default" w:ascii="Times New Roman" w:hAnsi="Times New Roman" w:cs="Times New Roman"/>
            </w:rPr>
            <w:t>(一) 强化优势领域，打造生产性服务业品牌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_Toc6260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_Toc2696 </w:instrText>
          </w:r>
          <w:r>
            <w:rPr>
              <w:rFonts w:hint="default" w:ascii="Times New Roman" w:hAnsi="Times New Roman" w:cs="Times New Roman"/>
            </w:rPr>
            <w:fldChar w:fldCharType="separate"/>
          </w:r>
          <w:r>
            <w:rPr>
              <w:rFonts w:hint="default" w:ascii="Times New Roman" w:hAnsi="Times New Roman" w:cs="Times New Roman"/>
            </w:rPr>
            <w:t>(二) 壮大新兴领域，提升生产服务业能级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_Toc2696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_Toc8294 </w:instrText>
          </w:r>
          <w:r>
            <w:rPr>
              <w:rFonts w:hint="default" w:ascii="Times New Roman" w:hAnsi="Times New Roman" w:cs="Times New Roman"/>
            </w:rPr>
            <w:fldChar w:fldCharType="separate"/>
          </w:r>
          <w:r>
            <w:rPr>
              <w:rFonts w:hint="default" w:ascii="Times New Roman" w:hAnsi="Times New Roman" w:cs="Times New Roman"/>
            </w:rPr>
            <w:t>(三) 培育高端领域，丰富生产性服务业业态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_Toc8294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_Toc4653 </w:instrText>
          </w:r>
          <w:r>
            <w:rPr>
              <w:rFonts w:hint="default" w:ascii="Times New Roman" w:hAnsi="Times New Roman" w:cs="Times New Roman"/>
            </w:rPr>
            <w:fldChar w:fldCharType="separate"/>
          </w:r>
          <w:r>
            <w:rPr>
              <w:rFonts w:hint="default" w:ascii="Times New Roman" w:hAnsi="Times New Roman" w:cs="Times New Roman"/>
              <w:lang w:eastAsia="zh-CN"/>
            </w:rPr>
            <w:t>四、构筑协同化区域新格局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_Toc4653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_Toc31651 </w:instrText>
          </w:r>
          <w:r>
            <w:rPr>
              <w:rFonts w:hint="default" w:ascii="Times New Roman" w:hAnsi="Times New Roman" w:cs="Times New Roman"/>
            </w:rPr>
            <w:fldChar w:fldCharType="separate"/>
          </w:r>
          <w:r>
            <w:rPr>
              <w:rFonts w:hint="default" w:ascii="Times New Roman" w:hAnsi="Times New Roman" w:cs="Times New Roman"/>
            </w:rPr>
            <w:t>(一) 融入广州西部产业带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_Toc31651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_Toc14351 </w:instrText>
          </w:r>
          <w:r>
            <w:rPr>
              <w:rFonts w:hint="default" w:ascii="Times New Roman" w:hAnsi="Times New Roman" w:cs="Times New Roman"/>
            </w:rPr>
            <w:fldChar w:fldCharType="separate"/>
          </w:r>
          <w:r>
            <w:rPr>
              <w:rFonts w:hint="default" w:ascii="Times New Roman" w:hAnsi="Times New Roman" w:cs="Times New Roman"/>
            </w:rPr>
            <w:t>(二) 推进“荔湾服务+珠西制造”</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_Toc14351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_Toc14547 </w:instrText>
          </w:r>
          <w:r>
            <w:rPr>
              <w:rFonts w:hint="default" w:ascii="Times New Roman" w:hAnsi="Times New Roman" w:cs="Times New Roman"/>
            </w:rPr>
            <w:fldChar w:fldCharType="separate"/>
          </w:r>
          <w:r>
            <w:rPr>
              <w:rFonts w:hint="default" w:ascii="Times New Roman" w:hAnsi="Times New Roman" w:cs="Times New Roman"/>
            </w:rPr>
            <w:t xml:space="preserve">(三) </w:t>
          </w:r>
          <w:r>
            <w:rPr>
              <w:rFonts w:hint="default" w:ascii="Times New Roman" w:hAnsi="Times New Roman" w:eastAsia="仿宋_GB2312" w:cs="Times New Roman"/>
            </w:rPr>
            <w:t>承接港澳服务业外溢</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_Toc14547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_Toc29472 </w:instrText>
          </w:r>
          <w:r>
            <w:rPr>
              <w:rFonts w:hint="default" w:ascii="Times New Roman" w:hAnsi="Times New Roman" w:cs="Times New Roman"/>
            </w:rPr>
            <w:fldChar w:fldCharType="separate"/>
          </w:r>
          <w:r>
            <w:rPr>
              <w:rFonts w:hint="default" w:ascii="Times New Roman" w:hAnsi="Times New Roman" w:eastAsia="仿宋_GB2312" w:cs="Times New Roman"/>
            </w:rPr>
            <w:t>(四) 拓展城市群产业合作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_Toc29472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_Toc12894 </w:instrText>
          </w:r>
          <w:r>
            <w:rPr>
              <w:rFonts w:hint="default" w:ascii="Times New Roman" w:hAnsi="Times New Roman" w:cs="Times New Roman"/>
            </w:rPr>
            <w:fldChar w:fldCharType="separate"/>
          </w:r>
          <w:r>
            <w:rPr>
              <w:rFonts w:hint="default" w:ascii="Times New Roman" w:hAnsi="Times New Roman" w:cs="Times New Roman"/>
              <w:lang w:eastAsia="zh-CN"/>
            </w:rPr>
            <w:t>五</w:t>
          </w:r>
          <w:r>
            <w:rPr>
              <w:rFonts w:hint="default" w:ascii="Times New Roman" w:hAnsi="Times New Roman" w:cs="Times New Roman"/>
            </w:rPr>
            <w:t>、打造高</w:t>
          </w:r>
          <w:r>
            <w:rPr>
              <w:rFonts w:hint="default" w:ascii="Times New Roman" w:hAnsi="Times New Roman" w:cs="Times New Roman"/>
              <w:lang w:eastAsia="zh-CN"/>
            </w:rPr>
            <w:t>效率产</w:t>
          </w:r>
          <w:r>
            <w:rPr>
              <w:rFonts w:hint="default" w:ascii="Times New Roman" w:hAnsi="Times New Roman" w:cs="Times New Roman"/>
            </w:rPr>
            <w:t>业新空间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_Toc12894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_Toc32351 </w:instrText>
          </w:r>
          <w:r>
            <w:rPr>
              <w:rFonts w:hint="default" w:ascii="Times New Roman" w:hAnsi="Times New Roman" w:cs="Times New Roman"/>
            </w:rPr>
            <w:fldChar w:fldCharType="separate"/>
          </w:r>
          <w:r>
            <w:rPr>
              <w:rFonts w:hint="default" w:ascii="Times New Roman" w:hAnsi="Times New Roman" w:cs="Times New Roman"/>
            </w:rPr>
            <w:t>(一) 塑造“一核、一带、多节点”产业新空间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_Toc32351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_Toc16541 </w:instrText>
          </w:r>
          <w:r>
            <w:rPr>
              <w:rFonts w:hint="default" w:ascii="Times New Roman" w:hAnsi="Times New Roman" w:cs="Times New Roman"/>
            </w:rPr>
            <w:fldChar w:fldCharType="separate"/>
          </w:r>
          <w:r>
            <w:rPr>
              <w:rFonts w:hint="default" w:ascii="Times New Roman" w:hAnsi="Times New Roman" w:cs="Times New Roman"/>
            </w:rPr>
            <w:t>(二) 提供多层次产业新载体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_Toc16541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_Toc31952 </w:instrText>
          </w:r>
          <w:r>
            <w:rPr>
              <w:rFonts w:hint="default" w:ascii="Times New Roman" w:hAnsi="Times New Roman" w:cs="Times New Roman"/>
            </w:rPr>
            <w:fldChar w:fldCharType="separate"/>
          </w:r>
          <w:r>
            <w:rPr>
              <w:rFonts w:hint="default" w:ascii="Times New Roman" w:hAnsi="Times New Roman" w:cs="Times New Roman"/>
              <w:lang w:eastAsia="zh-CN"/>
            </w:rPr>
            <w:t>六</w:t>
          </w:r>
          <w:r>
            <w:rPr>
              <w:rFonts w:hint="default" w:ascii="Times New Roman" w:hAnsi="Times New Roman" w:cs="Times New Roman"/>
            </w:rPr>
            <w:t>、实施</w:t>
          </w:r>
          <w:r>
            <w:rPr>
              <w:rFonts w:hint="default" w:ascii="Times New Roman" w:hAnsi="Times New Roman" w:cs="Times New Roman"/>
              <w:lang w:eastAsia="zh-CN"/>
            </w:rPr>
            <w:t>产业提升六大</w:t>
          </w:r>
          <w:r>
            <w:rPr>
              <w:rFonts w:hint="default" w:ascii="Times New Roman" w:hAnsi="Times New Roman" w:cs="Times New Roman"/>
            </w:rPr>
            <w:t>重点工程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_Toc31952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_Toc7782 </w:instrText>
          </w:r>
          <w:r>
            <w:rPr>
              <w:rFonts w:hint="default" w:ascii="Times New Roman" w:hAnsi="Times New Roman" w:cs="Times New Roman"/>
            </w:rPr>
            <w:fldChar w:fldCharType="separate"/>
          </w:r>
          <w:r>
            <w:rPr>
              <w:rFonts w:hint="default" w:ascii="Times New Roman" w:hAnsi="Times New Roman" w:cs="Times New Roman"/>
            </w:rPr>
            <w:t>(一) 实施总部经济提升工程，加快总部经济聚集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_Toc7782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_Toc23109 </w:instrText>
          </w:r>
          <w:r>
            <w:rPr>
              <w:rFonts w:hint="default" w:ascii="Times New Roman" w:hAnsi="Times New Roman" w:cs="Times New Roman"/>
            </w:rPr>
            <w:fldChar w:fldCharType="separate"/>
          </w:r>
          <w:r>
            <w:rPr>
              <w:rFonts w:hint="default" w:ascii="Times New Roman" w:hAnsi="Times New Roman" w:cs="Times New Roman"/>
            </w:rPr>
            <w:t>(二) 实施产业融合提升工程，完善融合发展模式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_Toc23109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_Toc6960 </w:instrText>
          </w:r>
          <w:r>
            <w:rPr>
              <w:rFonts w:hint="default" w:ascii="Times New Roman" w:hAnsi="Times New Roman" w:cs="Times New Roman"/>
            </w:rPr>
            <w:fldChar w:fldCharType="separate"/>
          </w:r>
          <w:r>
            <w:rPr>
              <w:rFonts w:hint="default" w:ascii="Times New Roman" w:hAnsi="Times New Roman" w:cs="Times New Roman"/>
            </w:rPr>
            <w:t>(三) 实施数字基础提升工程，赋能加速产业发展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_Toc6960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_Toc14217 </w:instrText>
          </w:r>
          <w:r>
            <w:rPr>
              <w:rFonts w:hint="default" w:ascii="Times New Roman" w:hAnsi="Times New Roman" w:cs="Times New Roman"/>
            </w:rPr>
            <w:fldChar w:fldCharType="separate"/>
          </w:r>
          <w:r>
            <w:rPr>
              <w:rFonts w:hint="default" w:ascii="Times New Roman" w:hAnsi="Times New Roman" w:cs="Times New Roman"/>
            </w:rPr>
            <w:t>(四) 实施企业集群提升工程，推动企业梯次培育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_Toc14217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_Toc20258 </w:instrText>
          </w:r>
          <w:r>
            <w:rPr>
              <w:rFonts w:hint="default" w:ascii="Times New Roman" w:hAnsi="Times New Roman" w:cs="Times New Roman"/>
            </w:rPr>
            <w:fldChar w:fldCharType="separate"/>
          </w:r>
          <w:r>
            <w:rPr>
              <w:rFonts w:hint="default" w:ascii="Times New Roman" w:hAnsi="Times New Roman" w:cs="Times New Roman"/>
            </w:rPr>
            <w:t>(五) 实施服务品牌提升工程，加速产业价值提升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_Toc20258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_Toc25756 </w:instrText>
          </w:r>
          <w:r>
            <w:rPr>
              <w:rFonts w:hint="default" w:ascii="Times New Roman" w:hAnsi="Times New Roman" w:cs="Times New Roman"/>
            </w:rPr>
            <w:fldChar w:fldCharType="separate"/>
          </w:r>
          <w:r>
            <w:rPr>
              <w:rFonts w:hint="default" w:ascii="Times New Roman" w:hAnsi="Times New Roman" w:cs="Times New Roman"/>
            </w:rPr>
            <w:t>(六) 实施营商环境提升工程，营造良性产业生态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_Toc25756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_Toc26823 </w:instrText>
          </w:r>
          <w:r>
            <w:rPr>
              <w:rFonts w:hint="default" w:ascii="Times New Roman" w:hAnsi="Times New Roman" w:cs="Times New Roman"/>
            </w:rPr>
            <w:fldChar w:fldCharType="separate"/>
          </w:r>
          <w:r>
            <w:rPr>
              <w:rFonts w:hint="default" w:ascii="Times New Roman" w:hAnsi="Times New Roman" w:cs="Times New Roman"/>
              <w:lang w:eastAsia="zh-CN"/>
            </w:rPr>
            <w:t>七</w:t>
          </w:r>
          <w:r>
            <w:rPr>
              <w:rFonts w:hint="default" w:ascii="Times New Roman" w:hAnsi="Times New Roman" w:cs="Times New Roman"/>
            </w:rPr>
            <w:t>、保障措施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_Toc26823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_Toc16939 </w:instrText>
          </w:r>
          <w:r>
            <w:rPr>
              <w:rFonts w:hint="default" w:ascii="Times New Roman" w:hAnsi="Times New Roman" w:cs="Times New Roman"/>
            </w:rPr>
            <w:fldChar w:fldCharType="separate"/>
          </w:r>
          <w:r>
            <w:rPr>
              <w:rFonts w:hint="default" w:ascii="Times New Roman" w:hAnsi="Times New Roman" w:cs="Times New Roman"/>
            </w:rPr>
            <w:t>(一) 加强组织统筹协调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_Toc16939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_Toc10562 </w:instrText>
          </w:r>
          <w:r>
            <w:rPr>
              <w:rFonts w:hint="default" w:ascii="Times New Roman" w:hAnsi="Times New Roman" w:cs="Times New Roman"/>
            </w:rPr>
            <w:fldChar w:fldCharType="separate"/>
          </w:r>
          <w:r>
            <w:rPr>
              <w:rFonts w:hint="default" w:ascii="Times New Roman" w:hAnsi="Times New Roman" w:cs="Times New Roman"/>
            </w:rPr>
            <w:t>(二) 加大财政资金支持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_Toc10562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_Toc27494 </w:instrText>
          </w:r>
          <w:r>
            <w:rPr>
              <w:rFonts w:hint="default" w:ascii="Times New Roman" w:hAnsi="Times New Roman" w:cs="Times New Roman"/>
            </w:rPr>
            <w:fldChar w:fldCharType="separate"/>
          </w:r>
          <w:r>
            <w:rPr>
              <w:rFonts w:hint="default" w:ascii="Times New Roman" w:hAnsi="Times New Roman" w:cs="Times New Roman"/>
            </w:rPr>
            <w:t>(三) 扩大企业融资渠道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_Toc27494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_Toc2864 </w:instrText>
          </w:r>
          <w:r>
            <w:rPr>
              <w:rFonts w:hint="default" w:ascii="Times New Roman" w:hAnsi="Times New Roman" w:cs="Times New Roman"/>
            </w:rPr>
            <w:fldChar w:fldCharType="separate"/>
          </w:r>
          <w:r>
            <w:rPr>
              <w:rFonts w:hint="default" w:ascii="Times New Roman" w:hAnsi="Times New Roman" w:cs="Times New Roman"/>
            </w:rPr>
            <w:t>(四) 筑牢优质人才支撑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_Toc2864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64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_Toc21470 </w:instrText>
          </w:r>
          <w:r>
            <w:rPr>
              <w:rFonts w:hint="default" w:ascii="Times New Roman" w:hAnsi="Times New Roman" w:cs="Times New Roman"/>
            </w:rPr>
            <w:fldChar w:fldCharType="separate"/>
          </w:r>
          <w:r>
            <w:rPr>
              <w:rFonts w:hint="default" w:ascii="Times New Roman" w:hAnsi="Times New Roman" w:cs="Times New Roman"/>
            </w:rPr>
            <w:t>(五) 完善考核评估督查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_Toc21470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tabs>
              <w:tab w:val="right" w:leader="dot" w:pos="8306"/>
            </w:tabs>
            <w:ind w:left="-4" w:leftChars="0" w:firstLine="4"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_Toc12706 </w:instrText>
          </w:r>
          <w:r>
            <w:rPr>
              <w:rFonts w:hint="default" w:ascii="Times New Roman" w:hAnsi="Times New Roman" w:cs="Times New Roman"/>
            </w:rPr>
            <w:fldChar w:fldCharType="separate"/>
          </w:r>
          <w:r>
            <w:rPr>
              <w:rFonts w:hint="default" w:ascii="Times New Roman" w:hAnsi="Times New Roman" w:cs="Times New Roman"/>
            </w:rPr>
            <w:t>附件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_Toc12706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rPr>
            <w:fldChar w:fldCharType="end"/>
          </w:r>
        </w:p>
        <w:p>
          <w:pPr>
            <w:ind w:left="-4" w:leftChars="0" w:firstLine="4" w:firstLineChars="0"/>
            <w:rPr>
              <w:rFonts w:hint="default" w:ascii="Times New Roman" w:hAnsi="Times New Roman" w:cs="Times New Roman"/>
            </w:rPr>
          </w:pPr>
          <w:r>
            <w:rPr>
              <w:rFonts w:hint="default" w:ascii="Times New Roman" w:hAnsi="Times New Roman" w:cs="Times New Roman"/>
            </w:rPr>
            <w:fldChar w:fldCharType="end"/>
          </w:r>
        </w:p>
      </w:sdtContent>
    </w:sdt>
    <w:p>
      <w:pPr>
        <w:rPr>
          <w:rFonts w:ascii="Times New Roman" w:hAnsi="Times New Roman" w:cs="Times New Roman"/>
        </w:rPr>
        <w:sectPr>
          <w:footerReference r:id="rId11" w:type="default"/>
          <w:pgSz w:w="11906" w:h="16838"/>
          <w:pgMar w:top="1701" w:right="1531" w:bottom="1701" w:left="1531" w:header="851" w:footer="992" w:gutter="0"/>
          <w:pgNumType w:fmt="decimal"/>
          <w:cols w:space="425" w:num="1"/>
          <w:docGrid w:type="lines" w:linePitch="312" w:charSpace="0"/>
        </w:sectPr>
      </w:pPr>
    </w:p>
    <w:p>
      <w:pPr>
        <w:pStyle w:val="4"/>
        <w:pageBreakBefore w:val="0"/>
        <w:widowControl w:val="0"/>
        <w:spacing w:line="580" w:lineRule="exact"/>
        <w:ind w:left="0" w:leftChars="0" w:firstLine="0" w:firstLineChars="0"/>
        <w:rPr>
          <w:rFonts w:hint="default" w:ascii="Times New Roman" w:hAnsi="Times New Roman" w:cs="Times New Roman"/>
        </w:rPr>
      </w:pPr>
      <w:bookmarkStart w:id="0" w:name="_Toc8241"/>
      <w:r>
        <w:rPr>
          <w:rFonts w:hint="default" w:ascii="Times New Roman" w:hAnsi="Times New Roman" w:eastAsia="黑体" w:cs="Times New Roman"/>
          <w:lang w:val="en-US" w:eastAsia="zh-CN"/>
        </w:rPr>
        <w:t>引</w:t>
      </w:r>
      <w:r>
        <w:rPr>
          <w:rFonts w:hint="default" w:ascii="Times New Roman" w:hAnsi="Times New Roman" w:eastAsia="黑体" w:cs="Times New Roman"/>
        </w:rPr>
        <w:t>言</w:t>
      </w:r>
      <w:bookmarkEnd w:id="0"/>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生产性服务业是制造业高端化、智能化的重要支撑，是推动产业结构升级的重要力量，也是抢占产业竞争战略制高点、引领产业向价值链高端提升的重要抓手，对推动我区经济高质量增长、服务湾区制造业发展、提升城市能级具有重要意义。2035年是我国基本实现社会主义现代化远景目标的重要时间节点，是党对实现第二个百年奋斗目标作出的第一阶段战略安排，也是促进我区生产性服务业创新发展、持续发展、领先发展，引领提升我区现代产业体系整体素质和竞争力的关键期。</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根据《粤港澳大湾区发展规划纲要》《广州市服务业发展“十四五”规划》《广州市荔湾区国民经济和社会发展第十四个五年规划和2035年远景目标纲要》《荔湾区现代产业发展规划（2021-2025年）》，特制定本规划，重点明确2023-2035年我区生产性服务业发展的指导思想、基本原则、发展目标、产业体系、区域格局、空间支撑、重点工程，作为未来推动我区生产性服务业高质量发展的行动纲领。</w:t>
      </w:r>
    </w:p>
    <w:p>
      <w:pPr>
        <w:pStyle w:val="186"/>
        <w:pageBreakBefore w:val="0"/>
        <w:widowControl w:val="0"/>
        <w:shd w:val="clear" w:fill="auto"/>
        <w:snapToGrid/>
        <w:spacing w:before="0" w:after="0" w:line="580" w:lineRule="exact"/>
        <w:ind w:leftChars="0" w:firstLine="640" w:firstLineChars="200"/>
        <w:rPr>
          <w:rFonts w:hint="default" w:ascii="Times New Roman" w:hAnsi="Times New Roman" w:eastAsia="黑体" w:cs="Times New Roman"/>
          <w:b w:val="0"/>
          <w:bCs w:val="0"/>
          <w:sz w:val="32"/>
          <w:szCs w:val="44"/>
          <w:lang w:val="en-US" w:eastAsia="zh-CN" w:bidi="ar-SA"/>
        </w:rPr>
      </w:pPr>
      <w:bookmarkStart w:id="1" w:name="_Toc51117554"/>
      <w:bookmarkStart w:id="2" w:name="_Toc5758"/>
      <w:r>
        <w:rPr>
          <w:rFonts w:hint="default" w:ascii="Times New Roman" w:hAnsi="Times New Roman" w:eastAsia="黑体" w:cs="Times New Roman"/>
          <w:b w:val="0"/>
          <w:bCs w:val="0"/>
          <w:sz w:val="32"/>
          <w:szCs w:val="44"/>
          <w:lang w:val="en-US" w:eastAsia="zh-CN" w:bidi="ar-SA"/>
        </w:rPr>
        <w:t>一、发展基础与形势</w:t>
      </w:r>
      <w:bookmarkEnd w:id="1"/>
      <w:bookmarkEnd w:id="2"/>
      <w:bookmarkStart w:id="3" w:name="_Toc51117555"/>
      <w:bookmarkStart w:id="4" w:name="_Toc21207"/>
    </w:p>
    <w:p>
      <w:pPr>
        <w:pStyle w:val="186"/>
        <w:pageBreakBefore w:val="0"/>
        <w:widowControl w:val="0"/>
        <w:shd w:val="clear" w:fill="auto"/>
        <w:snapToGrid/>
        <w:spacing w:before="0" w:after="0" w:line="580" w:lineRule="exact"/>
        <w:ind w:leftChars="0" w:firstLine="640" w:firstLineChars="200"/>
        <w:rPr>
          <w:rFonts w:hint="default" w:ascii="Times New Roman" w:hAnsi="Times New Roman" w:eastAsia="楷体" w:cs="Times New Roman"/>
          <w:b w:val="0"/>
          <w:bCs w:val="0"/>
        </w:rPr>
      </w:pPr>
      <w:r>
        <w:rPr>
          <w:rFonts w:hint="default" w:ascii="Times New Roman" w:hAnsi="Times New Roman" w:eastAsia="楷体" w:cs="Times New Roman"/>
          <w:b w:val="0"/>
          <w:bCs w:val="0"/>
          <w:lang w:eastAsia="zh-CN"/>
        </w:rPr>
        <w:t>（</w:t>
      </w:r>
      <w:r>
        <w:rPr>
          <w:rFonts w:hint="default" w:ascii="Times New Roman" w:hAnsi="Times New Roman" w:eastAsia="楷体" w:cs="Times New Roman"/>
          <w:b w:val="0"/>
          <w:bCs w:val="0"/>
          <w:lang w:val="en-US" w:eastAsia="zh-CN"/>
        </w:rPr>
        <w:t>一</w:t>
      </w:r>
      <w:r>
        <w:rPr>
          <w:rFonts w:hint="default" w:ascii="Times New Roman" w:hAnsi="Times New Roman" w:eastAsia="楷体" w:cs="Times New Roman"/>
          <w:b w:val="0"/>
          <w:bCs w:val="0"/>
          <w:lang w:eastAsia="zh-CN"/>
        </w:rPr>
        <w:t>）</w:t>
      </w:r>
      <w:r>
        <w:rPr>
          <w:rFonts w:hint="default" w:ascii="Times New Roman" w:hAnsi="Times New Roman" w:eastAsia="楷体" w:cs="Times New Roman"/>
          <w:b w:val="0"/>
          <w:bCs w:val="0"/>
        </w:rPr>
        <w:t>发展</w:t>
      </w:r>
      <w:bookmarkEnd w:id="3"/>
      <w:r>
        <w:rPr>
          <w:rFonts w:hint="default" w:ascii="Times New Roman" w:hAnsi="Times New Roman" w:eastAsia="楷体" w:cs="Times New Roman"/>
          <w:b w:val="0"/>
          <w:bCs w:val="0"/>
        </w:rPr>
        <w:t>现状</w:t>
      </w:r>
      <w:bookmarkEnd w:id="4"/>
    </w:p>
    <w:p>
      <w:pPr>
        <w:pStyle w:val="186"/>
        <w:pageBreakBefore w:val="0"/>
        <w:widowControl w:val="0"/>
        <w:shd w:val="clear" w:fill="auto"/>
        <w:snapToGrid/>
        <w:spacing w:before="0" w:after="0" w:line="580" w:lineRule="exact"/>
        <w:ind w:leftChars="0" w:firstLine="643" w:firstLineChars="200"/>
        <w:rPr>
          <w:rFonts w:hint="default" w:ascii="Times New Roman" w:hAnsi="Times New Roman" w:cs="Times New Roman"/>
        </w:rPr>
      </w:pPr>
      <w:r>
        <w:rPr>
          <w:rFonts w:hint="default" w:ascii="Times New Roman" w:hAnsi="Times New Roman" w:eastAsia="楷体" w:cs="Times New Roman"/>
          <w:b/>
          <w:bCs/>
          <w:lang w:val="en-US" w:eastAsia="zh-CN"/>
        </w:rPr>
        <w:t>1.</w:t>
      </w:r>
      <w:r>
        <w:rPr>
          <w:rFonts w:hint="eastAsia" w:ascii="仿宋_GB2312" w:hAnsi="仿宋_GB2312" w:eastAsia="仿宋_GB2312" w:cs="仿宋_GB2312"/>
        </w:rPr>
        <w:t>发展规模平稳增长，新业态新模式涌现</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2022年，我区生产性服务业（</w:t>
      </w:r>
      <w:r>
        <w:rPr>
          <w:rFonts w:ascii="Times New Roman" w:hAnsi="Times New Roman" w:cs="Times New Roman"/>
        </w:rPr>
        <w:t>本规划所指生产性服务业不含批零业、住宿业，下同）营业收入从2018年的253亿元增长至264亿元（初步数，未核定，下同），产业规模平稳增长，其中</w:t>
      </w:r>
      <w:r>
        <w:rPr>
          <w:rFonts w:hint="eastAsia" w:ascii="Times New Roman" w:hAnsi="Times New Roman" w:cs="Times New Roman"/>
          <w:lang w:val="en-US" w:eastAsia="zh-CN"/>
        </w:rPr>
        <w:t>2020</w:t>
      </w:r>
      <w:r>
        <w:rPr>
          <w:rFonts w:hint="default" w:ascii="Times New Roman" w:hAnsi="Times New Roman" w:cs="Times New Roman"/>
        </w:rPr>
        <w:t>年我区营业收入超15亿元的服务业企业有五家，影响力</w:t>
      </w:r>
      <w:r>
        <w:rPr>
          <w:rFonts w:hint="default" w:ascii="Times New Roman" w:hAnsi="Times New Roman" w:cs="Times New Roman"/>
        </w:rPr>
        <w:drawing>
          <wp:anchor distT="0" distB="0" distL="0" distR="0" simplePos="0" relativeHeight="251660288" behindDoc="0" locked="0" layoutInCell="1" allowOverlap="1">
            <wp:simplePos x="0" y="0"/>
            <wp:positionH relativeFrom="column">
              <wp:posOffset>510540</wp:posOffset>
            </wp:positionH>
            <wp:positionV relativeFrom="page">
              <wp:posOffset>1744980</wp:posOffset>
            </wp:positionV>
            <wp:extent cx="4789170" cy="2860040"/>
            <wp:effectExtent l="0" t="0" r="15240" b="12700"/>
            <wp:wrapSquare wrapText="bothSides"/>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default" w:ascii="Times New Roman" w:hAnsi="Times New Roman" w:cs="Times New Roman"/>
        </w:rPr>
        <w:t>持续增强。</w:t>
      </w:r>
    </w:p>
    <w:p>
      <w:pPr>
        <w:pStyle w:val="2"/>
        <w:rPr>
          <w:rFonts w:hint="default" w:ascii="Times New Roman" w:hAnsi="Times New Roman" w:cs="Times New Roman"/>
        </w:rPr>
      </w:pPr>
    </w:p>
    <w:p>
      <w:pPr>
        <w:rPr>
          <w:rFonts w:ascii="Times New Roman" w:hAnsi="Times New Roman" w:cs="Times New Roman"/>
        </w:rPr>
      </w:pPr>
    </w:p>
    <w:p>
      <w:pPr>
        <w:pStyle w:val="2"/>
      </w:pPr>
    </w:p>
    <w:p>
      <w:pPr>
        <w:pStyle w:val="181"/>
        <w:pageBreakBefore w:val="0"/>
        <w:spacing w:after="156" w:line="580" w:lineRule="exact"/>
        <w:jc w:val="center"/>
        <w:rPr>
          <w:rFonts w:hint="default" w:ascii="Times New Roman" w:hAnsi="Times New Roman" w:cs="Times New Roman"/>
        </w:rPr>
      </w:pPr>
      <w:r>
        <w:rPr>
          <w:rFonts w:hint="default" w:ascii="Times New Roman" w:hAnsi="Times New Roman" w:cs="Times New Roman"/>
          <w:sz w:val="22"/>
        </w:rPr>
        <w:t>2018-2022年荔湾区生产性服务业</w:t>
      </w:r>
      <w:r>
        <w:rPr>
          <w:rFonts w:ascii="Times New Roman" w:hAnsi="Times New Roman" w:cs="Times New Roman"/>
          <w:sz w:val="22"/>
        </w:rPr>
        <w:t>营业收入规模</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在电子商务方面，我区先后培育出唯品会、名创优品等一批全国电商领军企业，形成了电子商务多元化、集群发展的格局，其中唯品会电商业务稳步增长，2020年在中国网络销售TOP100 榜单中位列第三，名创优品成功在纽交所挂牌上市，市值突破 400亿元。</w:t>
      </w:r>
    </w:p>
    <w:p>
      <w:pPr>
        <w:pageBreakBefore w:val="0"/>
        <w:widowControl w:val="0"/>
        <w:spacing w:line="580" w:lineRule="exact"/>
        <w:ind w:left="0" w:leftChars="0" w:firstLine="640" w:firstLineChars="200"/>
        <w:rPr>
          <w:rFonts w:hint="default" w:ascii="Times New Roman" w:hAnsi="Times New Roman" w:cs="Times New Roman"/>
          <w:shd w:val="clear" w:color="auto" w:fill="FFFFFF"/>
        </w:rPr>
      </w:pPr>
      <w:r>
        <w:rPr>
          <w:rFonts w:hint="default" w:ascii="Times New Roman" w:hAnsi="Times New Roman" w:cs="Times New Roman"/>
          <w:shd w:val="clear" w:color="auto" w:fill="FFFFFF"/>
        </w:rPr>
        <w:t>在工业互联网领域，广州裕申电子科技有限公司、广州白云山医药集团股份有限公司各自上线运营1个行业型的工业互联网标识解析二级节点，其中裕申电子面向PCB行业绿色+智能生产的工业互联网标识解析二级节点，被国家工信部认定为2022年工业互联网试点示范项目。</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在科学研究和技术服务业方面，广东省建筑设计研究院有限公司、广东省水利电力勘测设计研究院有限公司、广东建设工程监理有限公司、广东省建筑工程监理有限公司四家企业202</w:t>
      </w:r>
      <w:r>
        <w:rPr>
          <w:rFonts w:ascii="Times New Roman" w:hAnsi="Times New Roman" w:cs="Times New Roman"/>
        </w:rPr>
        <w:t>2年营收合计超过30亿元。</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在租赁和商务服务业方面，绿瘦集团、广州工控集团等成为全区租赁和商务服务业重点企业。在金融业方面，已基本形成了白鹅潭产业金融服务创新区、广东塑料交易所、广州金羊金融研究院、广州白鹅潭基金管理有限公司和北京证券交易所华南基地“一区一所一院一基金一基地”服务格局。</w:t>
      </w:r>
    </w:p>
    <w:p>
      <w:pPr>
        <w:pStyle w:val="7"/>
        <w:keepNext/>
        <w:keepLines/>
        <w:pageBreakBefore w:val="0"/>
        <w:widowControl w:val="0"/>
        <w:numPr>
          <w:ilvl w:val="0"/>
          <w:numId w:val="0"/>
        </w:numPr>
        <w:snapToGrid/>
        <w:spacing w:before="0" w:after="0" w:line="580" w:lineRule="exact"/>
        <w:ind w:leftChars="0" w:firstLine="643" w:firstLineChars="200"/>
        <w:rPr>
          <w:rFonts w:hint="default" w:ascii="Times New Roman" w:hAnsi="Times New Roman" w:cs="Times New Roman"/>
        </w:rPr>
      </w:pPr>
      <w:r>
        <w:rPr>
          <w:rFonts w:hint="eastAsia" w:ascii="Times New Roman" w:hAnsi="Times New Roman" w:cs="Times New Roman"/>
          <w:lang w:val="en-US" w:eastAsia="zh-CN"/>
        </w:rPr>
        <w:t>2.</w:t>
      </w:r>
      <w:r>
        <w:rPr>
          <w:rFonts w:hint="default" w:ascii="Times New Roman" w:hAnsi="Times New Roman" w:cs="Times New Roman"/>
        </w:rPr>
        <w:t>重大平台建设提速，空间载体加快打造</w:t>
      </w:r>
    </w:p>
    <w:p>
      <w:pPr>
        <w:pageBreakBefore w:val="0"/>
        <w:widowControl w:val="0"/>
        <w:spacing w:line="580" w:lineRule="exact"/>
        <w:ind w:left="0" w:leftChars="0" w:firstLine="640" w:firstLineChars="200"/>
        <w:rPr>
          <w:rFonts w:hint="default" w:ascii="Times New Roman" w:hAnsi="Times New Roman" w:cs="Times New Roman"/>
          <w:color w:val="000000"/>
          <w:shd w:val="clear" w:color="auto" w:fill="FFFFFF"/>
        </w:rPr>
      </w:pPr>
      <w:r>
        <w:rPr>
          <w:rFonts w:hint="default" w:ascii="Times New Roman" w:hAnsi="Times New Roman" w:cs="Times New Roman"/>
        </w:rPr>
        <w:t>白鹅潭商务区建设加快推进，</w:t>
      </w:r>
      <w:r>
        <w:rPr>
          <w:rFonts w:ascii="Times New Roman" w:hAnsi="Times New Roman" w:cs="Times New Roman"/>
        </w:rPr>
        <w:t>万象城、聚龙湾太古汇项目动工建设，且聚龙湾科创总部经济区入选全市12个滨江高端产业园之一。海龙围科创区纳入“广佛科技创新产业示范区”规划，整体建设驶入快车道，白鹤沙地块全部完成出让，大参林运营中心、侨银总部大厦、大翔集团创新大厦等3个项目封顶。</w:t>
      </w:r>
      <w:r>
        <w:rPr>
          <w:rFonts w:hint="default" w:ascii="Times New Roman" w:hAnsi="Times New Roman" w:cs="Times New Roman"/>
          <w:color w:val="000000"/>
          <w:shd w:val="clear" w:color="auto" w:fill="FFFFFF"/>
        </w:rPr>
        <w:t>珠江西岸打造滨水创意产业带，形成信义国际会馆、1850创意园等一批等较具规模和影响力的创意产业园区。</w:t>
      </w:r>
      <w:bookmarkStart w:id="5" w:name="_Toc138608206"/>
      <w:bookmarkEnd w:id="5"/>
      <w:bookmarkStart w:id="6" w:name="_Toc14397"/>
    </w:p>
    <w:p>
      <w:pPr>
        <w:pageBreakBefore w:val="0"/>
        <w:widowControl w:val="0"/>
        <w:spacing w:line="580" w:lineRule="exact"/>
        <w:ind w:left="0" w:leftChars="0" w:firstLine="640" w:firstLineChars="200"/>
        <w:rPr>
          <w:rFonts w:hint="default" w:ascii="Times New Roman" w:hAnsi="Times New Roman" w:eastAsia="楷体" w:cs="Times New Roman"/>
          <w:b w:val="0"/>
          <w:bCs w:val="0"/>
          <w:lang w:eastAsia="zh-CN"/>
        </w:rPr>
      </w:pPr>
      <w:r>
        <w:rPr>
          <w:rFonts w:hint="eastAsia" w:ascii="Times New Roman" w:hAnsi="Times New Roman" w:eastAsia="楷体" w:cs="Times New Roman"/>
          <w:b w:val="0"/>
          <w:bCs w:val="0"/>
          <w:lang w:eastAsia="zh-CN"/>
        </w:rPr>
        <w:t>（</w:t>
      </w:r>
      <w:r>
        <w:rPr>
          <w:rFonts w:hint="eastAsia" w:ascii="Times New Roman" w:hAnsi="Times New Roman" w:eastAsia="楷体" w:cs="Times New Roman"/>
          <w:b w:val="0"/>
          <w:bCs w:val="0"/>
          <w:lang w:val="en-US" w:eastAsia="zh-CN"/>
        </w:rPr>
        <w:t>二</w:t>
      </w:r>
      <w:r>
        <w:rPr>
          <w:rFonts w:hint="eastAsia" w:ascii="Times New Roman" w:hAnsi="Times New Roman" w:eastAsia="楷体" w:cs="Times New Roman"/>
          <w:b w:val="0"/>
          <w:bCs w:val="0"/>
          <w:lang w:eastAsia="zh-CN"/>
        </w:rPr>
        <w:t>）</w:t>
      </w:r>
      <w:r>
        <w:rPr>
          <w:rFonts w:hint="default" w:ascii="Times New Roman" w:hAnsi="Times New Roman" w:eastAsia="楷体" w:cs="Times New Roman"/>
          <w:b w:val="0"/>
          <w:bCs w:val="0"/>
          <w:lang w:eastAsia="zh-CN"/>
        </w:rPr>
        <w:t>发展趋势</w:t>
      </w:r>
      <w:bookmarkEnd w:id="6"/>
    </w:p>
    <w:p>
      <w:pPr>
        <w:pageBreakBefore w:val="0"/>
        <w:widowControl w:val="0"/>
        <w:spacing w:line="580" w:lineRule="exact"/>
        <w:ind w:left="0" w:leftChars="0" w:firstLine="643" w:firstLineChars="200"/>
        <w:outlineLvl w:val="3"/>
        <w:rPr>
          <w:rFonts w:ascii="Times New Roman" w:hAnsi="Times New Roman"/>
        </w:rPr>
      </w:pPr>
      <w:r>
        <w:rPr>
          <w:rFonts w:hint="default" w:ascii="Times New Roman" w:hAnsi="Times New Roman" w:cs="Times New Roman"/>
          <w:b/>
        </w:rPr>
        <w:t>一是强要素链接趋势明显</w:t>
      </w:r>
      <w:r>
        <w:rPr>
          <w:rFonts w:ascii="Times New Roman" w:hAnsi="Times New Roman" w:cs="Times New Roman"/>
          <w:b/>
        </w:rPr>
        <w:t>。</w:t>
      </w:r>
      <w:r>
        <w:rPr>
          <w:rFonts w:ascii="Times New Roman" w:hAnsi="Times New Roman" w:eastAsia="仿宋_GB2312" w:cs="Times New Roman"/>
        </w:rPr>
        <w:t>生产性服务业利用链接、赋能、服务优势，全面整合研发、制造、服务等环节</w:t>
      </w:r>
      <w:r>
        <w:rPr>
          <w:rFonts w:ascii="Times New Roman" w:hAnsi="Times New Roman" w:cs="Times New Roman"/>
        </w:rPr>
        <w:t>，呈现强中间投入和高附加值特征</w:t>
      </w:r>
      <w:r>
        <w:rPr>
          <w:rFonts w:ascii="Times New Roman" w:hAnsi="Times New Roman" w:eastAsia="仿宋_GB2312" w:cs="Times New Roman"/>
        </w:rPr>
        <w:t>，能够放大平台效应，提升产业控制力。</w:t>
      </w:r>
      <w:r>
        <w:rPr>
          <w:rFonts w:ascii="Times New Roman" w:hAnsi="Times New Roman" w:cs="Times New Roman"/>
        </w:rPr>
        <w:t>同时，依托便捷的对外联系通道和高能级开放平台，生产性服务业充分发挥资源优化配置功能，不断扩大服务半径，形成链接各要素的供应链服务网络，具有高辐射带动能力。</w:t>
      </w:r>
    </w:p>
    <w:p>
      <w:pPr>
        <w:pageBreakBefore w:val="0"/>
        <w:widowControl w:val="0"/>
        <w:spacing w:line="580" w:lineRule="exact"/>
        <w:ind w:left="0" w:leftChars="0" w:firstLine="640" w:firstLineChars="0"/>
        <w:outlineLvl w:val="3"/>
        <w:rPr>
          <w:rFonts w:ascii="Times New Roman" w:hAnsi="Times New Roman"/>
        </w:rPr>
      </w:pPr>
      <w:r>
        <w:rPr>
          <w:rFonts w:hint="default" w:ascii="Times New Roman" w:hAnsi="Times New Roman" w:cs="Times New Roman"/>
          <w:b/>
        </w:rPr>
        <w:t>二是数字智能化趋势明显。</w:t>
      </w:r>
      <w:r>
        <w:rPr>
          <w:rFonts w:ascii="Times New Roman" w:hAnsi="Times New Roman" w:cs="Times New Roman"/>
        </w:rPr>
        <w:t>新一轮科技与产业革命进入群体迸发阶段，第五代移动通信技术（5G）、人工智能、区块链等技术加速突破与应用，加速了生产性服务的网络化、智慧化发展，</w:t>
      </w:r>
      <w:r>
        <w:rPr>
          <w:rFonts w:ascii="Times New Roman" w:hAnsi="Times New Roman" w:eastAsia="仿宋_GB2312" w:cs="Times New Roman"/>
        </w:rPr>
        <w:t>催生出智能工厂、柔性化定制、总集成总承包等新业态新模式。</w:t>
      </w:r>
      <w:r>
        <w:rPr>
          <w:rFonts w:ascii="Times New Roman" w:hAnsi="Times New Roman" w:cs="Times New Roman"/>
        </w:rPr>
        <w:t>特别是新冠肺炎疫情爆发以来，信息技术对生产性服务业创新发展的带动效应日益显现，线上零售、线上教育、远程办公、视频会议等迅猛发展，极大提速</w:t>
      </w:r>
      <w:r>
        <w:rPr>
          <w:rFonts w:ascii="Times New Roman" w:hAnsi="Times New Roman" w:eastAsia="仿宋_GB2312" w:cs="Times New Roman"/>
        </w:rPr>
        <w:t>生产性</w:t>
      </w:r>
      <w:r>
        <w:rPr>
          <w:rFonts w:ascii="Times New Roman" w:hAnsi="Times New Roman" w:cs="Times New Roman"/>
        </w:rPr>
        <w:t>服务业数字化进程</w:t>
      </w:r>
      <w:r>
        <w:rPr>
          <w:rFonts w:ascii="Times New Roman" w:hAnsi="Times New Roman" w:eastAsia="仿宋_GB2312" w:cs="Times New Roman"/>
        </w:rPr>
        <w:t>。</w:t>
      </w:r>
    </w:p>
    <w:p>
      <w:pPr>
        <w:pageBreakBefore w:val="0"/>
        <w:widowControl w:val="0"/>
        <w:spacing w:line="580" w:lineRule="exact"/>
        <w:ind w:left="0" w:leftChars="0" w:firstLine="640" w:firstLineChars="0"/>
        <w:outlineLvl w:val="3"/>
        <w:rPr>
          <w:rFonts w:ascii="Times New Roman" w:hAnsi="Times New Roman"/>
        </w:rPr>
      </w:pPr>
      <w:r>
        <w:rPr>
          <w:rFonts w:hint="default" w:ascii="Times New Roman" w:hAnsi="Times New Roman" w:cs="Times New Roman"/>
          <w:b/>
        </w:rPr>
        <w:t>三是两业融合化趋势明显。</w:t>
      </w:r>
      <w:r>
        <w:rPr>
          <w:rFonts w:ascii="Times New Roman" w:hAnsi="Times New Roman" w:cs="Times New Roman"/>
        </w:rPr>
        <w:t>生产性服务业与其他产业间的关系越来越密切，产业边界越来越模糊，产业内部的交叉渗透与产业之间的耦合共生，催生发展新趋势新需求，制造业服务化和服务型制造成为“两业融合”的主要方向。</w:t>
      </w:r>
      <w:r>
        <w:rPr>
          <w:rFonts w:ascii="Times New Roman" w:hAnsi="Times New Roman" w:eastAsia="仿宋_GB2312" w:cs="Times New Roman"/>
        </w:rPr>
        <w:t>同时，新技术加快渗透、应用，高端服务集中度逐步显现，产业链核心环节的高端服务成为产业升级的重要动力。</w:t>
      </w:r>
      <w:bookmarkStart w:id="7" w:name="_Toc4140"/>
    </w:p>
    <w:p>
      <w:pPr>
        <w:pageBreakBefore w:val="0"/>
        <w:widowControl w:val="0"/>
        <w:spacing w:line="580" w:lineRule="exact"/>
        <w:ind w:left="0" w:leftChars="0" w:firstLine="640" w:firstLineChars="200"/>
        <w:outlineLvl w:val="3"/>
        <w:rPr>
          <w:rFonts w:hint="default" w:ascii="Times New Roman" w:hAnsi="Times New Roman" w:eastAsia="楷体" w:cs="Times New Roman"/>
          <w:b w:val="0"/>
          <w:bCs w:val="0"/>
          <w:lang w:eastAsia="zh-CN"/>
        </w:rPr>
      </w:pPr>
      <w:r>
        <w:rPr>
          <w:rFonts w:hint="eastAsia" w:ascii="Times New Roman" w:hAnsi="Times New Roman" w:eastAsia="楷体" w:cs="Times New Roman"/>
          <w:b w:val="0"/>
          <w:bCs w:val="0"/>
          <w:lang w:eastAsia="zh-CN"/>
        </w:rPr>
        <w:t>（</w:t>
      </w:r>
      <w:r>
        <w:rPr>
          <w:rFonts w:hint="eastAsia" w:ascii="Times New Roman" w:hAnsi="Times New Roman" w:eastAsia="楷体" w:cs="Times New Roman"/>
          <w:b w:val="0"/>
          <w:bCs w:val="0"/>
          <w:lang w:val="en-US" w:eastAsia="zh-CN"/>
        </w:rPr>
        <w:t>三</w:t>
      </w:r>
      <w:r>
        <w:rPr>
          <w:rFonts w:hint="eastAsia" w:ascii="Times New Roman" w:hAnsi="Times New Roman" w:eastAsia="楷体" w:cs="Times New Roman"/>
          <w:b w:val="0"/>
          <w:bCs w:val="0"/>
          <w:lang w:eastAsia="zh-CN"/>
        </w:rPr>
        <w:t>）</w:t>
      </w:r>
      <w:r>
        <w:rPr>
          <w:rFonts w:hint="default" w:ascii="Times New Roman" w:hAnsi="Times New Roman" w:eastAsia="楷体" w:cs="Times New Roman"/>
          <w:b w:val="0"/>
          <w:bCs w:val="0"/>
          <w:lang w:eastAsia="zh-CN"/>
        </w:rPr>
        <w:t>发展机遇与挑战</w:t>
      </w:r>
      <w:bookmarkEnd w:id="7"/>
    </w:p>
    <w:p>
      <w:pPr>
        <w:pageBreakBefore w:val="0"/>
        <w:widowControl w:val="0"/>
        <w:spacing w:line="580" w:lineRule="exact"/>
        <w:ind w:left="0" w:leftChars="0" w:firstLine="640" w:firstLineChars="200"/>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rPr>
        <w:t>随着世界经济格局和国际秩序深度调整，国内经济社会进入新发展阶段，荔湾区生产性服务业整体仍将处于充满挑战、大有可为的重要战略发展期。</w:t>
      </w:r>
    </w:p>
    <w:p>
      <w:pPr>
        <w:pageBreakBefore w:val="0"/>
        <w:widowControl w:val="0"/>
        <w:spacing w:line="580" w:lineRule="exact"/>
        <w:ind w:left="0" w:leftChars="0" w:firstLine="643" w:firstLineChars="200"/>
        <w:rPr>
          <w:rFonts w:hint="default" w:ascii="Times New Roman" w:hAnsi="Times New Roman" w:cs="Times New Roman"/>
        </w:rPr>
      </w:pPr>
      <w:r>
        <w:rPr>
          <w:rFonts w:hint="eastAsia" w:ascii="Times New Roman" w:hAnsi="Times New Roman" w:cs="Times New Roman"/>
          <w:b/>
          <w:bCs/>
          <w:lang w:val="en-US" w:eastAsia="zh-CN"/>
        </w:rPr>
        <w:t>1.</w:t>
      </w:r>
      <w:r>
        <w:rPr>
          <w:rFonts w:hint="default" w:ascii="Times New Roman" w:hAnsi="Times New Roman" w:cs="Times New Roman"/>
          <w:b/>
          <w:bCs/>
        </w:rPr>
        <w:t>机遇与优势</w:t>
      </w:r>
    </w:p>
    <w:p>
      <w:pPr>
        <w:pageBreakBefore w:val="0"/>
        <w:widowControl w:val="0"/>
        <w:spacing w:line="580" w:lineRule="exact"/>
        <w:ind w:left="0" w:leftChars="0" w:firstLine="640" w:firstLineChars="200"/>
        <w:rPr>
          <w:rFonts w:hint="default" w:ascii="Times New Roman" w:hAnsi="Times New Roman" w:cs="Times New Roman"/>
          <w:b/>
        </w:rPr>
      </w:pPr>
      <w:r>
        <w:rPr>
          <w:rFonts w:hint="default" w:ascii="Times New Roman" w:hAnsi="Times New Roman" w:cs="Times New Roman"/>
        </w:rPr>
        <w:t>新一轮科技和产业革命引领全球经济深刻变革，在产业边界愈加模糊化、生产和服务功能深度融合的背景下，生产性服务业逐渐成为推动经济发展的引导性力量。我国经济稳中向好、长期向好的趋势没有改变，供给侧结构性改革持续深化，经济发展</w:t>
      </w:r>
      <w:r>
        <w:rPr>
          <w:rFonts w:hint="default" w:ascii="Times New Roman" w:hAnsi="Times New Roman" w:cs="Times New Roman"/>
          <w:szCs w:val="32"/>
        </w:rPr>
        <w:t>由高速增长转向高质量发展阶段。在</w:t>
      </w:r>
      <w:r>
        <w:rPr>
          <w:rFonts w:hint="default" w:ascii="Times New Roman" w:hAnsi="Times New Roman" w:cs="Times New Roman"/>
        </w:rPr>
        <w:t>以国内大循环为主体、国内国际双循环相互促进的新发展格局下，《区域全面经济伙伴关系协定》（RCEP协定）、“一带一路”合作、粤港澳大湾区建设、《南沙方案》等国家战略多重叠加实施，为</w:t>
      </w:r>
      <w:r>
        <w:rPr>
          <w:rFonts w:hint="default" w:ascii="Times New Roman" w:hAnsi="Times New Roman" w:cs="Times New Roman"/>
          <w:color w:val="000000"/>
          <w:shd w:val="clear" w:color="auto" w:fill="FFFFFF"/>
        </w:rPr>
        <w:t>荔湾</w:t>
      </w:r>
      <w:r>
        <w:rPr>
          <w:rFonts w:hint="default" w:ascii="Times New Roman" w:hAnsi="Times New Roman" w:cs="Times New Roman"/>
        </w:rPr>
        <w:t>区生产性服务业深度参与产业合作提供了重要机遇。</w:t>
      </w:r>
      <w:r>
        <w:rPr>
          <w:rFonts w:hint="default" w:ascii="Times New Roman" w:hAnsi="Times New Roman" w:cs="Times New Roman"/>
          <w:color w:val="000000"/>
          <w:shd w:val="clear" w:color="auto" w:fill="FFFFFF"/>
        </w:rPr>
        <w:t>荔湾</w:t>
      </w:r>
      <w:r>
        <w:rPr>
          <w:rFonts w:hint="default" w:ascii="Times New Roman" w:hAnsi="Times New Roman" w:cs="Times New Roman"/>
        </w:rPr>
        <w:t>区将扩大内需作为战略基点，以高水平对外开放为强大支撑，抢抓扩大内需和消费升级机遇，</w:t>
      </w:r>
      <w:r>
        <w:rPr>
          <w:rFonts w:hint="default" w:ascii="Times New Roman" w:hAnsi="Times New Roman" w:cs="Times New Roman"/>
          <w:szCs w:val="32"/>
        </w:rPr>
        <w:t>发挥“千年商都”内引外联的传统优势，挖掘内需潜力、拓展投资空间，</w:t>
      </w:r>
      <w:r>
        <w:rPr>
          <w:rFonts w:hint="default" w:ascii="Times New Roman" w:hAnsi="Times New Roman" w:cs="Times New Roman"/>
        </w:rPr>
        <w:t>加速铸造生产性服务业核心竞争力。</w:t>
      </w:r>
    </w:p>
    <w:p>
      <w:pPr>
        <w:pageBreakBefore w:val="0"/>
        <w:widowControl w:val="0"/>
        <w:spacing w:line="580" w:lineRule="exact"/>
        <w:ind w:left="0" w:leftChars="0" w:firstLine="640" w:firstLineChars="200"/>
        <w:rPr>
          <w:rFonts w:hint="default" w:ascii="Times New Roman" w:hAnsi="Times New Roman" w:cs="Times New Roman"/>
          <w:b/>
          <w:szCs w:val="32"/>
        </w:rPr>
      </w:pPr>
      <w:r>
        <w:rPr>
          <w:rFonts w:hint="default" w:ascii="Times New Roman" w:hAnsi="Times New Roman" w:cs="Times New Roman"/>
        </w:rPr>
        <w:t>2021年，广州市第十二次党代会首次提出“产业第一、制造业立市”，</w:t>
      </w:r>
      <w:r>
        <w:rPr>
          <w:rFonts w:hint="default" w:ascii="Times New Roman" w:hAnsi="Times New Roman" w:cs="Times New Roman"/>
          <w:szCs w:val="32"/>
        </w:rPr>
        <w:t>进一步强调坚持把发展经济着力点放在实体经济上，不断推进产业基础高级化和产业链现代化。</w:t>
      </w:r>
      <w:r>
        <w:rPr>
          <w:rFonts w:hint="default" w:ascii="Times New Roman" w:hAnsi="Times New Roman" w:cs="Times New Roman"/>
        </w:rPr>
        <w:t>在此背景下，</w:t>
      </w:r>
      <w:r>
        <w:rPr>
          <w:rFonts w:hint="default" w:ascii="Times New Roman" w:hAnsi="Times New Roman" w:cs="Times New Roman"/>
          <w:color w:val="000000"/>
          <w:shd w:val="clear" w:color="auto" w:fill="FFFFFF"/>
        </w:rPr>
        <w:t>荔湾</w:t>
      </w:r>
      <w:r>
        <w:rPr>
          <w:rFonts w:hint="default" w:ascii="Times New Roman" w:hAnsi="Times New Roman" w:cs="Times New Roman"/>
        </w:rPr>
        <w:t>区提出“坚持产业第一、制造业立区，大力发展以现代都市工业为重点，生产性服务业和商贸业共同发展的实体经济”。</w:t>
      </w:r>
      <w:r>
        <w:rPr>
          <w:rFonts w:hint="default" w:ascii="Times New Roman" w:hAnsi="Times New Roman" w:cs="Times New Roman"/>
          <w:szCs w:val="32"/>
        </w:rPr>
        <w:t>同时，广州提出</w:t>
      </w:r>
      <w:r>
        <w:rPr>
          <w:rFonts w:hint="default" w:ascii="Times New Roman" w:hAnsi="Times New Roman" w:cs="Times New Roman"/>
        </w:rPr>
        <w:t>加快发展珠江沿岸高质量发展，</w:t>
      </w:r>
      <w:r>
        <w:rPr>
          <w:rFonts w:hint="default" w:ascii="Times New Roman" w:hAnsi="Times New Roman" w:cs="Times New Roman"/>
          <w:color w:val="000000"/>
          <w:shd w:val="clear" w:color="auto" w:fill="FFFFFF"/>
        </w:rPr>
        <w:t>荔湾</w:t>
      </w:r>
      <w:r>
        <w:rPr>
          <w:rFonts w:hint="default" w:ascii="Times New Roman" w:hAnsi="Times New Roman" w:cs="Times New Roman"/>
        </w:rPr>
        <w:t>区作为全市唯一一个同时具备前航道、后航道、西航道的城区，</w:t>
      </w:r>
      <w:r>
        <w:rPr>
          <w:rFonts w:hint="default" w:ascii="Times New Roman" w:hAnsi="Times New Roman" w:cs="Times New Roman"/>
          <w:color w:val="000000"/>
          <w:shd w:val="clear" w:color="auto" w:fill="FFFFFF"/>
        </w:rPr>
        <w:t>白鹅潭商务区是沿江产业带的西部起点，海龙围科创区是西部产业带的重要节点，整体</w:t>
      </w:r>
      <w:r>
        <w:rPr>
          <w:rFonts w:hint="default" w:ascii="Times New Roman" w:hAnsi="Times New Roman" w:cs="Times New Roman"/>
        </w:rPr>
        <w:t>处于各类高端资源要素沿珠江布局的关键节点。要求</w:t>
      </w:r>
      <w:r>
        <w:rPr>
          <w:rFonts w:hint="default" w:ascii="Times New Roman" w:hAnsi="Times New Roman" w:cs="Times New Roman"/>
          <w:color w:val="000000"/>
          <w:shd w:val="clear" w:color="auto" w:fill="FFFFFF"/>
        </w:rPr>
        <w:t>荔湾</w:t>
      </w:r>
      <w:r>
        <w:rPr>
          <w:rFonts w:hint="default" w:ascii="Times New Roman" w:hAnsi="Times New Roman" w:cs="Times New Roman"/>
          <w:szCs w:val="32"/>
        </w:rPr>
        <w:t>处理好制造与服务的关系，持续提升服务业能级</w:t>
      </w:r>
      <w:r>
        <w:rPr>
          <w:rFonts w:hint="default" w:ascii="Times New Roman" w:hAnsi="Times New Roman" w:cs="Times New Roman"/>
        </w:rPr>
        <w:t>，更好支撑</w:t>
      </w:r>
      <w:r>
        <w:rPr>
          <w:rFonts w:hint="default" w:ascii="Times New Roman" w:hAnsi="Times New Roman" w:cs="Times New Roman"/>
          <w:color w:val="000000"/>
          <w:shd w:val="clear" w:color="auto" w:fill="FFFFFF"/>
        </w:rPr>
        <w:t>荔湾</w:t>
      </w:r>
      <w:r>
        <w:rPr>
          <w:rFonts w:hint="default" w:ascii="Times New Roman" w:hAnsi="Times New Roman" w:cs="Times New Roman"/>
        </w:rPr>
        <w:t>乃至全市制造业发展，</w:t>
      </w:r>
      <w:r>
        <w:rPr>
          <w:rFonts w:hint="default" w:ascii="Times New Roman" w:hAnsi="Times New Roman" w:cs="Times New Roman"/>
          <w:szCs w:val="32"/>
        </w:rPr>
        <w:t>促进制造与服务两业融合、双轮驱动，充分发挥珠江沿岸高质量发展引擎作用，升级打造白鹅潭商务区等发展平台，提升生产性服务业聚集态势。</w:t>
      </w:r>
    </w:p>
    <w:p>
      <w:pPr>
        <w:pageBreakBefore w:val="0"/>
        <w:widowControl w:val="0"/>
        <w:spacing w:line="580" w:lineRule="exact"/>
        <w:ind w:left="0" w:leftChars="0" w:firstLine="640" w:firstLineChars="200"/>
        <w:rPr>
          <w:rFonts w:hint="default" w:ascii="Times New Roman" w:hAnsi="Times New Roman" w:cs="Times New Roman"/>
          <w:szCs w:val="32"/>
        </w:rPr>
      </w:pPr>
      <w:r>
        <w:rPr>
          <w:rFonts w:hint="default" w:ascii="Times New Roman" w:hAnsi="Times New Roman" w:cs="Times New Roman"/>
          <w:color w:val="000000"/>
          <w:shd w:val="clear" w:color="auto" w:fill="FFFFFF"/>
        </w:rPr>
        <w:t>荔湾</w:t>
      </w:r>
      <w:r>
        <w:rPr>
          <w:rFonts w:hint="default" w:ascii="Times New Roman" w:hAnsi="Times New Roman" w:cs="Times New Roman"/>
          <w:szCs w:val="32"/>
        </w:rPr>
        <w:t>地处</w:t>
      </w:r>
      <w:r>
        <w:rPr>
          <w:rFonts w:hint="default" w:ascii="Times New Roman" w:hAnsi="Times New Roman" w:cs="Times New Roman"/>
        </w:rPr>
        <w:t>“广佛极点”核心和珠江西岸先进装备制造业产业带重要节点</w:t>
      </w:r>
      <w:r>
        <w:rPr>
          <w:rFonts w:hint="default" w:ascii="Times New Roman" w:hAnsi="Times New Roman" w:cs="Times New Roman"/>
          <w:szCs w:val="32"/>
        </w:rPr>
        <w:t>，作为前（广州）店后（佛山）厂工作模式的突出代表，以其自古以来对外商贸的影响力和平台效益，有效支撑珠西地区集聚发展。相比深圳及广州天河、越秀、海珠等兄弟区，荔湾区具有直接服务珠江西岸城市、尤其是佛山制造中心的独特优势，</w:t>
      </w:r>
      <w:r>
        <w:rPr>
          <w:rFonts w:hint="default" w:ascii="Times New Roman" w:hAnsi="Times New Roman" w:cs="Times New Roman"/>
        </w:rPr>
        <w:t>39平方公里土地被列入广佛高质量发展融合试验区先导区，</w:t>
      </w:r>
      <w:r>
        <w:rPr>
          <w:rFonts w:hint="default" w:ascii="Times New Roman" w:hAnsi="Times New Roman" w:cs="Times New Roman"/>
          <w:szCs w:val="32"/>
        </w:rPr>
        <w:t>能够直接参与打造大湾区“广佛极点”；相比中山、珠海等城市，</w:t>
      </w:r>
      <w:r>
        <w:rPr>
          <w:rFonts w:hint="default" w:ascii="Times New Roman" w:hAnsi="Times New Roman" w:cs="Times New Roman"/>
          <w:color w:val="000000"/>
          <w:shd w:val="clear" w:color="auto" w:fill="FFFFFF"/>
        </w:rPr>
        <w:t>荔湾</w:t>
      </w:r>
      <w:r>
        <w:rPr>
          <w:rFonts w:hint="default" w:ascii="Times New Roman" w:hAnsi="Times New Roman" w:cs="Times New Roman"/>
          <w:szCs w:val="32"/>
        </w:rPr>
        <w:t>区生产性服务业能级相对较高，更能满足珠江西岸城市制造业发展需求，具有产业优势互补、联动发展的产业合作基础。同时，</w:t>
      </w:r>
      <w:r>
        <w:rPr>
          <w:rFonts w:hint="default" w:ascii="Times New Roman" w:hAnsi="Times New Roman" w:cs="Times New Roman"/>
          <w:color w:val="000000"/>
          <w:shd w:val="clear" w:color="auto" w:fill="FFFFFF"/>
        </w:rPr>
        <w:t>荔湾</w:t>
      </w:r>
      <w:r>
        <w:rPr>
          <w:rFonts w:hint="default" w:ascii="Times New Roman" w:hAnsi="Times New Roman" w:cs="Times New Roman"/>
          <w:szCs w:val="32"/>
        </w:rPr>
        <w:t>区拥有大量可挖掘的低效土地资源、传统优势产业、滨江一线稀缺景观、丰富的公共服务设施以及高效融入湾区、联动港澳的轨道交通资源，后发潜力强劲，将成为助力广州发挥湾区极点带动作用的西部引擎。要求</w:t>
      </w:r>
      <w:r>
        <w:rPr>
          <w:rFonts w:hint="default" w:ascii="Times New Roman" w:hAnsi="Times New Roman" w:cs="Times New Roman"/>
          <w:color w:val="000000"/>
          <w:shd w:val="clear" w:color="auto" w:fill="FFFFFF"/>
        </w:rPr>
        <w:t>荔湾</w:t>
      </w:r>
      <w:r>
        <w:rPr>
          <w:rFonts w:hint="default" w:ascii="Times New Roman" w:hAnsi="Times New Roman" w:cs="Times New Roman"/>
          <w:szCs w:val="32"/>
        </w:rPr>
        <w:t>立足广佛传统发展动力源，肩负起支撑广州西部崛起、东西部均衡发展的使命，进一步落实“1+4”广佛全域融合的发展要求，积极融入区域产业协同发展格局，主动转型成为珠江西岸“制造+服务”的重要纽带，</w:t>
      </w:r>
      <w:r>
        <w:rPr>
          <w:rFonts w:hint="default" w:ascii="Times New Roman" w:hAnsi="Times New Roman" w:cs="Times New Roman"/>
        </w:rPr>
        <w:t>加强产业互补与协调，</w:t>
      </w:r>
      <w:r>
        <w:rPr>
          <w:rFonts w:hint="default" w:ascii="Times New Roman" w:hAnsi="Times New Roman" w:cs="Times New Roman"/>
          <w:szCs w:val="32"/>
        </w:rPr>
        <w:t>拓展生产性服务市场、提升产业发展能级。</w:t>
      </w:r>
    </w:p>
    <w:p>
      <w:pPr>
        <w:pageBreakBefore w:val="0"/>
        <w:widowControl w:val="0"/>
        <w:spacing w:line="580" w:lineRule="exact"/>
        <w:ind w:left="0" w:leftChars="0" w:firstLine="643" w:firstLineChars="200"/>
        <w:rPr>
          <w:rFonts w:hint="default" w:ascii="Times New Roman" w:hAnsi="Times New Roman" w:cs="Times New Roman"/>
        </w:rPr>
      </w:pPr>
      <w:r>
        <w:rPr>
          <w:rFonts w:hint="eastAsia" w:ascii="Times New Roman" w:hAnsi="Times New Roman" w:cs="Times New Roman"/>
          <w:b/>
          <w:bCs/>
          <w:lang w:val="en-US" w:eastAsia="zh-CN"/>
        </w:rPr>
        <w:t>2.</w:t>
      </w:r>
      <w:r>
        <w:rPr>
          <w:rFonts w:hint="default" w:ascii="Times New Roman" w:hAnsi="Times New Roman" w:cs="Times New Roman"/>
          <w:b/>
          <w:bCs/>
        </w:rPr>
        <w:t>挑战与制约</w:t>
      </w:r>
    </w:p>
    <w:p>
      <w:pPr>
        <w:pageBreakBefore w:val="0"/>
        <w:widowControl w:val="0"/>
        <w:spacing w:line="580" w:lineRule="exact"/>
        <w:ind w:left="0" w:leftChars="0" w:firstLine="643" w:firstLineChars="200"/>
        <w:rPr>
          <w:rFonts w:hint="default" w:ascii="Times New Roman" w:hAnsi="Times New Roman" w:cs="Times New Roman"/>
        </w:rPr>
      </w:pPr>
      <w:r>
        <w:rPr>
          <w:rFonts w:hint="default" w:ascii="Times New Roman" w:hAnsi="Times New Roman" w:cs="Times New Roman"/>
          <w:b/>
        </w:rPr>
        <w:t>从外部发展环境看，</w:t>
      </w:r>
      <w:r>
        <w:rPr>
          <w:rFonts w:hint="default" w:ascii="Times New Roman" w:hAnsi="Times New Roman" w:cs="Times New Roman"/>
        </w:rPr>
        <w:t>后疫情时代逆全球化趋势加剧、保护主义和单边主义上升、中美经贸摩擦加剧，全球产业链供应链本地化、区域化倾向更加明显，国内产业链、供应链安全风险加大，</w:t>
      </w:r>
      <w:r>
        <w:rPr>
          <w:rFonts w:hint="default" w:ascii="Times New Roman" w:hAnsi="Times New Roman" w:cs="Times New Roman"/>
          <w:color w:val="000000"/>
          <w:shd w:val="clear" w:color="auto" w:fill="FFFFFF"/>
        </w:rPr>
        <w:t>荔湾</w:t>
      </w:r>
      <w:r>
        <w:rPr>
          <w:rFonts w:hint="default" w:ascii="Times New Roman" w:hAnsi="Times New Roman" w:cs="Times New Roman"/>
        </w:rPr>
        <w:t>生产性服务业的发展形势不稳定性不确定性加强，将面临技术、资本、人力等资源要素的激烈竞争。同时，粤港澳大湾区内部竞争加剧，广州城市发展战略呈现向东向南转移的趋势，</w:t>
      </w:r>
      <w:r>
        <w:rPr>
          <w:rFonts w:hint="default" w:ascii="Times New Roman" w:hAnsi="Times New Roman" w:cs="Times New Roman"/>
          <w:color w:val="000000"/>
          <w:shd w:val="clear" w:color="auto" w:fill="FFFFFF"/>
        </w:rPr>
        <w:t>荔湾</w:t>
      </w:r>
      <w:r>
        <w:rPr>
          <w:rFonts w:hint="default" w:ascii="Times New Roman" w:hAnsi="Times New Roman" w:cs="Times New Roman"/>
        </w:rPr>
        <w:t>传统区位优势受到一定挑战，与佛山南海、广州兄弟区等城市区域同台竞争压力也进一步加大。</w:t>
      </w:r>
    </w:p>
    <w:p>
      <w:pPr>
        <w:pageBreakBefore w:val="0"/>
        <w:widowControl w:val="0"/>
        <w:spacing w:line="580" w:lineRule="exact"/>
        <w:ind w:left="0" w:leftChars="0" w:firstLine="643" w:firstLineChars="200"/>
        <w:rPr>
          <w:rFonts w:hint="default" w:ascii="Times New Roman" w:hAnsi="Times New Roman" w:cs="Times New Roman"/>
        </w:rPr>
      </w:pPr>
      <w:r>
        <w:rPr>
          <w:rFonts w:hint="default" w:ascii="Times New Roman" w:hAnsi="Times New Roman" w:cs="Times New Roman"/>
          <w:b/>
        </w:rPr>
        <w:t>从产业发展短板看，</w:t>
      </w:r>
      <w:r>
        <w:rPr>
          <w:rFonts w:hint="default" w:ascii="Times New Roman" w:hAnsi="Times New Roman" w:cs="Times New Roman"/>
          <w:color w:val="000000"/>
          <w:shd w:val="clear" w:color="auto" w:fill="FFFFFF"/>
        </w:rPr>
        <w:t>荔湾</w:t>
      </w:r>
      <w:r>
        <w:rPr>
          <w:rFonts w:hint="default" w:ascii="Times New Roman" w:hAnsi="Times New Roman" w:cs="Times New Roman"/>
        </w:rPr>
        <w:t>生产性服务业发展还存在以下问题。</w:t>
      </w:r>
      <w:r>
        <w:rPr>
          <w:rFonts w:hint="default" w:ascii="Times New Roman" w:hAnsi="Times New Roman" w:cs="Times New Roman"/>
          <w:b/>
        </w:rPr>
        <w:t>一是产业能级有待提升。</w:t>
      </w:r>
      <w:r>
        <w:rPr>
          <w:rFonts w:hint="default" w:ascii="Times New Roman" w:hAnsi="Times New Roman" w:cs="Times New Roman"/>
        </w:rPr>
        <w:t>与佛山南海、顺德、广州海珠、天河等区域相比，</w:t>
      </w:r>
      <w:r>
        <w:rPr>
          <w:rFonts w:hint="default" w:ascii="Times New Roman" w:hAnsi="Times New Roman" w:cs="Times New Roman"/>
          <w:color w:val="000000"/>
          <w:shd w:val="clear" w:color="auto" w:fill="FFFFFF"/>
        </w:rPr>
        <w:t>荔湾</w:t>
      </w:r>
      <w:r>
        <w:rPr>
          <w:rFonts w:hint="default" w:ascii="Times New Roman" w:hAnsi="Times New Roman" w:cs="Times New Roman"/>
        </w:rPr>
        <w:t>生产性服务业</w:t>
      </w:r>
      <w:r>
        <w:rPr>
          <w:rFonts w:hint="default" w:ascii="Times New Roman" w:hAnsi="Times New Roman" w:cs="Times New Roman"/>
          <w:szCs w:val="32"/>
        </w:rPr>
        <w:t>产业基础较为薄弱，整体竞争力不足，人才、技术等</w:t>
      </w:r>
      <w:r>
        <w:rPr>
          <w:rFonts w:hint="default" w:ascii="Times New Roman" w:hAnsi="Times New Roman" w:cs="Times New Roman"/>
        </w:rPr>
        <w:t>高端要素聚集缓慢，</w:t>
      </w:r>
      <w:r>
        <w:rPr>
          <w:rFonts w:hint="default" w:ascii="Times New Roman" w:hAnsi="Times New Roman" w:cs="Times New Roman"/>
          <w:szCs w:val="32"/>
        </w:rPr>
        <w:t>对珠西制造业的服务能力有限</w:t>
      </w:r>
      <w:r>
        <w:rPr>
          <w:rFonts w:hint="default" w:ascii="Times New Roman" w:hAnsi="Times New Roman" w:cs="Times New Roman"/>
          <w:color w:val="000000"/>
          <w:shd w:val="clear" w:color="auto" w:fill="FFFFFF"/>
        </w:rPr>
        <w:t>。</w:t>
      </w:r>
      <w:r>
        <w:rPr>
          <w:rFonts w:hint="default" w:ascii="Times New Roman" w:hAnsi="Times New Roman" w:cs="Times New Roman"/>
          <w:b/>
        </w:rPr>
        <w:t>二是产业结构有待优化。</w:t>
      </w:r>
      <w:r>
        <w:rPr>
          <w:rFonts w:hint="default" w:ascii="Times New Roman" w:hAnsi="Times New Roman" w:cs="Times New Roman"/>
          <w:bCs/>
        </w:rPr>
        <w:t>目前，</w:t>
      </w:r>
      <w:r>
        <w:rPr>
          <w:rFonts w:hint="default" w:ascii="Times New Roman" w:hAnsi="Times New Roman" w:cs="Times New Roman"/>
          <w:color w:val="000000"/>
          <w:shd w:val="clear" w:color="auto" w:fill="FFFFFF"/>
        </w:rPr>
        <w:t>荔湾</w:t>
      </w:r>
      <w:r>
        <w:rPr>
          <w:rFonts w:hint="default" w:ascii="Times New Roman" w:hAnsi="Times New Roman" w:cs="Times New Roman"/>
          <w:bCs/>
        </w:rPr>
        <w:t>面向制造的生产性服务业占比低，高价值行业领域发展相对缓慢，</w:t>
      </w:r>
      <w:r>
        <w:rPr>
          <w:rFonts w:hint="default" w:ascii="Times New Roman" w:hAnsi="Times New Roman" w:cs="Times New Roman"/>
        </w:rPr>
        <w:t>2022年</w:t>
      </w:r>
      <w:r>
        <w:rPr>
          <w:rFonts w:hint="default" w:ascii="Times New Roman" w:hAnsi="Times New Roman" w:cs="Times New Roman"/>
          <w:color w:val="000000"/>
          <w:shd w:val="clear" w:color="auto" w:fill="FFFFFF"/>
        </w:rPr>
        <w:t>荔湾</w:t>
      </w:r>
      <w:r>
        <w:rPr>
          <w:rFonts w:hint="default" w:ascii="Times New Roman" w:hAnsi="Times New Roman" w:cs="Times New Roman"/>
        </w:rPr>
        <w:t>区生产性服务业</w:t>
      </w:r>
      <w:r>
        <w:rPr>
          <w:rFonts w:ascii="Times New Roman" w:hAnsi="Times New Roman" w:cs="Times New Roman"/>
        </w:rPr>
        <w:t>营业收入规模约264亿元，约占第三产业的</w:t>
      </w:r>
      <w:r>
        <w:rPr>
          <w:rFonts w:hint="default" w:ascii="Times New Roman" w:hAnsi="Times New Roman" w:cs="Times New Roman"/>
          <w:bCs/>
        </w:rPr>
        <w:t>7.9%</w:t>
      </w:r>
      <w:r>
        <w:rPr>
          <w:rFonts w:hint="default" w:ascii="Times New Roman" w:hAnsi="Times New Roman" w:cs="Times New Roman"/>
        </w:rPr>
        <w:t>，占比较低。其中，法律、咨询、人力资源等高端专业服务业企业较为缺乏，如法律服务公司仅6家；唯品会和名创优品两家龙头企业引领效应尚未充分发挥；软件与信息服务、工业互联网等新兴产业尚处</w:t>
      </w:r>
      <w:r>
        <w:rPr>
          <w:rFonts w:hint="default" w:ascii="Times New Roman" w:hAnsi="Times New Roman" w:cs="Times New Roman"/>
          <w:shd w:val="clear" w:color="auto" w:fill="FFFFFF"/>
        </w:rPr>
        <w:t>萌芽期，如</w:t>
      </w:r>
      <w:r>
        <w:rPr>
          <w:rFonts w:hint="default" w:ascii="Times New Roman" w:hAnsi="Times New Roman" w:cs="Times New Roman"/>
        </w:rPr>
        <w:t>科学研究和软件服务规模以上企业数量占生产性服务业企业数量比重不足</w:t>
      </w:r>
      <w:r>
        <w:rPr>
          <w:rFonts w:hint="default" w:ascii="Times New Roman" w:hAnsi="Times New Roman" w:cs="Times New Roman"/>
          <w:bCs/>
        </w:rPr>
        <w:t>1/4</w:t>
      </w:r>
      <w:r>
        <w:rPr>
          <w:rFonts w:hint="default" w:ascii="Times New Roman" w:hAnsi="Times New Roman" w:cs="Times New Roman"/>
          <w:shd w:val="clear" w:color="auto" w:fill="FFFFFF"/>
        </w:rPr>
        <w:t>；</w:t>
      </w:r>
      <w:r>
        <w:rPr>
          <w:rFonts w:hint="default" w:ascii="Times New Roman" w:hAnsi="Times New Roman" w:cs="Times New Roman"/>
        </w:rPr>
        <w:t>银行、保险、券商等金融分支机构服务半径受限，引领效应弱，为企业提供直接融资渠道的金融机构较为缺乏。</w:t>
      </w:r>
      <w:r>
        <w:rPr>
          <w:rFonts w:hint="default" w:ascii="Times New Roman" w:hAnsi="Times New Roman" w:cs="Times New Roman"/>
          <w:b/>
        </w:rPr>
        <w:t>三是产业空间供给滞后。</w:t>
      </w:r>
      <w:r>
        <w:rPr>
          <w:rFonts w:hint="default" w:ascii="Times New Roman" w:hAnsi="Times New Roman" w:cs="Times New Roman"/>
        </w:rPr>
        <w:t>目前</w:t>
      </w:r>
      <w:r>
        <w:rPr>
          <w:rFonts w:hint="default" w:ascii="Times New Roman" w:hAnsi="Times New Roman" w:cs="Times New Roman"/>
          <w:color w:val="000000"/>
          <w:shd w:val="clear" w:color="auto" w:fill="FFFFFF"/>
        </w:rPr>
        <w:t>荔湾</w:t>
      </w:r>
      <w:r>
        <w:rPr>
          <w:rFonts w:hint="default" w:ascii="Times New Roman" w:hAnsi="Times New Roman" w:cs="Times New Roman"/>
        </w:rPr>
        <w:t>生产性服务业多为散点布局，尤其总部经济</w:t>
      </w:r>
      <w:r>
        <w:rPr>
          <w:rFonts w:hint="default" w:ascii="Times New Roman" w:hAnsi="Times New Roman" w:cs="Times New Roman"/>
          <w:szCs w:val="32"/>
        </w:rPr>
        <w:t>尚未形成规模性的产业集聚区，</w:t>
      </w:r>
      <w:r>
        <w:rPr>
          <w:rFonts w:hint="default" w:ascii="Times New Roman" w:hAnsi="Times New Roman" w:cs="Times New Roman"/>
          <w:color w:val="000000"/>
          <w:shd w:val="clear" w:color="auto" w:fill="FFFFFF"/>
        </w:rPr>
        <w:t>难以发挥辐射带动效应。同时，</w:t>
      </w:r>
      <w:r>
        <w:rPr>
          <w:rFonts w:hint="default" w:ascii="Times New Roman" w:hAnsi="Times New Roman" w:cs="Times New Roman"/>
          <w:szCs w:val="32"/>
        </w:rPr>
        <w:t>高端商务楼宇较少，甲级写字楼占比仅为29%，整体产业定位不够清晰，未能较好满足</w:t>
      </w:r>
      <w:r>
        <w:rPr>
          <w:rFonts w:hint="default" w:ascii="Times New Roman" w:hAnsi="Times New Roman" w:cs="Times New Roman"/>
        </w:rPr>
        <w:t>中小企业发展的空间需求，且</w:t>
      </w:r>
      <w:r>
        <w:rPr>
          <w:rFonts w:hint="default" w:ascii="Times New Roman" w:hAnsi="Times New Roman" w:cs="Times New Roman"/>
          <w:szCs w:val="32"/>
        </w:rPr>
        <w:t>现存写字楼建成年代较早，楼龄超10年的占比近90%，面临一定更新改造压力，</w:t>
      </w:r>
      <w:r>
        <w:rPr>
          <w:rFonts w:hint="default" w:ascii="Times New Roman" w:hAnsi="Times New Roman" w:cs="Times New Roman"/>
        </w:rPr>
        <w:t>将制约优质生产性服务业招商引资和存量企业扩张</w:t>
      </w:r>
      <w:r>
        <w:rPr>
          <w:rFonts w:hint="default" w:ascii="Times New Roman" w:hAnsi="Times New Roman" w:cs="Times New Roman"/>
          <w:szCs w:val="32"/>
        </w:rPr>
        <w:t>。</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总的来看，新时期生产性服务业发展必须积极迎接挑战，抓住机遇，</w:t>
      </w:r>
      <w:r>
        <w:rPr>
          <w:rFonts w:hint="default" w:ascii="Times New Roman" w:hAnsi="Times New Roman" w:cs="Times New Roman"/>
          <w:color w:val="000000"/>
          <w:shd w:val="clear" w:color="auto" w:fill="FFFFFF"/>
        </w:rPr>
        <w:t>荔湾</w:t>
      </w:r>
      <w:r>
        <w:rPr>
          <w:rFonts w:hint="default" w:ascii="Times New Roman" w:hAnsi="Times New Roman" w:cs="Times New Roman"/>
        </w:rPr>
        <w:t>应着重发挥背靠珠江西岸的先天区位优势，利用好广阔的服务市场、完备的制造业体系、活跃的商贸氛围以及丰富的科教文化与人力资源，着力提高服务效率和服务品质，努力构建优质高效、布局优化、错位发展的生产性服务业新体系，更好发挥生产性服务业对制造业的支撑提升作用，加快构建面向珠西、辐射湾区的高能级生产性服务格局，推动生产性服务业发展更上新台阶。</w:t>
      </w:r>
      <w:bookmarkStart w:id="8" w:name="_Toc51117557"/>
      <w:bookmarkStart w:id="9" w:name="_Toc10662"/>
    </w:p>
    <w:p>
      <w:pPr>
        <w:pageBreakBefore w:val="0"/>
        <w:widowControl w:val="0"/>
        <w:spacing w:line="580" w:lineRule="exact"/>
        <w:ind w:left="0" w:leftChars="0" w:firstLine="640" w:firstLineChars="200"/>
        <w:rPr>
          <w:rFonts w:hint="default" w:ascii="Times New Roman" w:hAnsi="Times New Roman" w:eastAsia="黑体" w:cs="Times New Roman"/>
          <w:b w:val="0"/>
          <w:bCs w:val="0"/>
          <w:sz w:val="32"/>
          <w:szCs w:val="44"/>
          <w:lang w:val="en-US" w:eastAsia="zh-CN" w:bidi="ar-SA"/>
        </w:rPr>
      </w:pPr>
      <w:r>
        <w:rPr>
          <w:rFonts w:hint="default" w:ascii="Times New Roman" w:hAnsi="Times New Roman" w:eastAsia="黑体" w:cs="Times New Roman"/>
          <w:b w:val="0"/>
          <w:bCs w:val="0"/>
          <w:sz w:val="32"/>
          <w:szCs w:val="44"/>
          <w:lang w:val="en-US" w:eastAsia="zh-CN" w:bidi="ar-SA"/>
        </w:rPr>
        <w:t>二、</w:t>
      </w:r>
      <w:bookmarkEnd w:id="8"/>
      <w:r>
        <w:rPr>
          <w:rFonts w:hint="default" w:ascii="Times New Roman" w:hAnsi="Times New Roman" w:eastAsia="黑体" w:cs="Times New Roman"/>
          <w:b w:val="0"/>
          <w:bCs w:val="0"/>
          <w:sz w:val="32"/>
          <w:szCs w:val="44"/>
          <w:lang w:val="en-US" w:eastAsia="zh-CN" w:bidi="ar-SA"/>
        </w:rPr>
        <w:t>总体要求</w:t>
      </w:r>
      <w:bookmarkEnd w:id="9"/>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10" w:name="_Toc51117558"/>
      <w:bookmarkStart w:id="11" w:name="_Toc3153"/>
      <w:r>
        <w:rPr>
          <w:rFonts w:hint="eastAsia" w:ascii="Times New Roman" w:hAnsi="Times New Roman" w:eastAsia="楷体" w:cs="Times New Roman"/>
          <w:b w:val="0"/>
          <w:bCs w:val="0"/>
          <w:color w:val="000000"/>
          <w:sz w:val="32"/>
          <w:szCs w:val="32"/>
          <w:lang w:val="en-US" w:eastAsia="zh-CN" w:bidi="ar-SA"/>
        </w:rPr>
        <w:t>（一）</w:t>
      </w:r>
      <w:r>
        <w:rPr>
          <w:rFonts w:hint="default" w:ascii="Times New Roman" w:hAnsi="Times New Roman" w:eastAsia="楷体" w:cs="Times New Roman"/>
          <w:b w:val="0"/>
          <w:bCs w:val="0"/>
          <w:color w:val="000000"/>
          <w:sz w:val="32"/>
          <w:szCs w:val="32"/>
          <w:lang w:val="en-US" w:eastAsia="zh-CN" w:bidi="ar-SA"/>
        </w:rPr>
        <w:t>指导思想</w:t>
      </w:r>
      <w:bookmarkEnd w:id="10"/>
      <w:bookmarkEnd w:id="11"/>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以习近平新时代中国特色社会主义思想为指导，全面贯彻党的二十大及二十届中央历次全会精神，深入贯彻习近平总书记对广东系列重要讲话和重要指示批示精神，坚决贯彻广东省委“1310”具体部署，切实贯彻广州市委</w:t>
      </w:r>
      <w:r>
        <w:rPr>
          <w:rFonts w:ascii="Times New Roman" w:hAnsi="Times New Roman" w:cs="Times New Roman"/>
        </w:rPr>
        <w:t>“坚持产业第一、制造业立市”的发展要求，</w:t>
      </w:r>
      <w:r>
        <w:rPr>
          <w:rFonts w:ascii="Times New Roman" w:hAnsi="Times New Roman" w:cs="Times New Roman"/>
          <w:highlight w:val="none"/>
        </w:rPr>
        <w:t>立足新发展阶段</w:t>
      </w:r>
      <w:r>
        <w:rPr>
          <w:rFonts w:hint="eastAsia" w:ascii="Times New Roman" w:hAnsi="Times New Roman" w:cs="Times New Roman"/>
          <w:highlight w:val="none"/>
          <w:lang w:eastAsia="zh-CN"/>
        </w:rPr>
        <w:t>，</w:t>
      </w:r>
      <w:r>
        <w:rPr>
          <w:rFonts w:ascii="Times New Roman" w:hAnsi="Times New Roman" w:cs="Times New Roman"/>
          <w:highlight w:val="none"/>
        </w:rPr>
        <w:t>完整准</w:t>
      </w:r>
      <w:r>
        <w:rPr>
          <w:rFonts w:ascii="Times New Roman" w:hAnsi="Times New Roman" w:cs="Times New Roman"/>
        </w:rPr>
        <w:t>确全面贯彻新发展理念、服务和融入新发展格局，坚持有为政府和有效市场相结合，主动服务和融入新发展格局，着力推动先进制造业和现代服务业深度融合发展，聚焦生产性服务业重点领域，积极探索中国式现代化的荔湾实践。</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紧紧抓住广州打造国家重要中心城市、粤港澳大湾区广佛极点、国际消费中心城市、珠江沿岸高质量发展等战略机遇，以推动生产性服务业高质量发展为主题，大力发展高附加值生产性服务业，提升发展传统优势生产性服务业，加快发展制造业和服务业融合的新兴业态，打造立足广佛、面向珠西、辐射湾区的生产性服务业高地，助力我区生产性服务业向价值链高端延伸、支持加快实现老城市新活力和“四个出新出彩”，为建设国家中心城市和粤港澳大湾区广佛极点核心区作出积极贡献。</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12" w:name="_Toc51117559"/>
      <w:bookmarkStart w:id="13" w:name="_Toc24122"/>
      <w:r>
        <w:rPr>
          <w:rFonts w:hint="eastAsia" w:ascii="Times New Roman" w:hAnsi="Times New Roman" w:eastAsia="楷体" w:cs="Times New Roman"/>
          <w:b w:val="0"/>
          <w:bCs w:val="0"/>
          <w:color w:val="000000"/>
          <w:sz w:val="32"/>
          <w:szCs w:val="32"/>
          <w:lang w:val="en-US" w:eastAsia="zh-CN" w:bidi="ar-SA"/>
        </w:rPr>
        <w:t>（二）</w:t>
      </w:r>
      <w:r>
        <w:rPr>
          <w:rFonts w:hint="default" w:ascii="Times New Roman" w:hAnsi="Times New Roman" w:eastAsia="楷体" w:cs="Times New Roman"/>
          <w:b w:val="0"/>
          <w:bCs w:val="0"/>
          <w:color w:val="000000"/>
          <w:sz w:val="32"/>
          <w:szCs w:val="32"/>
          <w:lang w:val="en-US" w:eastAsia="zh-CN" w:bidi="ar-SA"/>
        </w:rPr>
        <w:t>基本原则</w:t>
      </w:r>
      <w:bookmarkEnd w:id="12"/>
      <w:bookmarkEnd w:id="13"/>
    </w:p>
    <w:p>
      <w:pPr>
        <w:pageBreakBefore w:val="0"/>
        <w:widowControl w:val="0"/>
        <w:spacing w:line="580" w:lineRule="exact"/>
        <w:ind w:left="0" w:leftChars="0" w:firstLine="643" w:firstLineChars="200"/>
        <w:rPr>
          <w:rFonts w:hint="default" w:ascii="Times New Roman" w:hAnsi="Times New Roman" w:cs="Times New Roman"/>
        </w:rPr>
      </w:pPr>
      <w:r>
        <w:rPr>
          <w:rFonts w:hint="default" w:ascii="Times New Roman" w:hAnsi="Times New Roman" w:cs="Times New Roman"/>
          <w:b/>
        </w:rPr>
        <w:t>创新驱动，跨界融合。</w:t>
      </w:r>
      <w:r>
        <w:rPr>
          <w:rFonts w:hint="default" w:ascii="Times New Roman" w:hAnsi="Times New Roman" w:cs="Times New Roman"/>
        </w:rPr>
        <w:t>以拓展产品功能、增强集成能力、满足深层需求为重点，围绕全产业链整合优化，推动信息技术在生产性服务业各领域的推广应用，鼓励企业深化推进技术创新、模式创新、业态创新、管理创新和市场创新，推进服务业与制造业有机融合，促进服务业各业态之间渗透交融、协同创新，以高质量的服务供给催生创造新的服务需求，提升供给质量</w:t>
      </w:r>
      <w:r>
        <w:rPr>
          <w:rFonts w:hint="default" w:ascii="Times New Roman" w:hAnsi="Times New Roman" w:cs="Times New Roman"/>
          <w:shd w:val="clear" w:color="auto" w:fill="FFFFFF"/>
        </w:rPr>
        <w:t>。</w:t>
      </w:r>
    </w:p>
    <w:p>
      <w:pPr>
        <w:pageBreakBefore w:val="0"/>
        <w:widowControl w:val="0"/>
        <w:spacing w:line="580" w:lineRule="exact"/>
        <w:ind w:left="0" w:leftChars="0" w:firstLine="643" w:firstLineChars="200"/>
        <w:rPr>
          <w:rFonts w:hint="default" w:ascii="Times New Roman" w:hAnsi="Times New Roman" w:cs="Times New Roman"/>
        </w:rPr>
      </w:pPr>
      <w:r>
        <w:rPr>
          <w:rFonts w:hint="default" w:ascii="Times New Roman" w:hAnsi="Times New Roman" w:cs="Times New Roman"/>
          <w:b/>
        </w:rPr>
        <w:t>高端引领，龙头带动。</w:t>
      </w:r>
      <w:r>
        <w:rPr>
          <w:rFonts w:hint="default" w:ascii="Times New Roman" w:hAnsi="Times New Roman" w:cs="Times New Roman"/>
        </w:rPr>
        <w:t>创建优势高端服务企业品牌，加快形成一批具有影响力的生产性服务业企业，推动生产性服务业向价值链高端延伸。以龙头企业带动为核心，率先突破重点领域，引进培育若干具有影响力的企业总部或区域总部，以重大项目、重点工程带动生产性服务业迅速发展壮大。</w:t>
      </w:r>
    </w:p>
    <w:p>
      <w:pPr>
        <w:pageBreakBefore w:val="0"/>
        <w:widowControl w:val="0"/>
        <w:spacing w:line="580" w:lineRule="exact"/>
        <w:ind w:left="0" w:leftChars="0" w:firstLine="643" w:firstLineChars="200"/>
        <w:rPr>
          <w:rFonts w:hint="default" w:ascii="Times New Roman" w:hAnsi="Times New Roman" w:cs="Times New Roman"/>
        </w:rPr>
      </w:pPr>
      <w:r>
        <w:rPr>
          <w:rFonts w:hint="default" w:ascii="Times New Roman" w:hAnsi="Times New Roman" w:cs="Times New Roman"/>
          <w:b/>
        </w:rPr>
        <w:t>做强特色，塑造品牌。</w:t>
      </w:r>
      <w:r>
        <w:rPr>
          <w:rFonts w:hint="default" w:ascii="Times New Roman" w:hAnsi="Times New Roman" w:cs="Times New Roman"/>
        </w:rPr>
        <w:t>立足制造业，聚焦产业转型，加快发展凸显经济发展引擎功能、体现服务品质的生产性服务业，尤其注重发挥荔湾的区位和文化优势，加速“服务”向“品牌”转变，讲好荔湾服务故事。</w:t>
      </w:r>
    </w:p>
    <w:p>
      <w:pPr>
        <w:pageBreakBefore w:val="0"/>
        <w:widowControl w:val="0"/>
        <w:spacing w:line="580" w:lineRule="exact"/>
        <w:ind w:left="0" w:leftChars="0" w:firstLine="643" w:firstLineChars="200"/>
        <w:rPr>
          <w:rFonts w:hint="default" w:ascii="Times New Roman" w:hAnsi="Times New Roman" w:cs="Times New Roman"/>
        </w:rPr>
      </w:pPr>
      <w:r>
        <w:rPr>
          <w:rFonts w:hint="default" w:ascii="Times New Roman" w:hAnsi="Times New Roman" w:cs="Times New Roman"/>
          <w:b/>
        </w:rPr>
        <w:t>开放发展，合作共赢。</w:t>
      </w:r>
      <w:r>
        <w:rPr>
          <w:rFonts w:hint="default" w:ascii="Times New Roman" w:hAnsi="Times New Roman" w:cs="Times New Roman"/>
        </w:rPr>
        <w:t>强化开放赋能，发挥区位联通优势，深度融入广州面向国际国内的战略通道、功能平台和要素市场建设。聚焦服务业关键领域和薄弱环节，</w:t>
      </w:r>
      <w:r>
        <w:rPr>
          <w:rFonts w:hint="default" w:ascii="Times New Roman" w:hAnsi="Times New Roman" w:cs="Times New Roman"/>
          <w:color w:val="000000"/>
          <w:szCs w:val="32"/>
        </w:rPr>
        <w:t>借力</w:t>
      </w:r>
      <w:r>
        <w:rPr>
          <w:rFonts w:hint="default" w:ascii="Times New Roman" w:hAnsi="Times New Roman" w:cs="Times New Roman"/>
        </w:rPr>
        <w:t>南沙自贸试验区扩大服务业开放的机遇，</w:t>
      </w:r>
      <w:r>
        <w:rPr>
          <w:rFonts w:hint="default" w:ascii="Times New Roman" w:hAnsi="Times New Roman" w:cs="Times New Roman"/>
          <w:color w:val="000000"/>
          <w:szCs w:val="32"/>
        </w:rPr>
        <w:t>携手南沙共同</w:t>
      </w:r>
      <w:r>
        <w:rPr>
          <w:rFonts w:hint="default" w:ascii="Times New Roman" w:hAnsi="Times New Roman" w:cs="Times New Roman"/>
        </w:rPr>
        <w:t>探索与港澳在高端生产性服务领域合作，加强与珠江西岸产业分工合作，发挥“佛山制造+荔湾服务”叠加优势，形成多方共赢格局。</w:t>
      </w:r>
    </w:p>
    <w:p>
      <w:pPr>
        <w:pStyle w:val="6"/>
        <w:pageBreakBefore w:val="0"/>
        <w:widowControl w:val="0"/>
        <w:numPr>
          <w:ilvl w:val="0"/>
          <w:numId w:val="0"/>
        </w:numPr>
        <w:spacing w:before="0" w:after="0" w:line="580" w:lineRule="exact"/>
        <w:ind w:leftChars="200"/>
        <w:outlineLvl w:val="1"/>
        <w:rPr>
          <w:rFonts w:hint="default" w:ascii="Times New Roman" w:hAnsi="Times New Roman" w:cs="Times New Roman"/>
        </w:rPr>
      </w:pPr>
      <w:bookmarkStart w:id="14" w:name="_Toc9527"/>
      <w:bookmarkStart w:id="15" w:name="_Toc51117561"/>
      <w:r>
        <w:rPr>
          <w:rFonts w:hint="eastAsia" w:ascii="Times New Roman" w:hAnsi="Times New Roman" w:eastAsia="楷体" w:cs="Times New Roman"/>
          <w:b w:val="0"/>
          <w:bCs w:val="0"/>
          <w:color w:val="000000"/>
          <w:spacing w:val="0"/>
          <w:position w:val="0"/>
          <w:sz w:val="32"/>
          <w:szCs w:val="32"/>
          <w:lang w:val="en-US" w:eastAsia="zh-CN" w:bidi="ar-SA"/>
        </w:rPr>
        <w:t>（三）</w:t>
      </w:r>
      <w:r>
        <w:rPr>
          <w:rFonts w:hint="default" w:ascii="Times New Roman" w:hAnsi="Times New Roman" w:eastAsia="楷体" w:cs="Times New Roman"/>
          <w:b w:val="0"/>
          <w:bCs w:val="0"/>
          <w:color w:val="000000"/>
          <w:spacing w:val="0"/>
          <w:position w:val="0"/>
          <w:sz w:val="32"/>
          <w:szCs w:val="32"/>
          <w:lang w:val="en-US" w:eastAsia="zh-CN" w:bidi="ar-SA"/>
        </w:rPr>
        <w:t>发展目标</w:t>
      </w:r>
      <w:bookmarkEnd w:id="14"/>
      <w:bookmarkEnd w:id="15"/>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锚定二</w:t>
      </w:r>
      <w:r>
        <w:rPr>
          <w:rFonts w:hint="default" w:ascii="Times New Roman" w:hAnsi="Times New Roman" w:eastAsia="仿宋" w:cs="Times New Roman"/>
        </w:rPr>
        <w:t>〇</w:t>
      </w:r>
      <w:r>
        <w:rPr>
          <w:rFonts w:hint="default" w:ascii="Times New Roman" w:hAnsi="Times New Roman" w:cs="Times New Roman"/>
        </w:rPr>
        <w:t>三五年远景目标，综合考虑国内外发展趋势和荔湾发展条件，坚持目标导向和问题导向相结合，确定生产性服务业发展目标。</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到2027年，全区生产性服务业规模总量和服务能力进一步提升，与经济社会各领域的融合发展进一步深化，集聚集群化发展态势显现，服务实体经济能力不断增强，产业生态进一步构建，对经济发展的贡献更加突出，初步建设成为广佛总部经济重要极点、工业互联网应用先行区、工业设计和电子商务新基地，形成具有竞争力的广佛生产性服务业新高地，达到以下目标：</w:t>
      </w:r>
    </w:p>
    <w:p>
      <w:pPr>
        <w:pageBreakBefore w:val="0"/>
        <w:widowControl w:val="0"/>
        <w:spacing w:line="580" w:lineRule="exact"/>
        <w:ind w:left="0" w:leftChars="0" w:firstLine="643" w:firstLineChars="200"/>
        <w:rPr>
          <w:rFonts w:hint="default" w:ascii="Times New Roman" w:hAnsi="Times New Roman" w:cs="Times New Roman"/>
        </w:rPr>
      </w:pPr>
      <w:r>
        <w:rPr>
          <w:rFonts w:hint="default" w:ascii="Times New Roman" w:hAnsi="Times New Roman" w:cs="Times New Roman"/>
          <w:b/>
        </w:rPr>
        <w:t>——产业能级持续稳提升</w:t>
      </w:r>
      <w:r>
        <w:rPr>
          <w:rFonts w:hint="default" w:ascii="Times New Roman" w:hAnsi="Times New Roman" w:cs="Times New Roman"/>
          <w:bCs/>
        </w:rPr>
        <w:t>。</w:t>
      </w:r>
      <w:r>
        <w:rPr>
          <w:rFonts w:hint="default" w:ascii="Times New Roman" w:hAnsi="Times New Roman" w:cs="Times New Roman"/>
        </w:rPr>
        <w:t>重点推动工业设计、电子商务、专业服务、软件与信息服务、工业互联网、节能环保服务、检验检测服务等领域加速发展，生产性服务业整体功能、集聚效应和能级水平稳步提升，2027年全区生产性服务业规模力争突破500亿元，对经济增长的支撑作用进一步强化。</w:t>
      </w:r>
    </w:p>
    <w:p>
      <w:pPr>
        <w:pageBreakBefore w:val="0"/>
        <w:widowControl w:val="0"/>
        <w:spacing w:line="580" w:lineRule="exact"/>
        <w:ind w:left="0" w:leftChars="0" w:firstLine="643" w:firstLineChars="200"/>
        <w:rPr>
          <w:rFonts w:hint="default" w:ascii="Times New Roman" w:hAnsi="Times New Roman" w:cs="Times New Roman"/>
          <w:b/>
          <w:bCs/>
        </w:rPr>
      </w:pPr>
      <w:r>
        <w:rPr>
          <w:rFonts w:hint="default" w:ascii="Times New Roman" w:hAnsi="Times New Roman" w:cs="Times New Roman"/>
          <w:b/>
          <w:bCs/>
        </w:rPr>
        <w:t>——质量效益</w:t>
      </w:r>
      <w:r>
        <w:rPr>
          <w:rFonts w:hint="default" w:ascii="Times New Roman" w:hAnsi="Times New Roman" w:cs="Times New Roman"/>
          <w:b/>
        </w:rPr>
        <w:t>实现新成效</w:t>
      </w:r>
      <w:r>
        <w:rPr>
          <w:rFonts w:hint="default" w:ascii="Times New Roman" w:hAnsi="Times New Roman" w:cs="Times New Roman"/>
          <w:b/>
          <w:bCs/>
        </w:rPr>
        <w:t>。</w:t>
      </w:r>
      <w:r>
        <w:rPr>
          <w:rFonts w:hint="default" w:ascii="Times New Roman" w:hAnsi="Times New Roman" w:cs="Times New Roman"/>
        </w:rPr>
        <w:t>到2027年，生产性服务业为制造业服务的能力大幅提升，“两业”融合持续深化，服务内容、业态、模式创新蓬勃发展，品牌建设取得积极成效，专业化、标准化、品牌化、数字化发展水平明显提高。</w:t>
      </w:r>
    </w:p>
    <w:p>
      <w:pPr>
        <w:pageBreakBefore w:val="0"/>
        <w:widowControl w:val="0"/>
        <w:spacing w:line="580" w:lineRule="exact"/>
        <w:ind w:left="0" w:leftChars="0" w:firstLine="643" w:firstLineChars="200"/>
        <w:rPr>
          <w:rFonts w:hint="default" w:ascii="Times New Roman" w:hAnsi="Times New Roman" w:cs="Times New Roman"/>
        </w:rPr>
      </w:pPr>
      <w:r>
        <w:rPr>
          <w:rFonts w:hint="default" w:ascii="Times New Roman" w:hAnsi="Times New Roman" w:cs="Times New Roman"/>
          <w:b/>
          <w:bCs/>
        </w:rPr>
        <w:t>——空间布局凸显新势能。</w:t>
      </w:r>
      <w:r>
        <w:rPr>
          <w:rFonts w:hint="default" w:ascii="Times New Roman" w:hAnsi="Times New Roman" w:cs="Times New Roman"/>
        </w:rPr>
        <w:t>打造1个特色鲜明、业态高端、能级突出、功能集成的生产性服务业创新发展集聚高地，进一步推动重点都市工业园区生产性服务业企业聚集布局，持续深化与珠西、港澳等地区的协同合作。</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到2035年，生产性服务业经济规模持续扩大，区域资源链接与服务能力明显提升，基本形成内部结构优化、服务优质高效、发展活力强劲、融合共享开放的高质量发展新格局，辐射力大、附加值高、品牌突出的广佛生产性服务业新高地进一步建成，在融入珠江西岸乃至粤港澳大湾区服务网络中发出荔湾声音、提出荔湾方案。</w:t>
      </w:r>
    </w:p>
    <w:p>
      <w:pPr>
        <w:pStyle w:val="181"/>
        <w:pageBreakBefore w:val="0"/>
        <w:spacing w:after="156" w:line="580" w:lineRule="exact"/>
        <w:ind w:left="-6" w:leftChars="0" w:firstLine="560" w:firstLineChars="200"/>
        <w:rPr>
          <w:rFonts w:hint="default" w:ascii="Times New Roman" w:hAnsi="Times New Roman" w:cs="Times New Roman"/>
        </w:rPr>
      </w:pPr>
      <w:r>
        <w:rPr>
          <w:rFonts w:hint="default" w:ascii="Times New Roman" w:hAnsi="Times New Roman" w:cs="Times New Roman"/>
        </w:rPr>
        <w:t>表1荔湾生产性服务业规划近期主要指标表</w:t>
      </w:r>
    </w:p>
    <w:tbl>
      <w:tblPr>
        <w:tblStyle w:val="28"/>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3523"/>
        <w:gridCol w:w="1807"/>
        <w:gridCol w:w="1165"/>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52" w:type="pct"/>
            <w:noWrap w:val="0"/>
            <w:vAlign w:val="center"/>
          </w:tcPr>
          <w:p>
            <w:pPr>
              <w:pStyle w:val="182"/>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类别</w:t>
            </w:r>
          </w:p>
        </w:tc>
        <w:tc>
          <w:tcPr>
            <w:tcW w:w="1936" w:type="pct"/>
            <w:noWrap w:val="0"/>
            <w:vAlign w:val="center"/>
          </w:tcPr>
          <w:p>
            <w:pPr>
              <w:pStyle w:val="182"/>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指标</w:t>
            </w:r>
          </w:p>
        </w:tc>
        <w:tc>
          <w:tcPr>
            <w:tcW w:w="993" w:type="pct"/>
            <w:noWrap w:val="0"/>
            <w:vAlign w:val="center"/>
          </w:tcPr>
          <w:p>
            <w:pPr>
              <w:pStyle w:val="182"/>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2022年（现状）</w:t>
            </w:r>
          </w:p>
        </w:tc>
        <w:tc>
          <w:tcPr>
            <w:tcW w:w="640" w:type="pct"/>
            <w:noWrap w:val="0"/>
            <w:vAlign w:val="center"/>
          </w:tcPr>
          <w:p>
            <w:pPr>
              <w:pStyle w:val="182"/>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2027年</w:t>
            </w:r>
          </w:p>
        </w:tc>
        <w:tc>
          <w:tcPr>
            <w:tcW w:w="676" w:type="pct"/>
            <w:noWrap w:val="0"/>
            <w:vAlign w:val="center"/>
          </w:tcPr>
          <w:p>
            <w:pPr>
              <w:pStyle w:val="182"/>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52" w:type="pct"/>
            <w:noWrap w:val="0"/>
            <w:vAlign w:val="center"/>
          </w:tcPr>
          <w:p>
            <w:pPr>
              <w:pStyle w:val="182"/>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规模结构</w:t>
            </w:r>
          </w:p>
        </w:tc>
        <w:tc>
          <w:tcPr>
            <w:tcW w:w="193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生产性服务业规模（亿元）</w:t>
            </w:r>
          </w:p>
        </w:tc>
        <w:tc>
          <w:tcPr>
            <w:tcW w:w="993"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264</w:t>
            </w:r>
          </w:p>
        </w:tc>
        <w:tc>
          <w:tcPr>
            <w:tcW w:w="640"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500</w:t>
            </w:r>
          </w:p>
        </w:tc>
        <w:tc>
          <w:tcPr>
            <w:tcW w:w="67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52" w:type="pct"/>
            <w:vMerge w:val="restart"/>
            <w:noWrap w:val="0"/>
            <w:vAlign w:val="center"/>
          </w:tcPr>
          <w:p>
            <w:pPr>
              <w:pStyle w:val="182"/>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市场主体</w:t>
            </w:r>
          </w:p>
        </w:tc>
        <w:tc>
          <w:tcPr>
            <w:tcW w:w="193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总部经济领军企业（个）</w:t>
            </w:r>
          </w:p>
        </w:tc>
        <w:tc>
          <w:tcPr>
            <w:tcW w:w="993"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w:t>
            </w:r>
          </w:p>
        </w:tc>
        <w:tc>
          <w:tcPr>
            <w:tcW w:w="640"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3-5</w:t>
            </w:r>
          </w:p>
        </w:tc>
        <w:tc>
          <w:tcPr>
            <w:tcW w:w="67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52" w:type="pct"/>
            <w:vMerge w:val="continue"/>
            <w:noWrap w:val="0"/>
            <w:vAlign w:val="center"/>
          </w:tcPr>
          <w:p>
            <w:pPr>
              <w:pStyle w:val="182"/>
              <w:keepNext w:val="0"/>
              <w:keepLines w:val="0"/>
              <w:pageBreakBefore w:val="0"/>
              <w:widowControl/>
              <w:snapToGrid/>
              <w:spacing w:line="360" w:lineRule="exact"/>
              <w:ind w:left="-6" w:leftChars="0" w:firstLine="422" w:firstLineChars="200"/>
              <w:jc w:val="center"/>
              <w:rPr>
                <w:rFonts w:ascii="Times New Roman" w:hAnsi="Times New Roman" w:cs="Times New Roman"/>
              </w:rPr>
            </w:pPr>
          </w:p>
        </w:tc>
        <w:tc>
          <w:tcPr>
            <w:tcW w:w="193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“两业”融合发展示范企业（个）</w:t>
            </w:r>
          </w:p>
        </w:tc>
        <w:tc>
          <w:tcPr>
            <w:tcW w:w="993"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w:t>
            </w:r>
          </w:p>
        </w:tc>
        <w:tc>
          <w:tcPr>
            <w:tcW w:w="640"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3-5</w:t>
            </w:r>
          </w:p>
        </w:tc>
        <w:tc>
          <w:tcPr>
            <w:tcW w:w="67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52" w:type="pct"/>
            <w:vMerge w:val="restart"/>
            <w:noWrap w:val="0"/>
            <w:vAlign w:val="center"/>
          </w:tcPr>
          <w:p>
            <w:pPr>
              <w:pStyle w:val="182"/>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品牌塑造</w:t>
            </w:r>
          </w:p>
        </w:tc>
        <w:tc>
          <w:tcPr>
            <w:tcW w:w="193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工业互联网示范平台（个）</w:t>
            </w:r>
          </w:p>
        </w:tc>
        <w:tc>
          <w:tcPr>
            <w:tcW w:w="993"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w:t>
            </w:r>
          </w:p>
        </w:tc>
        <w:tc>
          <w:tcPr>
            <w:tcW w:w="640"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1-2</w:t>
            </w:r>
          </w:p>
        </w:tc>
        <w:tc>
          <w:tcPr>
            <w:tcW w:w="67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52" w:type="pct"/>
            <w:vMerge w:val="continue"/>
            <w:noWrap w:val="0"/>
            <w:vAlign w:val="center"/>
          </w:tcPr>
          <w:p>
            <w:pPr>
              <w:pStyle w:val="182"/>
              <w:keepNext w:val="0"/>
              <w:keepLines w:val="0"/>
              <w:pageBreakBefore w:val="0"/>
              <w:widowControl/>
              <w:snapToGrid/>
              <w:spacing w:line="360" w:lineRule="exact"/>
              <w:ind w:left="-6" w:leftChars="0" w:firstLine="422" w:firstLineChars="200"/>
              <w:jc w:val="center"/>
              <w:rPr>
                <w:rFonts w:ascii="Times New Roman" w:hAnsi="Times New Roman" w:cs="Times New Roman"/>
              </w:rPr>
            </w:pPr>
          </w:p>
        </w:tc>
        <w:tc>
          <w:tcPr>
            <w:tcW w:w="193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服务业领域地方标准（项）</w:t>
            </w:r>
          </w:p>
        </w:tc>
        <w:tc>
          <w:tcPr>
            <w:tcW w:w="993"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w:t>
            </w:r>
          </w:p>
        </w:tc>
        <w:tc>
          <w:tcPr>
            <w:tcW w:w="640"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1-3</w:t>
            </w:r>
          </w:p>
        </w:tc>
        <w:tc>
          <w:tcPr>
            <w:tcW w:w="67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52" w:type="pct"/>
            <w:noWrap w:val="0"/>
            <w:vAlign w:val="center"/>
          </w:tcPr>
          <w:p>
            <w:pPr>
              <w:pStyle w:val="182"/>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载体打造</w:t>
            </w:r>
          </w:p>
        </w:tc>
        <w:tc>
          <w:tcPr>
            <w:tcW w:w="193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打造生产性服务业聚集区（个）</w:t>
            </w:r>
          </w:p>
        </w:tc>
        <w:tc>
          <w:tcPr>
            <w:tcW w:w="993"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w:t>
            </w:r>
          </w:p>
        </w:tc>
        <w:tc>
          <w:tcPr>
            <w:tcW w:w="640"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1</w:t>
            </w:r>
          </w:p>
        </w:tc>
        <w:tc>
          <w:tcPr>
            <w:tcW w:w="676" w:type="pct"/>
            <w:noWrap w:val="0"/>
            <w:vAlign w:val="center"/>
          </w:tcPr>
          <w:p>
            <w:pPr>
              <w:pStyle w:val="183"/>
              <w:keepNext w:val="0"/>
              <w:keepLines w:val="0"/>
              <w:pageBreakBefore w:val="0"/>
              <w:widowControl/>
              <w:snapToGrid/>
              <w:spacing w:line="360" w:lineRule="exact"/>
              <w:jc w:val="center"/>
              <w:rPr>
                <w:rFonts w:hint="default" w:ascii="Times New Roman" w:hAnsi="Times New Roman" w:cs="Times New Roman"/>
              </w:rPr>
            </w:pPr>
            <w:r>
              <w:rPr>
                <w:rFonts w:hint="default" w:ascii="Times New Roman" w:hAnsi="Times New Roman" w:cs="Times New Roman"/>
              </w:rPr>
              <w:t>预期性</w:t>
            </w:r>
          </w:p>
        </w:tc>
      </w:tr>
    </w:tbl>
    <w:p>
      <w:pPr>
        <w:pageBreakBefore w:val="0"/>
        <w:widowControl w:val="0"/>
        <w:snapToGrid/>
        <w:spacing w:line="580" w:lineRule="exact"/>
        <w:ind w:left="-6" w:leftChars="0" w:firstLine="640" w:firstLineChars="200"/>
        <w:rPr>
          <w:rFonts w:hint="default" w:ascii="Times New Roman" w:hAnsi="Times New Roman" w:eastAsia="黑体" w:cs="Times New Roman"/>
          <w:b w:val="0"/>
          <w:bCs w:val="0"/>
          <w:sz w:val="32"/>
          <w:szCs w:val="44"/>
          <w:lang w:val="en-US" w:eastAsia="zh-CN" w:bidi="ar-SA"/>
        </w:rPr>
      </w:pPr>
      <w:bookmarkStart w:id="16" w:name="_Toc51117562"/>
      <w:bookmarkStart w:id="17" w:name="_Toc23238"/>
      <w:r>
        <w:rPr>
          <w:rFonts w:hint="default" w:ascii="Times New Roman" w:hAnsi="Times New Roman" w:eastAsia="黑体" w:cs="Times New Roman"/>
          <w:b w:val="0"/>
          <w:bCs w:val="0"/>
          <w:sz w:val="32"/>
          <w:szCs w:val="44"/>
          <w:lang w:val="en-US" w:eastAsia="zh-CN" w:bidi="ar-SA"/>
        </w:rPr>
        <w:t>三、构建高品质产业新体系</w:t>
      </w:r>
      <w:bookmarkEnd w:id="16"/>
      <w:bookmarkEnd w:id="17"/>
    </w:p>
    <w:p>
      <w:pPr>
        <w:pageBreakBefore w:val="0"/>
        <w:widowControl w:val="0"/>
        <w:snapToGrid/>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围绕建设国家中心城市和粤港澳大湾区广佛极点核心区这一中心任务，结合城市资源禀赋、产业基础，对接佛山乃至珠江西岸先进制造业，以“强化优势、壮大新兴、培育高端”为发展思路，强化工业设计、电子商务、专业服务等优势领域，壮大软件与信息服务、工业互联网、节能环保服务、检验检测服务等新兴领域，瞄准机遇培育创新孵化服务等高端领域，加快构建资源集约、区域集聚、产业集群、服务集成的生产性服务业体系，</w:t>
      </w:r>
      <w:r>
        <w:rPr>
          <w:rFonts w:hint="default" w:ascii="Times New Roman" w:hAnsi="Times New Roman" w:cs="Times New Roman"/>
          <w:shd w:val="clear" w:color="auto" w:fill="FFFFFF"/>
        </w:rPr>
        <w:t>促进生产性服务业结构升级和发展水平提升</w:t>
      </w:r>
      <w:r>
        <w:rPr>
          <w:rFonts w:hint="default" w:ascii="Times New Roman" w:hAnsi="Times New Roman" w:cs="Times New Roman"/>
        </w:rPr>
        <w:t>，进一步巩固和提升我区在广佛极点中的优势地位，培育经济发展新动能。</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18" w:name="_Toc6260"/>
      <w:r>
        <w:rPr>
          <w:rFonts w:hint="eastAsia" w:ascii="Times New Roman" w:hAnsi="Times New Roman" w:eastAsia="楷体" w:cs="Times New Roman"/>
          <w:b w:val="0"/>
          <w:bCs w:val="0"/>
          <w:color w:val="000000"/>
          <w:sz w:val="32"/>
          <w:szCs w:val="32"/>
          <w:lang w:val="en-US" w:eastAsia="zh-CN" w:bidi="ar-SA"/>
        </w:rPr>
        <w:t>（一）</w:t>
      </w:r>
      <w:r>
        <w:rPr>
          <w:rFonts w:hint="default" w:ascii="Times New Roman" w:hAnsi="Times New Roman" w:eastAsia="楷体" w:cs="Times New Roman"/>
          <w:b w:val="0"/>
          <w:bCs w:val="0"/>
          <w:color w:val="000000"/>
          <w:sz w:val="32"/>
          <w:szCs w:val="32"/>
          <w:lang w:val="en-US" w:eastAsia="zh-CN" w:bidi="ar-SA"/>
        </w:rPr>
        <w:t>强化优势领域，打造生产性服务业品牌</w:t>
      </w:r>
      <w:bookmarkEnd w:id="18"/>
    </w:p>
    <w:p>
      <w:pPr>
        <w:pageBreakBefore w:val="0"/>
        <w:widowControl w:val="0"/>
        <w:snapToGrid/>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基于已有产业基础，近期重点强化工业设计、电子商务、专业服务等3个特色突出的优势领域，充分发挥市场主导作用，为都市消费、生物医药等荔湾传统都市工业企业服务，推动传统产业向高附加值转型。</w:t>
      </w:r>
    </w:p>
    <w:p>
      <w:pPr>
        <w:pStyle w:val="186"/>
        <w:keepNext/>
        <w:keepLines/>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cs="Times New Roman"/>
          <w:b/>
          <w:bCs/>
          <w:sz w:val="32"/>
          <w:szCs w:val="32"/>
          <w:lang w:val="en-US" w:eastAsia="zh-CN" w:bidi="ar-SA"/>
        </w:rPr>
        <w:t>1.</w:t>
      </w:r>
      <w:r>
        <w:rPr>
          <w:rFonts w:hint="default" w:ascii="Times New Roman" w:hAnsi="Times New Roman" w:eastAsia="仿宋_GB2312" w:cs="Times New Roman"/>
          <w:b/>
          <w:bCs/>
          <w:sz w:val="32"/>
          <w:szCs w:val="32"/>
          <w:lang w:val="en-US" w:eastAsia="zh-CN" w:bidi="ar-SA"/>
        </w:rPr>
        <w:t>工业设计</w:t>
      </w:r>
    </w:p>
    <w:p>
      <w:pPr>
        <w:pageBreakBefore w:val="0"/>
        <w:widowControl w:val="0"/>
        <w:snapToGrid/>
        <w:spacing w:line="580" w:lineRule="exact"/>
        <w:ind w:left="-6" w:leftChars="0" w:firstLine="640" w:firstLineChars="200"/>
        <w:rPr>
          <w:rFonts w:hint="default" w:ascii="Times New Roman" w:hAnsi="Times New Roman" w:cs="Times New Roman"/>
          <w:lang w:val="zh-CN"/>
        </w:rPr>
      </w:pPr>
      <w:r>
        <w:rPr>
          <w:rFonts w:hint="default" w:ascii="Times New Roman" w:hAnsi="Times New Roman" w:cs="Times New Roman"/>
          <w:color w:val="000000"/>
          <w:shd w:val="clear" w:color="auto" w:fill="FFFFFF"/>
        </w:rPr>
        <w:t>围绕新一代信息技术、人工智能、生物医药、装备制造、都市消费等重点制造领域，聚焦设计要素资源，集中攻关形成一批工业设计创新成果</w:t>
      </w:r>
      <w:r>
        <w:rPr>
          <w:rFonts w:hint="default" w:ascii="Times New Roman" w:hAnsi="Times New Roman" w:cs="Times New Roman"/>
        </w:rPr>
        <w:t>，</w:t>
      </w:r>
      <w:r>
        <w:rPr>
          <w:rFonts w:hint="default" w:ascii="Times New Roman" w:hAnsi="Times New Roman" w:cs="Times New Roman"/>
          <w:lang w:val="zh-CN"/>
        </w:rPr>
        <w:t>大力发展功能设计、结构设计、形态及包装设计，</w:t>
      </w:r>
      <w:r>
        <w:rPr>
          <w:rFonts w:hint="default" w:ascii="Times New Roman" w:hAnsi="Times New Roman" w:cs="Times New Roman"/>
        </w:rPr>
        <w:t>在终点产品产业化的过程中实现科技创新与工业设计同步进行，</w:t>
      </w:r>
      <w:r>
        <w:rPr>
          <w:rFonts w:hint="default" w:ascii="Times New Roman" w:hAnsi="Times New Roman" w:cs="Times New Roman"/>
          <w:bCs/>
        </w:rPr>
        <w:t>推动工业设计与产品研发的有机结合，</w:t>
      </w:r>
      <w:r>
        <w:rPr>
          <w:rFonts w:hint="default" w:ascii="Times New Roman" w:hAnsi="Times New Roman" w:cs="Times New Roman"/>
          <w:lang w:val="zh-CN"/>
        </w:rPr>
        <w:t>带动</w:t>
      </w:r>
      <w:r>
        <w:rPr>
          <w:rFonts w:hint="default" w:ascii="Times New Roman" w:hAnsi="Times New Roman" w:cs="Times New Roman"/>
        </w:rPr>
        <w:t>智能装备、</w:t>
      </w:r>
      <w:r>
        <w:rPr>
          <w:rFonts w:hint="default" w:ascii="Times New Roman" w:hAnsi="Times New Roman" w:cs="Times New Roman"/>
          <w:lang w:val="zh-CN"/>
        </w:rPr>
        <w:t>医药健康等设计发展。</w:t>
      </w:r>
      <w:r>
        <w:rPr>
          <w:rFonts w:hint="default" w:ascii="Times New Roman" w:hAnsi="Times New Roman" w:cs="Times New Roman"/>
          <w:color w:val="000000"/>
          <w:shd w:val="clear" w:color="auto" w:fill="FFFFFF"/>
        </w:rPr>
        <w:t>以岭南V谷为核心，引进培育一批工业设计机构和企业，</w:t>
      </w:r>
      <w:r>
        <w:rPr>
          <w:rFonts w:hint="default" w:ascii="Times New Roman" w:hAnsi="Times New Roman" w:cs="Times New Roman"/>
          <w:lang w:val="zh-CN"/>
        </w:rPr>
        <w:t>吸引国内外知名设计机构、设计人才和项目入驻，</w:t>
      </w:r>
      <w:r>
        <w:rPr>
          <w:rFonts w:hint="default" w:ascii="Times New Roman" w:hAnsi="Times New Roman" w:cs="Times New Roman"/>
        </w:rPr>
        <w:t>孵化、集聚、发展工业设计产业</w:t>
      </w:r>
      <w:r>
        <w:rPr>
          <w:rFonts w:hint="default" w:ascii="Times New Roman" w:hAnsi="Times New Roman" w:cs="Times New Roman"/>
          <w:lang w:val="zh-CN"/>
        </w:rPr>
        <w:t>。</w:t>
      </w:r>
    </w:p>
    <w:p>
      <w:pPr>
        <w:pageBreakBefore w:val="0"/>
        <w:widowControl/>
        <w:snapToGrid/>
        <w:spacing w:line="580" w:lineRule="exact"/>
        <w:ind w:left="-6" w:leftChars="0" w:firstLine="640" w:firstLineChars="200"/>
        <w:jc w:val="left"/>
        <w:rPr>
          <w:rFonts w:hint="default" w:ascii="Times New Roman" w:hAnsi="Times New Roman" w:eastAsia="黑体" w:cs="Times New Roman"/>
          <w:sz w:val="28"/>
          <w:szCs w:val="20"/>
        </w:rPr>
      </w:pPr>
      <w:r>
        <w:rPr>
          <w:rFonts w:hint="default" w:ascii="Times New Roman" w:hAnsi="Times New Roman" w:cs="Times New Roman"/>
          <w:lang w:val="zh-CN"/>
        </w:rPr>
        <w:t>支持工业设计机构创新服务模式，推动工业设计与产品创新深度融合，促进工业设计成果与产业应用对接，</w:t>
      </w:r>
      <w:r>
        <w:rPr>
          <w:rFonts w:hint="default" w:ascii="Times New Roman" w:hAnsi="Times New Roman" w:cs="Times New Roman"/>
          <w:shd w:val="clear" w:color="auto" w:fill="FFFFFF"/>
        </w:rPr>
        <w:t>培育智能设计、虚拟设计、集成设计、众包设计等新业态</w:t>
      </w:r>
      <w:r>
        <w:rPr>
          <w:rFonts w:hint="default" w:ascii="Times New Roman" w:hAnsi="Times New Roman" w:cs="Times New Roman"/>
          <w:lang w:val="zh-CN"/>
        </w:rPr>
        <w:t>。</w:t>
      </w:r>
      <w:r>
        <w:rPr>
          <w:rFonts w:hint="default" w:ascii="Times New Roman" w:hAnsi="Times New Roman" w:cs="Times New Roman"/>
        </w:rPr>
        <w:t>推广数字化设计与虚拟仿真系统，支持垂直电商平台以虚拟现实体验、线上直接参与等方式，围绕聚焦个性需求，发展个性化设计、用户参与设计、交互设计，推动零件标准化、配件精细化、部件模块化和产品个性化重组，实现以用户为中心的定制和按需灵活生产。充分利用大数据、自有品牌、营销渠道、创意设计、专利技术等优势，通过委托加工、品牌授权、搭建工业互联网平台等多种形式向加工制造环节延伸渗透。</w:t>
      </w:r>
    </w:p>
    <w:p>
      <w:pPr>
        <w:pStyle w:val="181"/>
        <w:pageBreakBefore w:val="0"/>
        <w:spacing w:after="156" w:line="580" w:lineRule="exact"/>
        <w:jc w:val="center"/>
        <w:rPr>
          <w:rFonts w:hint="default" w:ascii="Times New Roman" w:hAnsi="Times New Roman" w:cs="Times New Roman"/>
        </w:rPr>
      </w:pPr>
      <w:r>
        <w:rPr>
          <w:rFonts w:hint="default" w:ascii="Times New Roman" w:hAnsi="Times New Roman" w:cs="Times New Roman"/>
        </w:rPr>
        <w:t>专栏</w:t>
      </w:r>
      <w:r>
        <w:rPr>
          <w:rFonts w:hint="default" w:ascii="Times New Roman" w:hAnsi="Times New Roman" w:cs="Times New Roman"/>
        </w:rPr>
        <w:fldChar w:fldCharType="begin"/>
      </w:r>
      <w:r>
        <w:rPr>
          <w:rFonts w:hint="default" w:ascii="Times New Roman" w:hAnsi="Times New Roman" w:cs="Times New Roman"/>
        </w:rPr>
        <w:instrText xml:space="preserve"> SEQ 专栏 \* ARABIC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：工业设计重点任务</w:t>
      </w:r>
    </w:p>
    <w:tbl>
      <w:tblPr>
        <w:tblStyle w:val="29"/>
        <w:tblW w:w="92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3" w:type="dxa"/>
            <w:noWrap w:val="0"/>
          </w:tcPr>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推动工业设计创新。</w:t>
            </w:r>
            <w:r>
              <w:rPr>
                <w:rFonts w:hint="default" w:ascii="Times New Roman" w:hAnsi="Times New Roman" w:cs="Times New Roman"/>
                <w:sz w:val="28"/>
                <w:szCs w:val="28"/>
              </w:rPr>
              <w:t>鼓励</w:t>
            </w:r>
            <w:r>
              <w:rPr>
                <w:rFonts w:hint="default" w:ascii="Times New Roman" w:hAnsi="Times New Roman" w:cs="Times New Roman"/>
                <w:sz w:val="28"/>
                <w:szCs w:val="28"/>
                <w:shd w:val="clear" w:color="auto" w:fill="FFFFFF"/>
              </w:rPr>
              <w:t>重点产业链龙头企业、“专精特新”中小企业等</w:t>
            </w:r>
            <w:r>
              <w:rPr>
                <w:rFonts w:hint="default" w:ascii="Times New Roman" w:hAnsi="Times New Roman" w:cs="Times New Roman"/>
                <w:sz w:val="28"/>
                <w:szCs w:val="28"/>
              </w:rPr>
              <w:t>设立独立工业设计中心</w:t>
            </w:r>
            <w:r>
              <w:rPr>
                <w:rFonts w:hint="default" w:ascii="Times New Roman" w:hAnsi="Times New Roman" w:cs="Times New Roman"/>
                <w:sz w:val="28"/>
                <w:szCs w:val="28"/>
                <w:lang w:val="zh-CN"/>
              </w:rPr>
              <w:t>，推进建设工业设计全产业链服务创新基地</w:t>
            </w:r>
            <w:r>
              <w:rPr>
                <w:rFonts w:hint="default" w:ascii="Times New Roman" w:hAnsi="Times New Roman" w:cs="Times New Roman"/>
                <w:sz w:val="28"/>
                <w:szCs w:val="28"/>
              </w:rPr>
              <w:t>。</w:t>
            </w:r>
            <w:r>
              <w:rPr>
                <w:rFonts w:hint="default" w:ascii="Times New Roman" w:hAnsi="Times New Roman" w:cs="Times New Roman"/>
                <w:sz w:val="28"/>
                <w:szCs w:val="28"/>
                <w:shd w:val="clear" w:color="auto" w:fill="FFFFFF"/>
              </w:rPr>
              <w:t>支持工业设计向高端综合设计服务转变，</w:t>
            </w:r>
            <w:r>
              <w:rPr>
                <w:rFonts w:hint="default" w:ascii="Times New Roman" w:hAnsi="Times New Roman" w:cs="Times New Roman"/>
                <w:sz w:val="28"/>
                <w:szCs w:val="28"/>
              </w:rPr>
              <w:t>加快培育第三方设计企业，支持工业设计企业专业化发展</w:t>
            </w:r>
            <w:r>
              <w:rPr>
                <w:rFonts w:hint="default" w:ascii="Times New Roman" w:hAnsi="Times New Roman" w:cs="Times New Roman"/>
                <w:sz w:val="28"/>
                <w:szCs w:val="28"/>
                <w:lang w:val="zh-CN"/>
              </w:rPr>
              <w:t>，培育工业设计龙头企业</w:t>
            </w:r>
            <w:r>
              <w:rPr>
                <w:rFonts w:hint="default" w:ascii="Times New Roman" w:hAnsi="Times New Roman" w:cs="Times New Roman"/>
                <w:sz w:val="28"/>
                <w:szCs w:val="28"/>
              </w:rPr>
              <w:t>。</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32"/>
              </w:rPr>
            </w:pPr>
            <w:r>
              <w:rPr>
                <w:rFonts w:hint="default" w:ascii="Times New Roman" w:hAnsi="Times New Roman" w:cs="Times New Roman"/>
                <w:b/>
                <w:sz w:val="28"/>
                <w:szCs w:val="28"/>
              </w:rPr>
              <w:t>加快成立工业设计服务联盟。</w:t>
            </w:r>
            <w:r>
              <w:rPr>
                <w:rFonts w:hint="default" w:ascii="Times New Roman" w:hAnsi="Times New Roman" w:cs="Times New Roman"/>
                <w:sz w:val="28"/>
                <w:szCs w:val="28"/>
              </w:rPr>
              <w:t>打造工业设计研发平台、工业设计服务平台、工业设计信息平台，推动联盟成员单位之间资源共享。重点推进一批新型研发机构建设，加强工业设计基础研究和关键共性技术研发。</w:t>
            </w:r>
          </w:p>
        </w:tc>
      </w:tr>
    </w:tbl>
    <w:p>
      <w:pPr>
        <w:pStyle w:val="186"/>
        <w:keepNext/>
        <w:keepLines/>
        <w:pageBreakBefore w:val="0"/>
        <w:widowControl w:val="0"/>
        <w:shd w:val="clear" w:fill="auto"/>
        <w:snapToGrid/>
        <w:spacing w:before="0" w:after="0" w:line="580" w:lineRule="exact"/>
        <w:ind w:firstLine="643" w:firstLineChars="200"/>
        <w:jc w:val="both"/>
        <w:outlineLvl w:val="2"/>
        <w:rPr>
          <w:rFonts w:ascii="Times New Roman" w:hAnsi="Times New Roman" w:eastAsia="仿宋_GB2312" w:cs="Times New Roman"/>
          <w:b/>
          <w:bCs/>
          <w:sz w:val="32"/>
          <w:szCs w:val="32"/>
          <w:lang w:val="en-US" w:eastAsia="zh-CN" w:bidi="ar-SA"/>
        </w:rPr>
      </w:pPr>
    </w:p>
    <w:p>
      <w:pPr>
        <w:pStyle w:val="186"/>
        <w:keepNext/>
        <w:keepLines/>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2.</w:t>
      </w:r>
      <w:r>
        <w:rPr>
          <w:rFonts w:hint="default" w:ascii="Times New Roman" w:hAnsi="Times New Roman" w:eastAsia="仿宋_GB2312" w:cs="Times New Roman"/>
          <w:b/>
          <w:bCs/>
          <w:sz w:val="32"/>
          <w:szCs w:val="32"/>
          <w:lang w:val="en-US" w:eastAsia="zh-CN" w:bidi="ar-SA"/>
        </w:rPr>
        <w:t>电子商务</w:t>
      </w:r>
    </w:p>
    <w:p>
      <w:pPr>
        <w:pageBreakBefore w:val="0"/>
        <w:spacing w:line="580" w:lineRule="exact"/>
        <w:ind w:left="-6" w:leftChars="0" w:firstLine="640" w:firstLineChars="200"/>
        <w:rPr>
          <w:rFonts w:hint="default" w:ascii="Times New Roman" w:hAnsi="Times New Roman" w:cs="Times New Roman"/>
          <w:color w:val="000000"/>
        </w:rPr>
      </w:pPr>
      <w:r>
        <w:rPr>
          <w:rFonts w:hint="default" w:ascii="Times New Roman" w:hAnsi="Times New Roman" w:cs="Times New Roman"/>
        </w:rPr>
        <w:t>基于商贸业基础优势，支持</w:t>
      </w:r>
      <w:r>
        <w:rPr>
          <w:rFonts w:hint="default" w:ascii="Times New Roman" w:hAnsi="Times New Roman" w:cs="Times New Roman"/>
          <w:color w:val="000000"/>
        </w:rPr>
        <w:t>通过网络平台为制造业和商贸企业提供产品或服务交易支撑，形成若干具有影响力的网络化商贸商务服务集聚平台。</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电子商贸。</w:t>
      </w:r>
      <w:r>
        <w:rPr>
          <w:rFonts w:hint="default" w:ascii="Times New Roman" w:hAnsi="Times New Roman" w:cs="Times New Roman"/>
        </w:rPr>
        <w:t>加快生产性服务业与互联网深度融合发展，积极推动电子商贸与虚拟现实、人工智能、数据挖掘、生物识别等新技术融合，提升传统业态。支持企业探索直播电商、移动电商、社交电商、“粉丝”经济、跨境电商等新业态</w:t>
      </w:r>
      <w:r>
        <w:rPr>
          <w:rFonts w:hint="default" w:ascii="Times New Roman" w:hAnsi="Times New Roman" w:cs="Times New Roman"/>
          <w:lang w:val="zh-CN"/>
        </w:rPr>
        <w:t>，推动传统批发市场</w:t>
      </w:r>
      <w:r>
        <w:rPr>
          <w:rFonts w:hint="default" w:ascii="Times New Roman" w:hAnsi="Times New Roman" w:cs="Times New Roman"/>
        </w:rPr>
        <w:t>由单纯的交易市场向</w:t>
      </w:r>
      <w:r>
        <w:rPr>
          <w:rFonts w:hint="default" w:ascii="Times New Roman" w:hAnsi="Times New Roman" w:cs="Times New Roman"/>
          <w:bCs/>
        </w:rPr>
        <w:t>多元化综合平台</w:t>
      </w:r>
      <w:r>
        <w:rPr>
          <w:rFonts w:hint="default" w:ascii="Times New Roman" w:hAnsi="Times New Roman" w:cs="Times New Roman"/>
        </w:rPr>
        <w:t>转变，打造</w:t>
      </w:r>
      <w:r>
        <w:rPr>
          <w:rFonts w:hint="default" w:ascii="Times New Roman" w:hAnsi="Times New Roman" w:cs="Times New Roman"/>
          <w:bCs/>
        </w:rPr>
        <w:t>智慧市场。</w:t>
      </w:r>
      <w:r>
        <w:rPr>
          <w:rFonts w:hint="default" w:ascii="Times New Roman" w:hAnsi="Times New Roman" w:cs="Times New Roman"/>
        </w:rPr>
        <w:t>支持电商模式创新，鼓励直播电商、社交电商、社群电商等新业态发展，鼓励定制化电商和订阅制电商等新型电商平台发展，着力培育新型电子商务领军企业。支持网络直播基地做大做强，推动MCN（多频道网络）机构集聚，支持企业利用直播销售、视频录播、视频会议等方式进行线上营销、在线展示、线上签单等商务活动，实现线上线下全渠道推广，打造直播产业集群。</w:t>
      </w:r>
    </w:p>
    <w:p>
      <w:pPr>
        <w:pageBreakBefore w:val="0"/>
        <w:spacing w:line="580" w:lineRule="exact"/>
        <w:ind w:left="-6" w:leftChars="0" w:firstLine="643" w:firstLineChars="200"/>
        <w:rPr>
          <w:rFonts w:hint="default" w:ascii="Times New Roman" w:hAnsi="Times New Roman" w:cs="Times New Roman"/>
          <w:lang w:bidi="ar"/>
        </w:rPr>
      </w:pPr>
      <w:r>
        <w:rPr>
          <w:rFonts w:hint="default" w:ascii="Times New Roman" w:hAnsi="Times New Roman" w:cs="Times New Roman"/>
          <w:b/>
        </w:rPr>
        <w:t>供应链管理。</w:t>
      </w:r>
      <w:r>
        <w:rPr>
          <w:rFonts w:hint="default" w:ascii="Times New Roman" w:hAnsi="Times New Roman" w:cs="Times New Roman"/>
        </w:rPr>
        <w:t>面向都市消费、生物医药、电子商务等产业需求，</w:t>
      </w:r>
      <w:r>
        <w:rPr>
          <w:rFonts w:hint="default" w:ascii="Times New Roman" w:hAnsi="Times New Roman" w:cs="Times New Roman"/>
          <w:shd w:val="clear" w:color="auto" w:fill="FFFFFF"/>
        </w:rPr>
        <w:t>大力发展专业化物流、电商物流等重点领域。</w:t>
      </w:r>
      <w:r>
        <w:rPr>
          <w:rFonts w:hint="default" w:ascii="Times New Roman" w:hAnsi="Times New Roman" w:cs="Times New Roman"/>
          <w:lang w:bidi="ar"/>
        </w:rPr>
        <w:t>支持生物医药、时尚服装等大型流通企业向供应链集成服务商转型，加强与上游生产企业、下游产品加工或批发零售业企业的资源整合，构建采购、分销、仓储、配送、金融于一体的供应链协同服务平台。支持工控等大型生产企业应用电子商务实现供应链协作。</w:t>
      </w:r>
      <w:r>
        <w:rPr>
          <w:rFonts w:hint="default" w:ascii="Times New Roman" w:hAnsi="Times New Roman" w:cs="Times New Roman"/>
          <w:shd w:val="clear" w:color="auto" w:fill="FFFFFF"/>
        </w:rPr>
        <w:t>创新发展供应链物流、快捷物流、精益物流等新业态新模式，推动发展无人配送、分时配送、共同配送等运输方式。</w:t>
      </w:r>
      <w:r>
        <w:rPr>
          <w:rFonts w:hint="default" w:ascii="Times New Roman" w:hAnsi="Times New Roman" w:cs="Times New Roman"/>
          <w:szCs w:val="32"/>
        </w:rPr>
        <w:t>培育一批专业化、平台化物流供应链企业，</w:t>
      </w:r>
      <w:r>
        <w:rPr>
          <w:rFonts w:hint="default" w:ascii="Times New Roman" w:hAnsi="Times New Roman" w:cs="Times New Roman"/>
          <w:shd w:val="clear" w:color="auto" w:fill="FFFFFF"/>
        </w:rPr>
        <w:t>优化供应链产品流、信息流、资金流管理，拓展品质溯源、知识产权服务、虚拟生产等专业化供应链业务。</w:t>
      </w:r>
      <w:r>
        <w:rPr>
          <w:rFonts w:hint="default" w:ascii="Times New Roman" w:hAnsi="Times New Roman" w:cs="Times New Roman"/>
          <w:szCs w:val="32"/>
        </w:rPr>
        <w:t>推广应用</w:t>
      </w:r>
      <w:r>
        <w:rPr>
          <w:rFonts w:hint="default" w:ascii="Times New Roman" w:hAnsi="Times New Roman" w:cs="Times New Roman"/>
          <w:szCs w:val="32"/>
          <w:lang w:bidi="ar"/>
        </w:rPr>
        <w:t>云计算、大数据、物联网等信息技术，</w:t>
      </w:r>
      <w:r>
        <w:rPr>
          <w:rFonts w:hint="default" w:ascii="Times New Roman" w:hAnsi="Times New Roman" w:cs="Times New Roman"/>
          <w:szCs w:val="32"/>
        </w:rPr>
        <w:t>对供应链管理产生的数据进行分析、预测，实现数字化、智能化供应链运营管理。</w:t>
      </w:r>
    </w:p>
    <w:p>
      <w:pPr>
        <w:pStyle w:val="181"/>
        <w:pageBreakBefore w:val="0"/>
        <w:spacing w:after="156" w:line="580" w:lineRule="exact"/>
        <w:jc w:val="center"/>
        <w:rPr>
          <w:rFonts w:hint="default" w:ascii="Times New Roman" w:hAnsi="Times New Roman" w:cs="Times New Roman"/>
          <w:lang w:val="zh-CN"/>
        </w:rPr>
      </w:pPr>
      <w:r>
        <w:rPr>
          <w:rFonts w:hint="default" w:ascii="Times New Roman" w:hAnsi="Times New Roman" w:cs="Times New Roman"/>
        </w:rPr>
        <w:t>专栏</w:t>
      </w:r>
      <w:r>
        <w:rPr>
          <w:rFonts w:hint="default" w:ascii="Times New Roman" w:hAnsi="Times New Roman" w:cs="Times New Roman"/>
        </w:rPr>
        <w:fldChar w:fldCharType="begin"/>
      </w:r>
      <w:r>
        <w:rPr>
          <w:rFonts w:hint="default" w:ascii="Times New Roman" w:hAnsi="Times New Roman" w:cs="Times New Roman"/>
        </w:rPr>
        <w:instrText xml:space="preserve"> SEQ 专栏 \* ARABIC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：电子商务重点任务</w:t>
      </w:r>
    </w:p>
    <w:tbl>
      <w:tblPr>
        <w:tblStyle w:val="2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9" w:type="dxa"/>
            <w:noWrap w:val="0"/>
          </w:tcPr>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支持电商平台应用。</w:t>
            </w:r>
            <w:r>
              <w:rPr>
                <w:rFonts w:hint="default" w:ascii="Times New Roman" w:hAnsi="Times New Roman" w:cs="Times New Roman"/>
                <w:sz w:val="28"/>
                <w:szCs w:val="28"/>
              </w:rPr>
              <w:t>支持电子商务服务企业与第三方知名电子商务平台合作，面向区内企业提供本地化服务。引导商贸流通龙头企业应用电子商务平台开拓市场。鼓励综合型和专业型产品交易平台、现代物流服务平台、社区综合服务平台等发展。深化大中型企业电子商务应用，加快并规范集交易、电子认证、在线支付、物流、信用评估等服务于一体的第三方电子商务综合服务平台发展。</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打造电商直播集群。</w:t>
            </w:r>
            <w:r>
              <w:rPr>
                <w:rFonts w:hint="default" w:ascii="Times New Roman" w:hAnsi="Times New Roman" w:cs="Times New Roman"/>
                <w:sz w:val="28"/>
                <w:szCs w:val="28"/>
              </w:rPr>
              <w:t>整合电商、直播产业发展优势，大力发展直播、网红经济，培育一批具有影响力的MCN机构、直播电商经纪公司、直播电商服务机构，孵化一批网红品牌，培养一批网红带货达人，打造直播电商产业集群，加速产业链延伸，引领上下游企业形成视频内容产业群，形成“商品-平台-内容运营”全方位产业生态。支持重点商圈引入电商直播基地，打造“品牌直播间”与“网红梦工厂”，建设面向大湾区产业带的电商直播基地。</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推进绿色货运配送试点应用。</w:t>
            </w:r>
            <w:r>
              <w:rPr>
                <w:rFonts w:hint="default" w:ascii="Times New Roman" w:hAnsi="Times New Roman" w:cs="Times New Roman"/>
                <w:sz w:val="28"/>
                <w:szCs w:val="28"/>
              </w:rPr>
              <w:t>把握广州建设绿色货运配送示范城市的契机，率先在荔湾试点应用，加强供应链绿色化设计，重点围绕专业批发市场、广州国际医药港等区域，鼓励流通企业与制造企业共同打造荔湾绿色商品流通供应链，提升供应链绿色化水平。</w:t>
            </w:r>
          </w:p>
        </w:tc>
      </w:tr>
    </w:tbl>
    <w:p>
      <w:pPr>
        <w:pStyle w:val="186"/>
        <w:keepNext/>
        <w:keepLines/>
        <w:pageBreakBefore w:val="0"/>
        <w:widowControl w:val="0"/>
        <w:shd w:val="clear" w:fill="auto"/>
        <w:snapToGrid/>
        <w:spacing w:before="0" w:after="0" w:line="580" w:lineRule="exact"/>
        <w:ind w:firstLine="643" w:firstLineChars="200"/>
        <w:jc w:val="both"/>
        <w:outlineLvl w:val="2"/>
        <w:rPr>
          <w:rFonts w:ascii="Times New Roman" w:hAnsi="Times New Roman" w:eastAsia="仿宋_GB2312" w:cs="Times New Roman"/>
          <w:b/>
          <w:bCs/>
          <w:sz w:val="32"/>
          <w:szCs w:val="32"/>
          <w:lang w:val="en-US" w:eastAsia="zh-CN" w:bidi="ar-SA"/>
        </w:rPr>
      </w:pPr>
    </w:p>
    <w:p>
      <w:pPr>
        <w:pStyle w:val="186"/>
        <w:keepNext/>
        <w:keepLines/>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3.</w:t>
      </w:r>
      <w:r>
        <w:rPr>
          <w:rFonts w:hint="default" w:ascii="Times New Roman" w:hAnsi="Times New Roman" w:eastAsia="仿宋_GB2312" w:cs="Times New Roman"/>
          <w:b/>
          <w:bCs/>
          <w:sz w:val="32"/>
          <w:szCs w:val="32"/>
          <w:lang w:val="en-US" w:eastAsia="zh-CN" w:bidi="ar-SA"/>
        </w:rPr>
        <w:t>专业服务</w:t>
      </w:r>
    </w:p>
    <w:p>
      <w:pPr>
        <w:pageBreakBefore w:val="0"/>
        <w:spacing w:line="580" w:lineRule="exact"/>
        <w:ind w:left="-6" w:leftChars="0" w:firstLine="643" w:firstLineChars="200"/>
        <w:outlineLvl w:val="3"/>
        <w:rPr>
          <w:rFonts w:hint="default" w:ascii="Times New Roman" w:hAnsi="Times New Roman" w:cs="Times New Roman"/>
        </w:rPr>
      </w:pPr>
      <w:r>
        <w:rPr>
          <w:rFonts w:hint="default" w:ascii="Times New Roman" w:hAnsi="Times New Roman" w:cs="Times New Roman"/>
          <w:b/>
        </w:rPr>
        <w:t>建筑业和规划设计咨询服务。</w:t>
      </w:r>
      <w:r>
        <w:rPr>
          <w:rFonts w:hint="default" w:ascii="Times New Roman" w:hAnsi="Times New Roman" w:cs="Times New Roman"/>
        </w:rPr>
        <w:t>依托</w:t>
      </w:r>
      <w:r>
        <w:rPr>
          <w:rFonts w:hint="default" w:ascii="Times New Roman" w:hAnsi="Times New Roman" w:cs="Times New Roman"/>
          <w:szCs w:val="32"/>
        </w:rPr>
        <w:t>中石化第五建设有限公司、省建筑工程集团、省建筑设计院、省水利水电设计院等</w:t>
      </w:r>
      <w:r>
        <w:rPr>
          <w:rFonts w:hint="default" w:ascii="Times New Roman" w:hAnsi="Times New Roman" w:cs="Times New Roman"/>
        </w:rPr>
        <w:t>企业，加快发展装配建筑咨询服务，开展装配式超低能耗高品质绿色建筑示范，推进在海龙围科创区建设装配式绿色建筑研发设计基地，带动珠江西岸及“广佛极点”的绿色建筑设计产业集聚发展。进一步发挥荔湾拥有最多全市历史文化街区、历史建筑、非物质文化遗产的广泛应用场景优势，为历史文化街区、历史文化建筑等提供街区规划、建筑设计、建筑修缮等专业咨询服务。</w:t>
      </w:r>
    </w:p>
    <w:p>
      <w:pPr>
        <w:pageBreakBefore w:val="0"/>
        <w:spacing w:line="580" w:lineRule="exact"/>
        <w:ind w:left="-6" w:leftChars="0" w:firstLine="643" w:firstLineChars="200"/>
        <w:outlineLvl w:val="3"/>
        <w:rPr>
          <w:rFonts w:hint="default" w:ascii="Times New Roman" w:hAnsi="Times New Roman" w:cs="Times New Roman"/>
        </w:rPr>
      </w:pPr>
      <w:r>
        <w:rPr>
          <w:rFonts w:hint="default" w:ascii="Times New Roman" w:hAnsi="Times New Roman" w:cs="Times New Roman"/>
          <w:b/>
        </w:rPr>
        <w:t>广告设计服务。</w:t>
      </w:r>
      <w:r>
        <w:rPr>
          <w:rFonts w:hint="default" w:ascii="Times New Roman" w:hAnsi="Times New Roman" w:cs="Times New Roman"/>
        </w:rPr>
        <w:t>依托珠江西岸滨水创意产业带，吸引一批广告设计服务的企业和品牌，推动传统广告企业向全媒体矩阵发展，扶持创新能力强、特色突出的广告创意设计企业发展，做大做强广告工作室等形式的小微广告企业。发挥岭南文化中心核心区的底蕴优势，依托永庆坊、沙面-西堤、陈家祠等历史文化要素，深挖非遗文化内涵，引导各类型广告企业进行创意研发，加快自主品牌建设。</w:t>
      </w:r>
    </w:p>
    <w:p>
      <w:pPr>
        <w:pageBreakBefore w:val="0"/>
        <w:spacing w:line="580" w:lineRule="exact"/>
        <w:ind w:left="-6" w:leftChars="0" w:firstLine="643" w:firstLineChars="200"/>
        <w:outlineLvl w:val="3"/>
        <w:rPr>
          <w:rFonts w:hint="default" w:ascii="Times New Roman" w:hAnsi="Times New Roman" w:cs="Times New Roman"/>
          <w:color w:val="000000"/>
          <w:shd w:val="clear" w:color="auto" w:fill="FFFFFF"/>
        </w:rPr>
      </w:pPr>
      <w:r>
        <w:rPr>
          <w:rFonts w:hint="default" w:ascii="Times New Roman" w:hAnsi="Times New Roman" w:cs="Times New Roman"/>
          <w:b/>
        </w:rPr>
        <w:t>人力资源服务。</w:t>
      </w:r>
      <w:r>
        <w:rPr>
          <w:rFonts w:hint="default" w:ascii="Times New Roman" w:hAnsi="Times New Roman" w:cs="Times New Roman"/>
          <w:lang w:val="zh-CN"/>
        </w:rPr>
        <w:t>鼓励人力资源服务向中高端发展，</w:t>
      </w:r>
      <w:r>
        <w:rPr>
          <w:rFonts w:hint="default" w:ascii="Times New Roman" w:hAnsi="Times New Roman" w:cs="Times New Roman"/>
          <w:szCs w:val="32"/>
        </w:rPr>
        <w:t>对接广州乃至全国人才服务资源，</w:t>
      </w:r>
      <w:r>
        <w:rPr>
          <w:rFonts w:hint="default" w:ascii="Times New Roman" w:hAnsi="Times New Roman" w:cs="Times New Roman"/>
        </w:rPr>
        <w:t>积极拓展专业性、行业性人力资源市场，为荔湾、广州乃至湾区人工智能、生物医药、新材料、金融商务等战略新兴产业提供</w:t>
      </w:r>
      <w:r>
        <w:rPr>
          <w:rFonts w:hint="default" w:ascii="Times New Roman" w:hAnsi="Times New Roman" w:cs="Times New Roman"/>
          <w:szCs w:val="32"/>
        </w:rPr>
        <w:t>人力资本服务、</w:t>
      </w:r>
      <w:r>
        <w:rPr>
          <w:rFonts w:hint="default" w:ascii="Times New Roman" w:hAnsi="Times New Roman" w:cs="Times New Roman"/>
          <w:lang w:val="zh-CN"/>
        </w:rPr>
        <w:t>人力资源培训、</w:t>
      </w:r>
      <w:r>
        <w:rPr>
          <w:rFonts w:hint="default" w:ascii="Times New Roman" w:hAnsi="Times New Roman" w:cs="Times New Roman"/>
        </w:rPr>
        <w:t>人才政策咨询等线上线下全链条服务。</w:t>
      </w:r>
      <w:r>
        <w:rPr>
          <w:rFonts w:hint="default" w:ascii="Times New Roman" w:hAnsi="Times New Roman" w:cs="Times New Roman"/>
          <w:szCs w:val="32"/>
        </w:rPr>
        <w:t>在人力资本服务上，积极对接南方人才市场，</w:t>
      </w:r>
      <w:r>
        <w:rPr>
          <w:rFonts w:hint="default" w:ascii="Times New Roman" w:hAnsi="Times New Roman" w:cs="Times New Roman"/>
        </w:rPr>
        <w:t>依托人力资源龙头企业，支持运用大数据、云计算等新技术，着重</w:t>
      </w:r>
      <w:r>
        <w:rPr>
          <w:rFonts w:hint="default" w:ascii="Times New Roman" w:hAnsi="Times New Roman" w:cs="Times New Roman"/>
          <w:lang w:val="zh-CN"/>
        </w:rPr>
        <w:t>发展人力资源服务外包、人力资源管理咨询、人才测评、职业社交等高技术含量和附加值的新兴业态</w:t>
      </w:r>
      <w:r>
        <w:rPr>
          <w:rFonts w:hint="default" w:ascii="Times New Roman" w:hAnsi="Times New Roman" w:cs="Times New Roman"/>
        </w:rPr>
        <w:t>，探索“人力资源服务+资本+互联网”发展路径，为制造业企业</w:t>
      </w:r>
      <w:r>
        <w:rPr>
          <w:rFonts w:hint="default" w:ascii="Times New Roman" w:hAnsi="Times New Roman" w:cs="Times New Roman"/>
          <w:szCs w:val="32"/>
        </w:rPr>
        <w:t>提供“高端人才寻访、招聘流程外包、灵活用工”等服务。</w:t>
      </w:r>
      <w:r>
        <w:rPr>
          <w:rFonts w:hint="default" w:ascii="Times New Roman" w:hAnsi="Times New Roman" w:cs="Times New Roman"/>
          <w:lang w:val="zh-CN"/>
        </w:rPr>
        <w:t>在人力资源培训上，</w:t>
      </w:r>
      <w:r>
        <w:rPr>
          <w:rFonts w:hint="default" w:ascii="Times New Roman" w:hAnsi="Times New Roman" w:cs="Times New Roman"/>
          <w:color w:val="000000"/>
          <w:shd w:val="clear" w:color="auto" w:fill="FFFFFF"/>
        </w:rPr>
        <w:t>统筹利用科研院所、职业院校、社会培训机构和企业等各种培训资源，</w:t>
      </w:r>
      <w:r>
        <w:rPr>
          <w:rFonts w:hint="default" w:ascii="Times New Roman" w:hAnsi="Times New Roman" w:cs="Times New Roman"/>
          <w:szCs w:val="32"/>
        </w:rPr>
        <w:t>面向制造业需求，</w:t>
      </w:r>
      <w:r>
        <w:rPr>
          <w:rFonts w:hint="default" w:ascii="Times New Roman" w:hAnsi="Times New Roman" w:cs="Times New Roman"/>
          <w:color w:val="000000"/>
          <w:shd w:val="clear" w:color="auto" w:fill="FFFFFF"/>
        </w:rPr>
        <w:t>为企业所需的创新型、应用型、复合型、技术技能型人才提供培训服务，形成具有荔湾特色的继续教育品牌。</w:t>
      </w:r>
    </w:p>
    <w:p>
      <w:pPr>
        <w:pageBreakBefore w:val="0"/>
        <w:spacing w:line="580" w:lineRule="exact"/>
        <w:ind w:left="-6" w:leftChars="0" w:firstLine="643" w:firstLineChars="200"/>
        <w:outlineLvl w:val="3"/>
        <w:rPr>
          <w:rFonts w:hint="default" w:ascii="Times New Roman" w:hAnsi="Times New Roman" w:cs="Times New Roman"/>
        </w:rPr>
      </w:pPr>
      <w:r>
        <w:rPr>
          <w:rFonts w:hint="default" w:ascii="Times New Roman" w:hAnsi="Times New Roman" w:cs="Times New Roman"/>
          <w:b/>
        </w:rPr>
        <w:t>汽车后市场服务。</w:t>
      </w:r>
      <w:r>
        <w:rPr>
          <w:rFonts w:hint="default" w:ascii="Times New Roman" w:hAnsi="Times New Roman" w:cs="Times New Roman"/>
        </w:rPr>
        <w:t>积极融入粤港澳大湾区汽车产业链，</w:t>
      </w:r>
      <w:r>
        <w:rPr>
          <w:rFonts w:hint="default" w:ascii="Times New Roman" w:hAnsi="Times New Roman" w:cs="Times New Roman"/>
          <w:lang w:val="zh-CN"/>
        </w:rPr>
        <w:t>引导汽车服务业集聚发展，做大做强汽车服务业。大力发展集品牌汽车展销、机动车综合服务、汽车金融保险、电子商务、汽车医院、供应链信息、汽车及汽配交易、汽车维保连锁等功能配套的汽车全过程后市场服务。大力发展汽车租赁市场，培育连锁汽车租赁以租代购新业态。创新出行和服务模式，探索发展智能驾驶、共享汽车技术，打造“智慧交通”出行服务平台。积极发展汽车金融与保险业务，与银行机构、保险公司合作开发创新汽车金融与保险产品。积极发展汽车维修与保养业务，鼓励汽车制造企业开展维修保养、汽车养护服务。发展二手车业务，大力发展二手车销售、评估、中介、保管、代理过户、置换等业务。</w:t>
      </w:r>
      <w:r>
        <w:rPr>
          <w:rFonts w:hint="default" w:ascii="Times New Roman" w:hAnsi="Times New Roman" w:cs="Times New Roman"/>
        </w:rPr>
        <w:t>积极推动汽配零售店、汽车维修店、汽配连锁店、车务服务站等建设，吸引销售服务、二手车鉴定评估等企业集聚。</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19" w:name="_Toc2696"/>
      <w:r>
        <w:rPr>
          <w:rFonts w:hint="eastAsia" w:ascii="Times New Roman" w:hAnsi="Times New Roman" w:eastAsia="楷体" w:cs="Times New Roman"/>
          <w:b w:val="0"/>
          <w:bCs w:val="0"/>
          <w:color w:val="000000"/>
          <w:sz w:val="32"/>
          <w:szCs w:val="32"/>
          <w:lang w:val="en-US" w:eastAsia="zh-CN" w:bidi="ar-SA"/>
        </w:rPr>
        <w:t>（二）</w:t>
      </w:r>
      <w:r>
        <w:rPr>
          <w:rFonts w:hint="default" w:ascii="Times New Roman" w:hAnsi="Times New Roman" w:eastAsia="楷体" w:cs="Times New Roman"/>
          <w:b w:val="0"/>
          <w:bCs w:val="0"/>
          <w:color w:val="000000"/>
          <w:sz w:val="32"/>
          <w:szCs w:val="32"/>
          <w:lang w:val="en-US" w:eastAsia="zh-CN" w:bidi="ar-SA"/>
        </w:rPr>
        <w:t>壮大新兴领域，提升生产服务业能级</w:t>
      </w:r>
      <w:bookmarkEnd w:id="19"/>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面向广州生产性服务业重点发展方向，结合荔湾已有一定规模的产业领域，近中期重点发展软件与信息服务、工业互联网、节能环保服务、检验检测服务等4个新兴领域，充分激发市场主体积极性，把握生产性服务业的未来增长点。</w:t>
      </w:r>
    </w:p>
    <w:p>
      <w:pPr>
        <w:pStyle w:val="186"/>
        <w:keepNext/>
        <w:keepLines/>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4.</w:t>
      </w:r>
      <w:r>
        <w:rPr>
          <w:rFonts w:hint="default" w:ascii="Times New Roman" w:hAnsi="Times New Roman" w:eastAsia="仿宋_GB2312" w:cs="Times New Roman"/>
          <w:b/>
          <w:bCs/>
          <w:sz w:val="32"/>
          <w:szCs w:val="32"/>
          <w:lang w:val="en-US" w:eastAsia="zh-CN" w:bidi="ar-SA"/>
        </w:rPr>
        <w:t>软件与信息服务</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工业软件开发。</w:t>
      </w:r>
      <w:r>
        <w:rPr>
          <w:rFonts w:hint="default" w:ascii="Times New Roman" w:hAnsi="Times New Roman" w:cs="Times New Roman"/>
        </w:rPr>
        <w:t>围绕传统制造转型升级，重点推进工业设计、工业过程仿真、智能控制、工业环境监测、质量分析、故障检测分析等关键环节的工业软件产品研发。大力发展面向新型智能终端、智能装备等的基础软件平台，以及面向各行业应用的重大集成应用平台。推动高端信息软件及系统研发设计，聚焦中间件、信息安全、三维设计和建模仿真、BIM（建筑信息模型）、GIS（地理信息系统）平台型软件等关键技术，加快推进重点行业、关键领域软件产品开发应用。支持开源软件的开发和应用推广，推动提升基础软件成熟度，开展集成适配优化。</w:t>
      </w:r>
    </w:p>
    <w:p>
      <w:pPr>
        <w:pageBreakBefore w:val="0"/>
        <w:spacing w:line="580" w:lineRule="exact"/>
        <w:ind w:left="-6" w:leftChars="0" w:firstLine="643" w:firstLineChars="200"/>
        <w:rPr>
          <w:rFonts w:hint="default" w:ascii="Times New Roman" w:hAnsi="Times New Roman" w:cs="Times New Roman"/>
        </w:rPr>
      </w:pPr>
      <w:r>
        <w:rPr>
          <w:rStyle w:val="31"/>
          <w:rFonts w:hint="default" w:ascii="Times New Roman" w:hAnsi="Times New Roman" w:cs="Times New Roman"/>
          <w:color w:val="000000"/>
          <w:shd w:val="clear" w:color="auto" w:fill="FFFFFF"/>
        </w:rPr>
        <w:t>大数据应用服务。</w:t>
      </w:r>
      <w:r>
        <w:rPr>
          <w:rFonts w:hint="default" w:ascii="Times New Roman" w:hAnsi="Times New Roman" w:cs="Times New Roman"/>
          <w:color w:val="000000"/>
          <w:shd w:val="clear" w:color="auto" w:fill="FFFFFF"/>
        </w:rPr>
        <w:t>结合电子商务、医药健康、文化创意、卷烟制造、金融保险等行业领域，围绕制造业研发设计、生产制造、经营管理、客户服务等产业链关键环节，引进一批技术领先、产品应用广泛、产业带动性强的大数据重点企业，推动大数据在制造业产品全生命周期和业务全流程的应用。</w:t>
      </w:r>
      <w:r>
        <w:rPr>
          <w:rFonts w:hint="default" w:ascii="Times New Roman" w:hAnsi="Times New Roman" w:cs="Times New Roman"/>
        </w:rPr>
        <w:t>加快培育基于人工智能、云计算、物联网等新型基础设施和科技创新的数据服务、信息服务。加快大数据交易产业发展，探索建设第三方数据交易平台。</w:t>
      </w:r>
    </w:p>
    <w:p>
      <w:pPr>
        <w:pStyle w:val="181"/>
        <w:pageBreakBefore w:val="0"/>
        <w:spacing w:after="156" w:line="580" w:lineRule="exact"/>
        <w:jc w:val="center"/>
        <w:rPr>
          <w:rFonts w:hint="default" w:ascii="Times New Roman" w:hAnsi="Times New Roman" w:cs="Times New Roman"/>
          <w:lang w:val="zh-CN"/>
        </w:rPr>
      </w:pPr>
      <w:r>
        <w:rPr>
          <w:rFonts w:hint="default" w:ascii="Times New Roman" w:hAnsi="Times New Roman" w:cs="Times New Roman"/>
        </w:rPr>
        <w:t>专栏</w:t>
      </w:r>
      <w:r>
        <w:rPr>
          <w:rFonts w:hint="default" w:ascii="Times New Roman" w:hAnsi="Times New Roman" w:cs="Times New Roman"/>
        </w:rPr>
        <w:fldChar w:fldCharType="begin"/>
      </w:r>
      <w:r>
        <w:rPr>
          <w:rFonts w:hint="default" w:ascii="Times New Roman" w:hAnsi="Times New Roman" w:cs="Times New Roman"/>
        </w:rPr>
        <w:instrText xml:space="preserve"> SEQ 专栏 \* ARABIC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t>：软件与信息服务重点任务</w:t>
      </w:r>
    </w:p>
    <w:tbl>
      <w:tblPr>
        <w:tblStyle w:val="29"/>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8" w:type="dxa"/>
            <w:noWrap w:val="0"/>
          </w:tcPr>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推动软件开发应用。</w:t>
            </w:r>
            <w:r>
              <w:rPr>
                <w:rFonts w:hint="default" w:ascii="Times New Roman" w:hAnsi="Times New Roman" w:cs="Times New Roman"/>
                <w:sz w:val="28"/>
                <w:szCs w:val="28"/>
              </w:rPr>
              <w:t>在智慧企业、政务服务、医疗健康、智慧城市等领域发展智能化软件解决方案，探索“软件+数据+互联网”等新模式。加强物联网、5G等领域的应用创新发展，推动开发智慧环卫机器人全产业链协同作业生态链系统，支持基于云应用、云安全开展基础软件、应用软件的开发研究。</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建设一批技术中心。</w:t>
            </w:r>
            <w:r>
              <w:rPr>
                <w:rFonts w:hint="default" w:ascii="Times New Roman" w:hAnsi="Times New Roman" w:cs="Times New Roman"/>
                <w:sz w:val="28"/>
                <w:szCs w:val="28"/>
              </w:rPr>
              <w:t>支持企业与高校科研机构加强合作，建设一批大数据企业技术中心、工程（技术）研究中心、重点实验室和应用中心，开展大数据分析关键算法、共性基础技术和解决方案等研究。推动大数据创新创业，支持岭南V谷、立白综合科技园等发展创客空间、开源社区、社会实验室、智慧小企业创业基地等大数据双创平台。</w:t>
            </w:r>
          </w:p>
        </w:tc>
      </w:tr>
    </w:tbl>
    <w:p>
      <w:pPr>
        <w:pStyle w:val="186"/>
        <w:keepNext/>
        <w:keepLines/>
        <w:pageBreakBefore w:val="0"/>
        <w:widowControl w:val="0"/>
        <w:shd w:val="clear" w:fill="auto"/>
        <w:snapToGrid/>
        <w:spacing w:before="0" w:after="0" w:line="580" w:lineRule="exact"/>
        <w:ind w:firstLine="643" w:firstLineChars="200"/>
        <w:jc w:val="both"/>
        <w:outlineLvl w:val="2"/>
        <w:rPr>
          <w:rFonts w:ascii="Times New Roman" w:hAnsi="Times New Roman" w:eastAsia="仿宋_GB2312" w:cs="Times New Roman"/>
          <w:b/>
          <w:bCs/>
          <w:sz w:val="32"/>
          <w:szCs w:val="32"/>
          <w:lang w:val="en-US" w:eastAsia="zh-CN" w:bidi="ar-SA"/>
        </w:rPr>
      </w:pPr>
    </w:p>
    <w:p>
      <w:pPr>
        <w:pStyle w:val="186"/>
        <w:keepNext/>
        <w:keepLines/>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5.</w:t>
      </w:r>
      <w:r>
        <w:rPr>
          <w:rFonts w:hint="default" w:ascii="Times New Roman" w:hAnsi="Times New Roman" w:eastAsia="仿宋_GB2312" w:cs="Times New Roman"/>
          <w:b/>
          <w:bCs/>
          <w:sz w:val="32"/>
          <w:szCs w:val="32"/>
          <w:lang w:val="en-US" w:eastAsia="zh-CN" w:bidi="ar-SA"/>
        </w:rPr>
        <w:t>工业互联网</w:t>
      </w:r>
    </w:p>
    <w:p>
      <w:pPr>
        <w:pageBreakBefore w:val="0"/>
        <w:spacing w:line="580" w:lineRule="exact"/>
        <w:ind w:left="-6" w:leftChars="0" w:firstLine="640" w:firstLineChars="200"/>
        <w:rPr>
          <w:rFonts w:hint="default" w:ascii="Times New Roman" w:hAnsi="Times New Roman" w:cs="Times New Roman"/>
          <w:lang w:bidi="ar"/>
        </w:rPr>
      </w:pPr>
      <w:r>
        <w:rPr>
          <w:rFonts w:hint="default" w:ascii="Times New Roman" w:hAnsi="Times New Roman" w:cs="Times New Roman"/>
          <w:lang w:bidi="ar"/>
        </w:rPr>
        <w:t>加快探索面向现代都市工业行业的标识解析二级节点建设和产业化应用模式，开展关键产品追溯、供应链管理、个性化定制、产品全生命周期管理等标识解析集成创新应用。培育壮大工业互联网标识的创新应用企业，推动面向PCB行业、医药行业的二级节点持续挖掘应用场景。</w:t>
      </w:r>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lang w:val="zh-CN"/>
        </w:rPr>
        <w:t>做大做强一批</w:t>
      </w:r>
      <w:r>
        <w:rPr>
          <w:rFonts w:hint="default" w:ascii="Times New Roman" w:hAnsi="Times New Roman" w:cs="Times New Roman"/>
        </w:rPr>
        <w:t>工业垂直细分行业的交易平台</w:t>
      </w:r>
      <w:r>
        <w:rPr>
          <w:rFonts w:hint="default" w:ascii="Times New Roman" w:hAnsi="Times New Roman" w:cs="Times New Roman"/>
          <w:lang w:val="zh-CN"/>
        </w:rPr>
        <w:t>，鼓励都市消费、生物医药等大型制造企业采购销售平台向行业电子商务平台转型，整合上下游资源。</w:t>
      </w:r>
      <w:r>
        <w:rPr>
          <w:rFonts w:hint="default" w:ascii="Times New Roman" w:hAnsi="Times New Roman" w:cs="Times New Roman"/>
        </w:rPr>
        <w:t>推动中烟、广药、工控等制造业龙头企业加快建设集成研发设计、集中采购、组织生产、物流分销、终端管理、金融服务、品牌营销等功能的跨区域、跨行业工业互联网综合服务平台，提供供应链管理、协同制造、智能制造、工业设计等服务。发挥好广药、国药、大参林、大翔药业等骨干企业的辐射带动作用，利用好清平中药材市场、广州国览医疗器械城等医药健康产业重要载体，推进医药流通领域的物联网系统建设。</w:t>
      </w:r>
    </w:p>
    <w:p>
      <w:pPr>
        <w:pStyle w:val="181"/>
        <w:pageBreakBefore w:val="0"/>
        <w:spacing w:after="156" w:line="580" w:lineRule="exact"/>
        <w:jc w:val="center"/>
        <w:rPr>
          <w:rFonts w:hint="default" w:ascii="Times New Roman" w:hAnsi="Times New Roman" w:cs="Times New Roman"/>
          <w:lang w:val="zh-CN"/>
        </w:rPr>
      </w:pPr>
      <w:r>
        <w:rPr>
          <w:rFonts w:hint="default" w:ascii="Times New Roman" w:hAnsi="Times New Roman" w:cs="Times New Roman"/>
        </w:rPr>
        <w:t>专栏</w:t>
      </w:r>
      <w:r>
        <w:rPr>
          <w:rFonts w:hint="default" w:ascii="Times New Roman" w:hAnsi="Times New Roman" w:cs="Times New Roman"/>
        </w:rPr>
        <w:fldChar w:fldCharType="begin"/>
      </w:r>
      <w:r>
        <w:rPr>
          <w:rFonts w:hint="default" w:ascii="Times New Roman" w:hAnsi="Times New Roman" w:cs="Times New Roman"/>
        </w:rPr>
        <w:instrText xml:space="preserve"> SEQ 专栏 \* ARABIC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t>：工业互联网重点任务</w:t>
      </w:r>
    </w:p>
    <w:tbl>
      <w:tblPr>
        <w:tblStyle w:val="29"/>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8" w:type="dxa"/>
            <w:noWrap w:val="0"/>
          </w:tcPr>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打造工业互联网应用标杆示范项目。</w:t>
            </w:r>
            <w:r>
              <w:rPr>
                <w:rFonts w:hint="default" w:ascii="Times New Roman" w:hAnsi="Times New Roman" w:cs="Times New Roman"/>
                <w:sz w:val="28"/>
                <w:szCs w:val="28"/>
              </w:rPr>
              <w:t>围绕电子信息、装备、烟草、塑料、医药等重点领域转型升级需求，支持制造业龙头企业建设面向细分行业的工业互联网平台，围绕企业综合管控智能化、产品全生命周期优化、产业链协同优化等重点方向，打造工业互联网应用标杆示范项目。</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推动工业互联网创新应用。</w:t>
            </w:r>
            <w:r>
              <w:rPr>
                <w:rFonts w:hint="default" w:ascii="Times New Roman" w:hAnsi="Times New Roman" w:cs="Times New Roman"/>
                <w:sz w:val="28"/>
                <w:szCs w:val="28"/>
              </w:rPr>
              <w:t>积极培育智能监测、远程诊断等工业互联网创新应用，鼓励发展以个性化定制、柔性化生产、资源共享为特征的虚拟生产、云制造等新模式。</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探索云计算等新技术应用。</w:t>
            </w:r>
            <w:r>
              <w:rPr>
                <w:rFonts w:hint="default" w:ascii="Times New Roman" w:hAnsi="Times New Roman" w:cs="Times New Roman"/>
                <w:sz w:val="28"/>
                <w:szCs w:val="28"/>
              </w:rPr>
              <w:t>培育引入云计算产品和服务企业，围绕政务、产业、金融、教育、民生、城市管理等领域应用需求，建设公共服务云平台，提供云应用服务。</w:t>
            </w:r>
          </w:p>
        </w:tc>
      </w:tr>
    </w:tbl>
    <w:p>
      <w:pPr>
        <w:pStyle w:val="186"/>
        <w:keepNext w:val="0"/>
        <w:keepLines w:val="0"/>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6.</w:t>
      </w:r>
      <w:r>
        <w:rPr>
          <w:rFonts w:hint="default" w:ascii="Times New Roman" w:hAnsi="Times New Roman" w:eastAsia="仿宋_GB2312" w:cs="Times New Roman"/>
          <w:b/>
          <w:bCs/>
          <w:sz w:val="32"/>
          <w:szCs w:val="32"/>
          <w:lang w:val="en-US" w:eastAsia="zh-CN" w:bidi="ar-SA"/>
        </w:rPr>
        <w:t>节能环保服务</w:t>
      </w:r>
    </w:p>
    <w:p>
      <w:pPr>
        <w:keepNext w:val="0"/>
        <w:keepLines w:val="0"/>
        <w:pageBreakBefore w:val="0"/>
        <w:widowControl w:val="0"/>
        <w:snapToGrid/>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加快研发推广节能环保先进前沿技术，高效整合节能环保创新与服务资源，打造覆盖生产环节全流程的节能环保服务平台。支持现有环境治理和生态保护领域龙头企业向融合行业技术研发、核心产品生产、成套装备制造、设计、施工、运营的“制造+服务”型企业发展。</w:t>
      </w:r>
    </w:p>
    <w:p>
      <w:pPr>
        <w:pageBreakBefore w:val="0"/>
        <w:spacing w:line="580" w:lineRule="exact"/>
        <w:ind w:left="-6" w:leftChars="0" w:firstLine="640" w:firstLineChars="200"/>
        <w:rPr>
          <w:rFonts w:hint="default" w:ascii="Times New Roman" w:hAnsi="Times New Roman" w:cs="Times New Roman"/>
          <w:color w:val="000000"/>
          <w:szCs w:val="32"/>
          <w:shd w:val="clear" w:color="auto" w:fill="FFFFFF"/>
        </w:rPr>
      </w:pPr>
      <w:r>
        <w:rPr>
          <w:rFonts w:hint="default" w:ascii="Times New Roman" w:hAnsi="Times New Roman" w:cs="Times New Roman"/>
          <w:color w:val="000000"/>
          <w:szCs w:val="32"/>
          <w:shd w:val="clear" w:color="auto" w:fill="FFFFFF"/>
        </w:rPr>
        <w:t>围绕绿色节能，</w:t>
      </w:r>
      <w:r>
        <w:rPr>
          <w:rFonts w:hint="default" w:ascii="Times New Roman" w:hAnsi="Times New Roman" w:cs="Times New Roman"/>
        </w:rPr>
        <w:t>重点发展绿色低碳管理服务、节能技术服务、节能咨询服务、节能推广和交易服务等产业领域。</w:t>
      </w:r>
      <w:r>
        <w:rPr>
          <w:rFonts w:hint="default" w:ascii="Times New Roman" w:hAnsi="Times New Roman" w:cs="Times New Roman"/>
          <w:shd w:val="clear" w:color="auto" w:fill="FFFFFF"/>
        </w:rPr>
        <w:t>探索创新合同降碳管理、低碳整体解决方案等服务模式，</w:t>
      </w:r>
      <w:r>
        <w:rPr>
          <w:rFonts w:hint="default" w:ascii="Times New Roman" w:hAnsi="Times New Roman" w:cs="Times New Roman"/>
        </w:rPr>
        <w:t>加强市政、工业、商用、民用领域的节能环保新技术、新工艺、新产品和新装备推广应用，探索制定节能环保整体解决方案。发展节能环保规划制定、战略研究、投融资服务、业主顾问、管家服务、“节能医生”和“环保医院”诊断、节能环保交易评估、节能环保效果仲裁等新兴咨询业务。</w:t>
      </w:r>
      <w:r>
        <w:rPr>
          <w:rFonts w:hint="default" w:ascii="Times New Roman" w:hAnsi="Times New Roman" w:cs="Times New Roman"/>
          <w:shd w:val="clear" w:color="auto" w:fill="FFFFFF"/>
        </w:rPr>
        <w:t>加快发展生态保护和节能减排工程咨询、</w:t>
      </w:r>
      <w:r>
        <w:rPr>
          <w:rFonts w:hint="default" w:ascii="Times New Roman" w:hAnsi="Times New Roman" w:cs="Times New Roman"/>
        </w:rPr>
        <w:t>节能评估、环境影响评价、清洁生产审核、节能量审核、能源审计、绿色产品认证、社会化监测等</w:t>
      </w:r>
      <w:r>
        <w:rPr>
          <w:rFonts w:hint="default" w:ascii="Times New Roman" w:hAnsi="Times New Roman" w:cs="Times New Roman"/>
          <w:shd w:val="clear" w:color="auto" w:fill="FFFFFF"/>
        </w:rPr>
        <w:t>第三方节能环保服务。</w:t>
      </w:r>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围绕提升污染防治，重点发展环保技术咨询、环境影响评价、环境工程监理、环境监测治理及信息化、环保技术成果转化、污染防治设施运营维护、清洁生产审核、环境管理体系认证、环境规划编制等环保服务。</w:t>
      </w:r>
      <w:r>
        <w:rPr>
          <w:rFonts w:hint="default" w:ascii="Times New Roman" w:hAnsi="Times New Roman" w:cs="Times New Roman"/>
          <w:color w:val="000000"/>
          <w:szCs w:val="32"/>
          <w:shd w:val="clear" w:color="auto" w:fill="FFFFFF"/>
        </w:rPr>
        <w:t>以智慧环保、环境监测、环境污染第三方治理为重点，加快发展网格化监测服务、应急环境监测、区域环境治理、智慧监测检测分析、大数据平台等环保服务。</w:t>
      </w:r>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围绕资源回收利用，重点发展再生物资回收与批发、资源循环化利用等资源回收与利用服务。支持资源回收行业融合应用互联网、大数据、人工智能等新兴技术，开展信息采集、数据分析、流向监测，加快构建回收、运输、加工利用为一体的固废与回收网络体系，推动再生资源溯源循环增值循环。探索建立资源再生交易平台，推广“互联网+回收”新模式，构建再生资源回收体系和废弃物逆向物流交易平台。</w:t>
      </w:r>
    </w:p>
    <w:p>
      <w:pPr>
        <w:pStyle w:val="186"/>
        <w:keepNext/>
        <w:keepLines/>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7.</w:t>
      </w:r>
      <w:r>
        <w:rPr>
          <w:rFonts w:hint="default" w:ascii="Times New Roman" w:hAnsi="Times New Roman" w:eastAsia="仿宋_GB2312" w:cs="Times New Roman"/>
          <w:b/>
          <w:bCs/>
          <w:sz w:val="32"/>
          <w:szCs w:val="32"/>
          <w:lang w:val="en-US" w:eastAsia="zh-CN" w:bidi="ar-SA"/>
        </w:rPr>
        <w:t>检验检测服务</w:t>
      </w:r>
    </w:p>
    <w:p>
      <w:pPr>
        <w:pageBreakBefore w:val="0"/>
        <w:spacing w:line="580" w:lineRule="exact"/>
        <w:ind w:left="-6" w:leftChars="0" w:firstLine="640" w:firstLineChars="200"/>
        <w:rPr>
          <w:rFonts w:hint="default" w:ascii="Times New Roman" w:hAnsi="Times New Roman" w:cs="Times New Roman"/>
          <w:szCs w:val="32"/>
        </w:rPr>
      </w:pPr>
      <w:r>
        <w:rPr>
          <w:rFonts w:hint="default" w:ascii="Times New Roman" w:hAnsi="Times New Roman" w:cs="Times New Roman"/>
        </w:rPr>
        <w:t>推进检验检测服务在建筑工程等领域广泛应用，壮大一批建筑工程检验检测企业。加快培育引进生物医药检验检测企业，</w:t>
      </w:r>
      <w:r>
        <w:rPr>
          <w:rFonts w:hint="default" w:ascii="Times New Roman" w:hAnsi="Times New Roman" w:cs="Times New Roman"/>
          <w:szCs w:val="32"/>
        </w:rPr>
        <w:t>建立区域性权威中药材第三方检测服务平台，针对中药材加工、中药饮片生产过程开展质量标准研究，支持新型第三方医学检验检测技术开发和服务模式创新，以医学检验、卫生检验为核心，对接美国FDA和欧盟CE认证体系，促进第三方医学检测行业规范化、标准化发展。</w:t>
      </w:r>
    </w:p>
    <w:p>
      <w:pPr>
        <w:pageBreakBefore w:val="0"/>
        <w:spacing w:line="580" w:lineRule="exact"/>
        <w:ind w:left="-6" w:leftChars="0" w:firstLine="640" w:firstLineChars="200"/>
        <w:rPr>
          <w:rFonts w:hint="default" w:ascii="Times New Roman" w:hAnsi="Times New Roman" w:cs="Times New Roman"/>
          <w:lang w:val="zh-CN"/>
        </w:rPr>
      </w:pPr>
      <w:r>
        <w:rPr>
          <w:rFonts w:hint="default" w:ascii="Times New Roman" w:hAnsi="Times New Roman" w:cs="Times New Roman"/>
        </w:rPr>
        <w:t>积极发展检验检测认证服务，</w:t>
      </w:r>
      <w:r>
        <w:rPr>
          <w:rFonts w:hint="default" w:ascii="Times New Roman" w:hAnsi="Times New Roman" w:cs="Times New Roman"/>
          <w:lang w:val="zh-CN"/>
        </w:rPr>
        <w:t>加强观测、分析、测试、检验、标准、认证等基础能力建设，</w:t>
      </w:r>
      <w:r>
        <w:rPr>
          <w:rFonts w:hint="default" w:ascii="Times New Roman" w:hAnsi="Times New Roman" w:cs="Times New Roman"/>
        </w:rPr>
        <w:t>打造形成集研发设计孵化、检验检测认证、标准制修订、培训配套服务于一体的检验检测产业链。</w:t>
      </w:r>
      <w:r>
        <w:rPr>
          <w:rFonts w:hint="default" w:ascii="Times New Roman" w:hAnsi="Times New Roman" w:cs="Times New Roman"/>
          <w:lang w:val="zh-CN"/>
        </w:rPr>
        <w:t>强化科技创新、标准、计量、认证认可和检验检测等基础，集聚高端要素，推进规则互认、标准互补、产研互动、信息互通。</w:t>
      </w:r>
    </w:p>
    <w:p>
      <w:pPr>
        <w:pStyle w:val="181"/>
        <w:pageBreakBefore w:val="0"/>
        <w:spacing w:after="156" w:line="580" w:lineRule="exact"/>
        <w:jc w:val="center"/>
        <w:rPr>
          <w:rFonts w:hint="default" w:ascii="Times New Roman" w:hAnsi="Times New Roman" w:cs="Times New Roman"/>
          <w:lang w:val="zh-CN"/>
        </w:rPr>
      </w:pPr>
      <w:r>
        <w:rPr>
          <w:rFonts w:hint="default" w:ascii="Times New Roman" w:hAnsi="Times New Roman" w:cs="Times New Roman"/>
        </w:rPr>
        <w:t>专栏</w:t>
      </w:r>
      <w:r>
        <w:rPr>
          <w:rFonts w:hint="default" w:ascii="Times New Roman" w:hAnsi="Times New Roman" w:cs="Times New Roman"/>
        </w:rPr>
        <w:fldChar w:fldCharType="begin"/>
      </w:r>
      <w:r>
        <w:rPr>
          <w:rFonts w:hint="default" w:ascii="Times New Roman" w:hAnsi="Times New Roman" w:cs="Times New Roman"/>
        </w:rPr>
        <w:instrText xml:space="preserve"> SEQ 专栏 \* ARABIC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t>：检验检测重点任务</w:t>
      </w:r>
    </w:p>
    <w:tbl>
      <w:tblPr>
        <w:tblStyle w:val="29"/>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9" w:type="dxa"/>
            <w:noWrap w:val="0"/>
          </w:tcPr>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建设一批重点检测平台和认证中心。</w:t>
            </w:r>
            <w:r>
              <w:rPr>
                <w:rFonts w:hint="default" w:ascii="Times New Roman" w:hAnsi="Times New Roman" w:cs="Times New Roman"/>
                <w:sz w:val="28"/>
                <w:szCs w:val="28"/>
              </w:rPr>
              <w:t>在都市消费工业、新材料、智能装备等领域建设一批重点检测平台和认证中心。推进检验检测机构市场化运营，提升专业化服务水平。</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探索检验检测服务供需对接模式。</w:t>
            </w:r>
            <w:r>
              <w:rPr>
                <w:rFonts w:hint="default" w:ascii="Times New Roman" w:hAnsi="Times New Roman" w:cs="Times New Roman"/>
                <w:sz w:val="28"/>
                <w:szCs w:val="28"/>
              </w:rPr>
              <w:t>鼓励检验检测技术服务机构由提供单一认证型服务向提供综合检测服务延伸。推动“互联网+”检验检测服务发展，打通检验检测认证走向企业和消费者的“最后一公里”。</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推动检验检测服务与国际衔接。</w:t>
            </w:r>
            <w:r>
              <w:rPr>
                <w:rFonts w:hint="default" w:ascii="Times New Roman" w:hAnsi="Times New Roman" w:cs="Times New Roman"/>
                <w:sz w:val="28"/>
                <w:szCs w:val="28"/>
              </w:rPr>
              <w:t>大力引进港澳一流服务型企业和机构，推动检验检测认证机构按国际规则开展认证结果和技术能力国际互认。</w:t>
            </w:r>
          </w:p>
        </w:tc>
      </w:tr>
    </w:tbl>
    <w:p>
      <w:pPr>
        <w:pStyle w:val="6"/>
        <w:pageBreakBefore w:val="0"/>
        <w:widowControl w:val="0"/>
        <w:numPr>
          <w:ilvl w:val="0"/>
          <w:numId w:val="0"/>
        </w:numPr>
        <w:spacing w:before="0" w:after="0" w:line="580" w:lineRule="exact"/>
        <w:ind w:left="0" w:leftChars="0" w:firstLine="640" w:firstLineChars="200"/>
        <w:outlineLvl w:val="1"/>
        <w:rPr>
          <w:rFonts w:hint="default" w:ascii="Times New Roman" w:hAnsi="Times New Roman" w:cs="Times New Roman"/>
        </w:rPr>
      </w:pPr>
      <w:bookmarkStart w:id="20" w:name="_Toc137492990"/>
      <w:bookmarkEnd w:id="20"/>
      <w:bookmarkStart w:id="21" w:name="_Toc137493289"/>
      <w:bookmarkEnd w:id="21"/>
      <w:bookmarkStart w:id="22" w:name="_Toc137492640"/>
      <w:bookmarkEnd w:id="22"/>
      <w:bookmarkStart w:id="23" w:name="_Toc137493623"/>
      <w:bookmarkEnd w:id="23"/>
      <w:bookmarkStart w:id="24" w:name="_Toc137493093"/>
      <w:bookmarkEnd w:id="24"/>
      <w:bookmarkStart w:id="25" w:name="_Toc137496383"/>
      <w:bookmarkEnd w:id="25"/>
      <w:bookmarkStart w:id="26" w:name="_Toc8294"/>
      <w:r>
        <w:rPr>
          <w:rFonts w:hint="eastAsia" w:ascii="Times New Roman" w:hAnsi="Times New Roman" w:eastAsia="楷体" w:cs="Times New Roman"/>
          <w:b w:val="0"/>
          <w:bCs w:val="0"/>
          <w:color w:val="000000"/>
          <w:spacing w:val="0"/>
          <w:position w:val="0"/>
          <w:sz w:val="32"/>
          <w:szCs w:val="32"/>
          <w:lang w:val="en-US" w:eastAsia="zh-CN" w:bidi="ar-SA"/>
        </w:rPr>
        <w:t>（三）</w:t>
      </w:r>
      <w:r>
        <w:rPr>
          <w:rFonts w:hint="default" w:ascii="Times New Roman" w:hAnsi="Times New Roman" w:eastAsia="楷体" w:cs="Times New Roman"/>
          <w:b w:val="0"/>
          <w:bCs w:val="0"/>
          <w:color w:val="000000"/>
          <w:spacing w:val="0"/>
          <w:position w:val="0"/>
          <w:sz w:val="32"/>
          <w:szCs w:val="32"/>
          <w:lang w:val="en-US" w:eastAsia="zh-CN" w:bidi="ar-SA"/>
        </w:rPr>
        <w:t>培育高端领域，丰富生产性服务业业态</w:t>
      </w:r>
      <w:bookmarkEnd w:id="26"/>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瞄准生产性服务业高价值领域，争取上级政策支持，找准时机引进创新孵化服务等高端领域，更好发挥高价值领域对其他产业带动作用。</w:t>
      </w:r>
    </w:p>
    <w:p>
      <w:pPr>
        <w:pStyle w:val="186"/>
        <w:keepNext/>
        <w:keepLines/>
        <w:pageBreakBefore w:val="0"/>
        <w:widowControl w:val="0"/>
        <w:shd w:val="clear" w:fill="auto"/>
        <w:snapToGrid/>
        <w:spacing w:before="0" w:after="0" w:line="580" w:lineRule="exact"/>
        <w:ind w:left="0" w:leftChars="0"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8.</w:t>
      </w:r>
      <w:r>
        <w:rPr>
          <w:rFonts w:hint="default" w:ascii="Times New Roman" w:hAnsi="Times New Roman" w:eastAsia="仿宋_GB2312" w:cs="Times New Roman"/>
          <w:b/>
          <w:bCs/>
          <w:sz w:val="32"/>
          <w:szCs w:val="32"/>
          <w:lang w:val="en-US" w:eastAsia="zh-CN" w:bidi="ar-SA"/>
        </w:rPr>
        <w:t>创新孵化服务</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rPr>
        <w:t>重点发展研究开发、创业孵化、科技咨询等服务，做大做强科技成果转化、技术转移、知识产权运营交易等环节。积极融入粤港澳大湾区科技创新发展战略，整合科技创新资源和创业服务资源，发挥文化同源及优质公共服务优势，为广州及珠西初创型企业提供创新孵化服务。</w:t>
      </w:r>
    </w:p>
    <w:p>
      <w:pPr>
        <w:pageBreakBefore w:val="0"/>
        <w:widowControl w:val="0"/>
        <w:spacing w:line="580" w:lineRule="exact"/>
        <w:ind w:left="0" w:leftChars="0" w:firstLine="640" w:firstLineChars="200"/>
        <w:rPr>
          <w:rFonts w:hint="default" w:ascii="Times New Roman" w:hAnsi="Times New Roman" w:cs="Times New Roman"/>
        </w:rPr>
      </w:pPr>
      <w:r>
        <w:rPr>
          <w:rFonts w:hint="default" w:ascii="Times New Roman" w:hAnsi="Times New Roman" w:cs="Times New Roman"/>
          <w:shd w:val="clear" w:color="auto" w:fill="FFFFFF"/>
        </w:rPr>
        <w:t>以满足科技创新需求和提升产业创新能力为导向，</w:t>
      </w:r>
      <w:r>
        <w:rPr>
          <w:rFonts w:hint="default" w:ascii="Times New Roman" w:hAnsi="Times New Roman" w:cs="Times New Roman"/>
        </w:rPr>
        <w:t>完善科技服务机构体系，推进众创、众包、众扶、众筹发展，推广“孵化+创投”等孵化模式，打造“创业苗圃+孵化器+加速器”的创业孵化服务链条。引进一批创新创业园区运营商和企业，不断完善服务内容和方式，最大限度满足企业对发展空间、技术研发、资本运作、人力资源、市场开拓和国际合作等方面的个性化发展需求。</w:t>
      </w:r>
    </w:p>
    <w:p>
      <w:pPr>
        <w:pStyle w:val="181"/>
        <w:pageBreakBefore w:val="0"/>
        <w:spacing w:after="156" w:line="580" w:lineRule="exact"/>
        <w:jc w:val="center"/>
        <w:rPr>
          <w:rFonts w:hint="default" w:ascii="Times New Roman" w:hAnsi="Times New Roman" w:cs="Times New Roman"/>
          <w:lang w:val="zh-CN"/>
        </w:rPr>
      </w:pPr>
      <w:r>
        <w:rPr>
          <w:rFonts w:hint="default" w:ascii="Times New Roman" w:hAnsi="Times New Roman" w:cs="Times New Roman"/>
        </w:rPr>
        <w:t>专栏</w:t>
      </w:r>
      <w:r>
        <w:rPr>
          <w:rFonts w:hint="default" w:ascii="Times New Roman" w:hAnsi="Times New Roman" w:cs="Times New Roman"/>
        </w:rPr>
        <w:fldChar w:fldCharType="begin"/>
      </w:r>
      <w:r>
        <w:rPr>
          <w:rFonts w:hint="default" w:ascii="Times New Roman" w:hAnsi="Times New Roman" w:cs="Times New Roman"/>
        </w:rPr>
        <w:instrText xml:space="preserve"> SEQ 专栏 \* ARABIC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t>：创新孵化重点任务</w:t>
      </w:r>
    </w:p>
    <w:tbl>
      <w:tblPr>
        <w:tblStyle w:val="29"/>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8" w:type="dxa"/>
            <w:noWrap w:val="0"/>
          </w:tcPr>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加快建设创新创业平台。</w:t>
            </w:r>
            <w:r>
              <w:rPr>
                <w:rFonts w:hint="default" w:ascii="Times New Roman" w:hAnsi="Times New Roman" w:cs="Times New Roman"/>
                <w:sz w:val="28"/>
                <w:szCs w:val="28"/>
              </w:rPr>
              <w:t>整合现有科技企业孵化器和众创空间资源，建立相互资源共享、利益共担的合作关系，完善创新创业载体联动平台。支持建设科技创新资源和创业服务的云平台，为创业创新者提供跨行业、跨学科、跨地域的线上交流和资源链接服务。</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推进产学研用合作。</w:t>
            </w:r>
            <w:r>
              <w:rPr>
                <w:rFonts w:hint="default" w:ascii="Times New Roman" w:hAnsi="Times New Roman" w:cs="Times New Roman"/>
                <w:sz w:val="28"/>
                <w:szCs w:val="28"/>
              </w:rPr>
              <w:t>鼓励研发机构与高校合作，共同建立“研究院+公司”混合所有制模式的新型研发机构。引导科技企业孵化器与技术转移、科技金融等科技服务机构组建孵化服务联盟，培育以创新示范基地、网上创新工厂为代表的新型科技创新载体。</w:t>
            </w:r>
          </w:p>
          <w:p>
            <w:pPr>
              <w:keepNext w:val="0"/>
              <w:keepLines w:val="0"/>
              <w:pageBreakBefore w:val="0"/>
              <w:widowControl w:val="0"/>
              <w:snapToGrid/>
              <w:spacing w:line="460" w:lineRule="exact"/>
              <w:ind w:left="0" w:leftChars="0" w:firstLine="562" w:firstLineChars="200"/>
              <w:rPr>
                <w:rFonts w:hint="default" w:ascii="Times New Roman" w:hAnsi="Times New Roman" w:cs="Times New Roman"/>
                <w:sz w:val="28"/>
                <w:szCs w:val="28"/>
              </w:rPr>
            </w:pPr>
            <w:r>
              <w:rPr>
                <w:rFonts w:hint="default" w:ascii="Times New Roman" w:hAnsi="Times New Roman" w:cs="Times New Roman"/>
                <w:b/>
                <w:sz w:val="28"/>
                <w:szCs w:val="28"/>
              </w:rPr>
              <w:t>完善知识产权交易和中介服务体系。</w:t>
            </w:r>
            <w:r>
              <w:rPr>
                <w:rFonts w:hint="default" w:ascii="Times New Roman" w:hAnsi="Times New Roman" w:cs="Times New Roman"/>
                <w:sz w:val="28"/>
                <w:szCs w:val="28"/>
              </w:rPr>
              <w:t>强化电子商务、大数据、云计算等新领域、新业态的知识产权交易和中介服务，为相关行业提供国内外设计信息、设计对接、设计业务交易、展览等服务。加快探索商业模式创新和跨区域知识产业的有效保护，加快数字版权保护技术研发，扩大知识产权基础信息资源共享范围，促进知识产权协同创新。</w:t>
            </w:r>
          </w:p>
        </w:tc>
      </w:tr>
    </w:tbl>
    <w:p>
      <w:pPr>
        <w:pStyle w:val="4"/>
        <w:pageBreakBefore w:val="0"/>
        <w:spacing w:line="580" w:lineRule="exact"/>
        <w:ind w:left="-6" w:leftChars="0" w:firstLine="640" w:firstLineChars="200"/>
        <w:outlineLvl w:val="0"/>
        <w:rPr>
          <w:rFonts w:hint="default" w:ascii="Times New Roman" w:hAnsi="Times New Roman" w:eastAsia="黑体" w:cs="Times New Roman"/>
          <w:b w:val="0"/>
          <w:bCs w:val="0"/>
          <w:color w:val="auto"/>
          <w:spacing w:val="0"/>
          <w:position w:val="0"/>
          <w:sz w:val="32"/>
          <w:szCs w:val="44"/>
          <w:lang w:val="en-US" w:eastAsia="zh-CN" w:bidi="ar-SA"/>
        </w:rPr>
      </w:pPr>
      <w:bookmarkStart w:id="27" w:name="_Toc4653"/>
      <w:r>
        <w:rPr>
          <w:rFonts w:hint="default" w:ascii="Times New Roman" w:hAnsi="Times New Roman" w:eastAsia="黑体" w:cs="Times New Roman"/>
          <w:b w:val="0"/>
          <w:bCs w:val="0"/>
          <w:color w:val="auto"/>
          <w:spacing w:val="0"/>
          <w:position w:val="0"/>
          <w:sz w:val="32"/>
          <w:szCs w:val="44"/>
          <w:lang w:val="en-US" w:eastAsia="zh-CN" w:bidi="ar-SA"/>
        </w:rPr>
        <w:t>四、构筑协同化区域新格局</w:t>
      </w:r>
      <w:bookmarkEnd w:id="27"/>
    </w:p>
    <w:p>
      <w:pPr>
        <w:pageBreakBefore w:val="0"/>
        <w:spacing w:line="580" w:lineRule="exact"/>
        <w:ind w:left="-6" w:leftChars="0" w:firstLine="640" w:firstLineChars="200"/>
        <w:rPr>
          <w:rFonts w:hint="default" w:ascii="Times New Roman" w:hAnsi="Times New Roman" w:cs="Times New Roman"/>
          <w:lang w:eastAsia="zh-CN"/>
        </w:rPr>
      </w:pPr>
      <w:r>
        <w:rPr>
          <w:rFonts w:hint="default" w:ascii="Times New Roman" w:hAnsi="Times New Roman" w:cs="Times New Roman"/>
        </w:rPr>
        <w:t>生产性服务业辐射性更广，跨区域特征明显。</w:t>
      </w:r>
      <w:r>
        <w:rPr>
          <w:rFonts w:hint="default" w:ascii="Times New Roman" w:hAnsi="Times New Roman" w:cs="Times New Roman"/>
          <w:shd w:val="clear" w:color="auto" w:fill="FFFFFF"/>
        </w:rPr>
        <w:t>围绕粤港澳大湾区产业发展格局，面向珠西六市及广州制造业发展需求，</w:t>
      </w:r>
      <w:r>
        <w:rPr>
          <w:rFonts w:hint="default" w:ascii="Times New Roman" w:hAnsi="Times New Roman" w:cs="Times New Roman"/>
        </w:rPr>
        <w:t>着眼“湾区所向、港澳所需、荔湾所能”，聚焦重点产业领域，促进产业深度合作，探索建立多层次区域产业协同新格局。</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28" w:name="_Toc31651"/>
      <w:r>
        <w:rPr>
          <w:rFonts w:hint="eastAsia" w:ascii="Times New Roman" w:hAnsi="Times New Roman" w:eastAsia="楷体" w:cs="Times New Roman"/>
          <w:b w:val="0"/>
          <w:bCs w:val="0"/>
          <w:color w:val="000000"/>
          <w:sz w:val="32"/>
          <w:szCs w:val="32"/>
          <w:lang w:val="en-US" w:eastAsia="zh-CN" w:bidi="ar-SA"/>
        </w:rPr>
        <w:t>（一）</w:t>
      </w:r>
      <w:r>
        <w:rPr>
          <w:rFonts w:hint="default" w:ascii="Times New Roman" w:hAnsi="Times New Roman" w:eastAsia="楷体" w:cs="Times New Roman"/>
          <w:b w:val="0"/>
          <w:bCs w:val="0"/>
          <w:color w:val="000000"/>
          <w:sz w:val="32"/>
          <w:szCs w:val="32"/>
          <w:lang w:val="en-US" w:eastAsia="zh-CN" w:bidi="ar-SA"/>
        </w:rPr>
        <w:t>融入广州西部产业带</w:t>
      </w:r>
      <w:bookmarkEnd w:id="28"/>
    </w:p>
    <w:p>
      <w:pPr>
        <w:pageBreakBefore w:val="0"/>
        <w:spacing w:line="580" w:lineRule="exact"/>
        <w:ind w:left="-6" w:leftChars="0" w:firstLine="640" w:firstLineChars="200"/>
        <w:rPr>
          <w:rFonts w:hint="default" w:ascii="Times New Roman" w:hAnsi="Times New Roman" w:eastAsia="仿宋" w:cs="Times New Roman"/>
        </w:rPr>
      </w:pPr>
      <w:r>
        <w:rPr>
          <w:rFonts w:hint="default" w:ascii="Times New Roman" w:hAnsi="Times New Roman" w:cs="Times New Roman"/>
        </w:rPr>
        <w:t>面向广州市西部地区根基深厚、特色突出的传统商贸业与制造产业生态，积极融入广州西部产业带，参与构建广州西部国内国际双循环的供应链管理中枢。借力广州传统产业升级，依托我区优势产业基础及广泛应用场景，立足时尚服装、生物医药等产业基础，充分发挥市场主导作用，以供应链联动产业链，重点强化工业设计、电子商务、建筑业和规划设计咨询、广告设计、人力资源、汽车后市场等专业服务领域。</w:t>
      </w:r>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加强与黄埔、白云、花都等工业大区合作，</w:t>
      </w:r>
      <w:r>
        <w:rPr>
          <w:rFonts w:hint="default" w:ascii="Times New Roman" w:hAnsi="Times New Roman" w:cs="Times New Roman"/>
          <w:bCs/>
        </w:rPr>
        <w:t>积极</w:t>
      </w:r>
      <w:r>
        <w:rPr>
          <w:rFonts w:hint="default" w:ascii="Times New Roman" w:hAnsi="Times New Roman" w:cs="Times New Roman"/>
        </w:rPr>
        <w:t>对接其制造业切实需求，强化与番禺南站等片区交流互动，在电子商务、工业互联网、节能环保、工业设计、建筑与规划设计等领域与兄弟区错位竞争，打造荔湾特色。借力南沙辐射带动效应，进一步找准荔湾生产性服务业同南沙合作的契合点，以白鹅潭商务区等平台为依托，吸引和利用南沙所带来的高端要素资源，在工业互联网、检验检测等生产性服务业领域与南沙携手并进。</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29" w:name="_Toc137496390"/>
      <w:bookmarkEnd w:id="29"/>
      <w:bookmarkStart w:id="30" w:name="_Toc137496393"/>
      <w:bookmarkEnd w:id="30"/>
      <w:bookmarkStart w:id="31" w:name="_Toc137496392"/>
      <w:bookmarkEnd w:id="31"/>
      <w:bookmarkStart w:id="32" w:name="_Toc137496391"/>
      <w:bookmarkEnd w:id="32"/>
      <w:bookmarkStart w:id="33" w:name="_Toc137496388"/>
      <w:bookmarkEnd w:id="33"/>
      <w:bookmarkStart w:id="34" w:name="_Toc137496395"/>
      <w:bookmarkEnd w:id="34"/>
      <w:bookmarkStart w:id="35" w:name="_Toc137496394"/>
      <w:bookmarkEnd w:id="35"/>
      <w:bookmarkStart w:id="36" w:name="_Toc137496387"/>
      <w:bookmarkEnd w:id="36"/>
      <w:bookmarkStart w:id="37" w:name="_Toc14351"/>
      <w:r>
        <w:rPr>
          <w:rFonts w:hint="eastAsia" w:ascii="Times New Roman" w:hAnsi="Times New Roman" w:eastAsia="楷体" w:cs="Times New Roman"/>
          <w:b w:val="0"/>
          <w:bCs w:val="0"/>
          <w:color w:val="000000"/>
          <w:sz w:val="32"/>
          <w:szCs w:val="32"/>
          <w:lang w:val="en-US" w:eastAsia="zh-CN" w:bidi="ar-SA"/>
        </w:rPr>
        <w:t>（二）</w:t>
      </w:r>
      <w:r>
        <w:rPr>
          <w:rFonts w:hint="default" w:ascii="Times New Roman" w:hAnsi="Times New Roman" w:eastAsia="楷体" w:cs="Times New Roman"/>
          <w:b w:val="0"/>
          <w:bCs w:val="0"/>
          <w:color w:val="000000"/>
          <w:sz w:val="32"/>
          <w:szCs w:val="32"/>
          <w:lang w:val="en-US" w:eastAsia="zh-CN" w:bidi="ar-SA"/>
        </w:rPr>
        <w:t>推进“荔湾服务+珠西制造”</w:t>
      </w:r>
      <w:bookmarkEnd w:id="37"/>
    </w:p>
    <w:p>
      <w:pPr>
        <w:pageBreakBefore w:val="0"/>
        <w:spacing w:line="580" w:lineRule="exact"/>
        <w:ind w:left="-6" w:leftChars="0" w:firstLine="640" w:firstLineChars="200"/>
        <w:rPr>
          <w:rFonts w:hint="default" w:ascii="Times New Roman" w:hAnsi="Times New Roman" w:cs="Times New Roman"/>
          <w:szCs w:val="32"/>
        </w:rPr>
      </w:pPr>
      <w:r>
        <w:rPr>
          <w:rFonts w:hint="default" w:ascii="Times New Roman" w:hAnsi="Times New Roman" w:cs="Times New Roman"/>
        </w:rPr>
        <w:t>粤港澳大湾区、广佛高质量融合试验区等战略平台的加快建设以及广佛同城化的深度融合，为珠江西岸产业合作</w:t>
      </w:r>
      <w:r>
        <w:rPr>
          <w:rFonts w:hint="default" w:ascii="Times New Roman" w:hAnsi="Times New Roman" w:cs="Times New Roman"/>
          <w:szCs w:val="32"/>
        </w:rPr>
        <w:t>带来广阔空间。进一步</w:t>
      </w:r>
      <w:r>
        <w:rPr>
          <w:rFonts w:hint="default" w:ascii="Times New Roman" w:hAnsi="Times New Roman" w:cs="Times New Roman"/>
        </w:rPr>
        <w:t>贯彻落实《广佛高质量发展融合试验区建设总体规划》，把握广佛“1+4”高质量融合区建设的时代契机，发挥我区先天区位优势，依托传统商贸枢纽门户的独特活力，联动湾区西岸产业资源、组织区域化生产，推动“荔湾服务+珠西生产”，形成若干区域级产业链群。</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一是</w:t>
      </w:r>
      <w:r>
        <w:rPr>
          <w:rFonts w:hint="default" w:ascii="Times New Roman" w:hAnsi="Times New Roman" w:cs="Times New Roman"/>
        </w:rPr>
        <w:t>产业合作领域，</w:t>
      </w:r>
      <w:r>
        <w:rPr>
          <w:rFonts w:hint="default" w:ascii="Times New Roman" w:hAnsi="Times New Roman" w:cs="Times New Roman"/>
          <w:szCs w:val="32"/>
        </w:rPr>
        <w:t>紧扣粤港澳大湾区先进制造业发展需求，</w:t>
      </w:r>
      <w:r>
        <w:rPr>
          <w:rFonts w:hint="default" w:ascii="Times New Roman" w:hAnsi="Times New Roman" w:cs="Times New Roman"/>
        </w:rPr>
        <w:t>以广佛为支点，充分挖潜珠江西岸先进制造业集群应用市场，</w:t>
      </w:r>
      <w:r>
        <w:rPr>
          <w:rFonts w:hint="default" w:ascii="Times New Roman" w:hAnsi="Times New Roman" w:cs="Times New Roman"/>
          <w:szCs w:val="32"/>
        </w:rPr>
        <w:t>重点围绕人工智能、智能汽车、生物医药、高端装备等先进制造业发展需求，形成珠西制造业生产服务需求清单</w:t>
      </w:r>
      <w:r>
        <w:rPr>
          <w:rFonts w:hint="default" w:ascii="Times New Roman" w:hAnsi="Times New Roman" w:cs="Times New Roman"/>
        </w:rPr>
        <w:t>，重点推动</w:t>
      </w:r>
      <w:r>
        <w:rPr>
          <w:rFonts w:hint="default" w:ascii="Times New Roman" w:hAnsi="Times New Roman" w:cs="Times New Roman"/>
          <w:bCs/>
        </w:rPr>
        <w:t>软件与信息服务、工业互联网、节能环保服务、检验检测服务以及</w:t>
      </w:r>
      <w:r>
        <w:rPr>
          <w:rFonts w:hint="default" w:ascii="Times New Roman" w:hAnsi="Times New Roman" w:cs="Times New Roman"/>
        </w:rPr>
        <w:t>人力资源、汽车后市场等专业服务</w:t>
      </w:r>
      <w:r>
        <w:rPr>
          <w:rFonts w:hint="default" w:ascii="Times New Roman" w:hAnsi="Times New Roman" w:cs="Times New Roman"/>
          <w:bCs/>
        </w:rPr>
        <w:t>合作，</w:t>
      </w:r>
      <w:r>
        <w:rPr>
          <w:rFonts w:hint="default" w:ascii="Times New Roman" w:hAnsi="Times New Roman" w:cs="Times New Roman"/>
        </w:rPr>
        <w:t>辐射珠西制造腹地。</w:t>
      </w:r>
      <w:r>
        <w:rPr>
          <w:rFonts w:hint="default" w:ascii="Times New Roman" w:hAnsi="Times New Roman" w:cs="Times New Roman"/>
          <w:szCs w:val="32"/>
        </w:rPr>
        <w:t>推动我区</w:t>
      </w:r>
      <w:r>
        <w:rPr>
          <w:rFonts w:hint="default" w:ascii="Times New Roman" w:hAnsi="Times New Roman" w:cs="Times New Roman"/>
        </w:rPr>
        <w:t>服务业企业主动对接，向珠江西岸先进制造业提供差异化、品牌化个性服务，加快探索</w:t>
      </w:r>
      <w:r>
        <w:rPr>
          <w:rFonts w:hint="default" w:ascii="Times New Roman" w:hAnsi="Times New Roman" w:cs="Times New Roman"/>
          <w:bCs/>
        </w:rPr>
        <w:t>“总部+制造基地”“科技研发+生产基地”</w:t>
      </w:r>
      <w:r>
        <w:rPr>
          <w:rFonts w:hint="default" w:ascii="Times New Roman" w:hAnsi="Times New Roman" w:cs="Times New Roman"/>
        </w:rPr>
        <w:t>等合作模式，共建产业协同生态圈。</w:t>
      </w:r>
    </w:p>
    <w:p>
      <w:pPr>
        <w:pageBreakBefore w:val="0"/>
        <w:spacing w:line="580" w:lineRule="exact"/>
        <w:ind w:left="-6" w:leftChars="0" w:firstLine="643" w:firstLineChars="200"/>
        <w:rPr>
          <w:rFonts w:hint="default" w:ascii="Times New Roman" w:hAnsi="Times New Roman" w:cs="Times New Roman"/>
          <w:b/>
          <w:bCs/>
        </w:rPr>
      </w:pPr>
      <w:r>
        <w:rPr>
          <w:rFonts w:hint="default" w:ascii="Times New Roman" w:hAnsi="Times New Roman" w:cs="Times New Roman"/>
          <w:b/>
          <w:bCs/>
        </w:rPr>
        <w:t>二是</w:t>
      </w:r>
      <w:r>
        <w:rPr>
          <w:rFonts w:hint="default" w:ascii="Times New Roman" w:hAnsi="Times New Roman" w:cs="Times New Roman"/>
          <w:bCs/>
        </w:rPr>
        <w:t>产业合作机制，</w:t>
      </w:r>
      <w:r>
        <w:rPr>
          <w:rFonts w:hint="default" w:ascii="Times New Roman" w:hAnsi="Times New Roman" w:cs="Times New Roman"/>
        </w:rPr>
        <w:t>用好“荔湾-南海”共建粤港澳大湾区广佛极点工作联席会议机制，加强与佛山三龙湾片区等产业协作，加快推进广佛高质量发展融合试验区建设，打通产业协同联动链条，实现产业互补。利用荔湾商贸服务方面传统优势和资源，打造具有信息互通、展贸交易、技术交流等功能的线上线下平台，鼓励企业、行业协会、专业机构等创新合作方式，开展交流合作。</w:t>
      </w:r>
    </w:p>
    <w:p>
      <w:pPr>
        <w:pageBreakBefore w:val="0"/>
        <w:spacing w:line="580" w:lineRule="exact"/>
        <w:ind w:left="-6" w:leftChars="0" w:firstLine="643" w:firstLineChars="200"/>
        <w:rPr>
          <w:rFonts w:hint="default" w:ascii="Times New Roman" w:hAnsi="Times New Roman" w:cs="Times New Roman"/>
          <w:b/>
        </w:rPr>
      </w:pPr>
      <w:r>
        <w:rPr>
          <w:rFonts w:hint="default" w:ascii="Times New Roman" w:hAnsi="Times New Roman" w:cs="Times New Roman"/>
          <w:b/>
          <w:bCs/>
        </w:rPr>
        <w:t>三是</w:t>
      </w:r>
      <w:r>
        <w:rPr>
          <w:rFonts w:hint="default" w:ascii="Times New Roman" w:hAnsi="Times New Roman" w:cs="Times New Roman"/>
          <w:bCs/>
        </w:rPr>
        <w:t>创新共享机制，主动接入粤港澳大湾区区域性技术创新服务平台，为珠西制造业提供专业化科技创新孵化服务</w:t>
      </w:r>
      <w:r>
        <w:rPr>
          <w:rFonts w:hint="default" w:ascii="Times New Roman" w:hAnsi="Times New Roman" w:cs="Times New Roman"/>
        </w:rPr>
        <w:t>，</w:t>
      </w:r>
      <w:r>
        <w:rPr>
          <w:rFonts w:hint="default" w:ascii="Times New Roman" w:hAnsi="Times New Roman" w:cs="Times New Roman"/>
          <w:bCs/>
        </w:rPr>
        <w:t>实现从技术到产品的高效对接。</w:t>
      </w:r>
      <w:r>
        <w:rPr>
          <w:rFonts w:hint="default" w:ascii="Times New Roman" w:hAnsi="Times New Roman" w:cs="Times New Roman"/>
        </w:rPr>
        <w:t>鼓励荔湾与佛山等珠西城市的大学和科研院所互设机构，共享大型科研仪器设备，共用科研数据资源，构建产学研有效衔接、跨区域通力合作的全链条创新体系，</w:t>
      </w:r>
      <w:r>
        <w:rPr>
          <w:rFonts w:hint="default" w:ascii="Times New Roman" w:hAnsi="Times New Roman" w:cs="Times New Roman"/>
          <w:bCs/>
        </w:rPr>
        <w:t>融入区域科技创新链。</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38" w:name="_Toc137496397"/>
      <w:bookmarkEnd w:id="38"/>
      <w:bookmarkStart w:id="39" w:name="_Toc14547"/>
      <w:r>
        <w:rPr>
          <w:rFonts w:hint="eastAsia" w:ascii="Times New Roman" w:hAnsi="Times New Roman" w:eastAsia="楷体" w:cs="Times New Roman"/>
          <w:b w:val="0"/>
          <w:bCs w:val="0"/>
          <w:color w:val="000000"/>
          <w:sz w:val="32"/>
          <w:szCs w:val="32"/>
          <w:lang w:val="en-US" w:eastAsia="zh-CN" w:bidi="ar-SA"/>
        </w:rPr>
        <w:t>（三）</w:t>
      </w:r>
      <w:r>
        <w:rPr>
          <w:rFonts w:hint="default" w:ascii="Times New Roman" w:hAnsi="Times New Roman" w:eastAsia="楷体" w:cs="Times New Roman"/>
          <w:b w:val="0"/>
          <w:bCs w:val="0"/>
          <w:color w:val="000000"/>
          <w:sz w:val="32"/>
          <w:szCs w:val="32"/>
          <w:lang w:val="en-US" w:eastAsia="zh-CN" w:bidi="ar-SA"/>
        </w:rPr>
        <w:t>承接港澳服务业外溢</w:t>
      </w:r>
      <w:bookmarkEnd w:id="39"/>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积极拓展与港澳的产业合作，发展总部经济与新兴服务业，集聚湾区高端要素，全面提升国际化服务水平，承接港澳科技服务、咨询服务、审计会计等高端专业服务业外溢，推进与港澳在经济贸易规则、市场体系规则等方面的对接。</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lang w:bidi="ar"/>
        </w:rPr>
        <w:t>一是</w:t>
      </w:r>
      <w:r>
        <w:rPr>
          <w:rFonts w:hint="default" w:ascii="Times New Roman" w:hAnsi="Times New Roman" w:cs="Times New Roman"/>
          <w:lang w:bidi="ar"/>
        </w:rPr>
        <w:t>立足荔湾广阔腹地、核心区位等优势，</w:t>
      </w:r>
      <w:r>
        <w:rPr>
          <w:rFonts w:hint="default" w:ascii="Times New Roman" w:hAnsi="Times New Roman" w:cs="Times New Roman"/>
          <w:bCs/>
          <w:color w:val="000000" w:themeColor="text1"/>
          <w:szCs w:val="32"/>
          <w:lang w:bidi="ar"/>
          <w14:textFill>
            <w14:solidFill>
              <w14:schemeClr w14:val="tx1"/>
            </w14:solidFill>
          </w14:textFill>
        </w:rPr>
        <w:t>利用</w:t>
      </w:r>
      <w:r>
        <w:rPr>
          <w:rFonts w:hint="default" w:ascii="Times New Roman" w:hAnsi="Times New Roman" w:cs="Times New Roman"/>
          <w:szCs w:val="36"/>
        </w:rPr>
        <w:t>港澳在政策制度、</w:t>
      </w:r>
      <w:r>
        <w:rPr>
          <w:rFonts w:hint="default" w:ascii="Times New Roman" w:hAnsi="Times New Roman" w:cs="Times New Roman"/>
        </w:rPr>
        <w:t>金融资本、人才、专业服务等方面的突出优势，</w:t>
      </w:r>
      <w:r>
        <w:rPr>
          <w:rFonts w:hint="default" w:ascii="Times New Roman" w:hAnsi="Times New Roman" w:cs="Times New Roman"/>
          <w:bCs/>
          <w:lang w:bidi="ar"/>
        </w:rPr>
        <w:t>紧抓南沙方案等机遇，</w:t>
      </w:r>
      <w:r>
        <w:rPr>
          <w:rFonts w:hint="default" w:ascii="Times New Roman" w:hAnsi="Times New Roman" w:cs="Times New Roman"/>
        </w:rPr>
        <w:t>积极参与粤港澳大湾区全球招商大会等活动，</w:t>
      </w:r>
      <w:r>
        <w:rPr>
          <w:rFonts w:hint="default" w:ascii="Times New Roman" w:hAnsi="Times New Roman" w:cs="Times New Roman"/>
          <w:bCs/>
          <w:lang w:bidi="ar"/>
        </w:rPr>
        <w:t>重点承接港澳科技服务、咨询服务等服务业外溢</w:t>
      </w:r>
      <w:r>
        <w:rPr>
          <w:rFonts w:hint="default" w:ascii="Times New Roman" w:hAnsi="Times New Roman" w:cs="Times New Roman"/>
          <w:lang w:bidi="ar"/>
        </w:rPr>
        <w:t>，开展高端产业合作，更好为珠西乃至湾区提供高端专业化服务。</w:t>
      </w:r>
      <w:r>
        <w:rPr>
          <w:rFonts w:hint="default" w:ascii="Times New Roman" w:hAnsi="Times New Roman" w:cs="Times New Roman"/>
        </w:rPr>
        <w:t>深化荔湾“老西关”与港澳居民的根脉联系，吸引港澳人群回粤投资、创业，</w:t>
      </w:r>
      <w:r>
        <w:rPr>
          <w:rFonts w:hint="default" w:ascii="Times New Roman" w:hAnsi="Times New Roman" w:cs="Times New Roman"/>
          <w:lang w:bidi="ar"/>
        </w:rPr>
        <w:t>探索创新孵化服务等新领域新模式，</w:t>
      </w:r>
      <w:r>
        <w:rPr>
          <w:rFonts w:hint="default" w:ascii="Times New Roman" w:hAnsi="Times New Roman" w:cs="Times New Roman"/>
        </w:rPr>
        <w:t>打造港澳投资创业示范基地。</w:t>
      </w:r>
    </w:p>
    <w:p>
      <w:pPr>
        <w:pageBreakBefore w:val="0"/>
        <w:spacing w:line="580" w:lineRule="exact"/>
        <w:ind w:left="-6" w:leftChars="0" w:firstLine="643" w:firstLineChars="200"/>
        <w:rPr>
          <w:rFonts w:hint="default" w:ascii="Times New Roman" w:hAnsi="Times New Roman" w:cs="Times New Roman"/>
          <w:bCs/>
          <w:color w:val="000000"/>
          <w:szCs w:val="32"/>
          <w:lang w:bidi="ar"/>
        </w:rPr>
      </w:pPr>
      <w:r>
        <w:rPr>
          <w:rFonts w:hint="default" w:ascii="Times New Roman" w:hAnsi="Times New Roman" w:cs="Times New Roman"/>
          <w:b/>
          <w:lang w:bidi="ar"/>
        </w:rPr>
        <w:t>二是</w:t>
      </w:r>
      <w:r>
        <w:rPr>
          <w:rFonts w:hint="default" w:ascii="Times New Roman" w:hAnsi="Times New Roman" w:cs="Times New Roman"/>
          <w:bCs/>
          <w:color w:val="000000" w:themeColor="text1"/>
          <w:szCs w:val="32"/>
          <w:lang w:bidi="ar"/>
          <w14:textFill>
            <w14:solidFill>
              <w14:schemeClr w14:val="tx1"/>
            </w14:solidFill>
          </w14:textFill>
        </w:rPr>
        <w:t>发挥香港、澳门的开放平台与示范作用，加强与港澳商事制度、行业监管等方面标准规范和做事规则有效衔接，构建国际高标营商规则。充分利用穗港澳“一带一路”企业合作联盟优势，加快打造港澳向内地拓展、内地企业借助港澳通达国际市场的双向通道和重要平台。</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40" w:name="_Toc29472"/>
      <w:r>
        <w:rPr>
          <w:rFonts w:hint="eastAsia" w:ascii="Times New Roman" w:hAnsi="Times New Roman" w:eastAsia="楷体" w:cs="Times New Roman"/>
          <w:b w:val="0"/>
          <w:bCs w:val="0"/>
          <w:color w:val="000000"/>
          <w:sz w:val="32"/>
          <w:szCs w:val="32"/>
          <w:lang w:val="en-US" w:eastAsia="zh-CN" w:bidi="ar-SA"/>
        </w:rPr>
        <w:t>（四）</w:t>
      </w:r>
      <w:r>
        <w:rPr>
          <w:rFonts w:hint="default" w:ascii="Times New Roman" w:hAnsi="Times New Roman" w:eastAsia="楷体" w:cs="Times New Roman"/>
          <w:b w:val="0"/>
          <w:bCs w:val="0"/>
          <w:color w:val="000000"/>
          <w:sz w:val="32"/>
          <w:szCs w:val="32"/>
          <w:lang w:val="en-US" w:eastAsia="zh-CN" w:bidi="ar-SA"/>
        </w:rPr>
        <w:t>拓展城市群产业合作</w:t>
      </w:r>
      <w:bookmarkEnd w:id="40"/>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主动</w:t>
      </w:r>
      <w:r>
        <w:rPr>
          <w:rFonts w:hint="default" w:ascii="Times New Roman" w:hAnsi="Times New Roman" w:cs="Times New Roman"/>
          <w:szCs w:val="32"/>
        </w:rPr>
        <w:t>加强与京津冀协同发展、长江经济带发展、长三角一体化发展、黄河流域生态保护和高质量发展等国家重要战略的对接联动，</w:t>
      </w:r>
      <w:r>
        <w:rPr>
          <w:rFonts w:hint="default" w:ascii="Times New Roman" w:hAnsi="Times New Roman" w:cs="Times New Roman"/>
        </w:rPr>
        <w:t>支持京津冀、长三角、成渝等核心都市圈城市在我区投资生产性服务业领域，在重点行业广泛开展技术交流与项目合作，挖掘产业合作机会，进一步</w:t>
      </w:r>
      <w:r>
        <w:rPr>
          <w:rFonts w:hint="default" w:ascii="Times New Roman" w:hAnsi="Times New Roman" w:cs="Times New Roman"/>
          <w:color w:val="000000"/>
          <w:szCs w:val="32"/>
        </w:rPr>
        <w:t>提升生产性服务业能级。</w:t>
      </w:r>
      <w:r>
        <w:rPr>
          <w:rFonts w:hint="default" w:ascii="Times New Roman" w:hAnsi="Times New Roman" w:cs="Times New Roman"/>
        </w:rPr>
        <w:t>鼓励企业深化与“一带一路”沿线国家和地区合作，开拓国际市场。</w:t>
      </w:r>
      <w:bookmarkStart w:id="41" w:name="_Toc12894"/>
    </w:p>
    <w:p>
      <w:pPr>
        <w:pageBreakBefore w:val="0"/>
        <w:spacing w:line="580" w:lineRule="exact"/>
        <w:ind w:left="-6" w:leftChars="0" w:firstLine="640" w:firstLineChars="200"/>
        <w:rPr>
          <w:rFonts w:hint="default" w:ascii="Times New Roman" w:hAnsi="Times New Roman" w:eastAsia="黑体" w:cs="Times New Roman"/>
          <w:b w:val="0"/>
          <w:bCs w:val="0"/>
          <w:sz w:val="32"/>
          <w:szCs w:val="44"/>
          <w:lang w:val="en-US" w:eastAsia="zh-CN" w:bidi="ar-SA"/>
        </w:rPr>
      </w:pPr>
      <w:r>
        <w:rPr>
          <w:rFonts w:hint="default" w:ascii="Times New Roman" w:hAnsi="Times New Roman" w:eastAsia="黑体" w:cs="Times New Roman"/>
          <w:b w:val="0"/>
          <w:bCs w:val="0"/>
          <w:sz w:val="32"/>
          <w:szCs w:val="44"/>
          <w:lang w:val="en-US" w:eastAsia="zh-CN" w:bidi="ar-SA"/>
        </w:rPr>
        <w:t>五、打造高效率产业新空间</w:t>
      </w:r>
      <w:bookmarkEnd w:id="41"/>
    </w:p>
    <w:p>
      <w:pPr>
        <w:pageBreakBefore w:val="0"/>
        <w:spacing w:line="580" w:lineRule="exact"/>
        <w:ind w:left="-6" w:leftChars="0" w:firstLine="640" w:firstLineChars="200"/>
        <w:rPr>
          <w:rFonts w:hint="default" w:ascii="Times New Roman" w:hAnsi="Times New Roman" w:eastAsia="仿宋" w:cs="Times New Roman"/>
          <w:b/>
          <w:szCs w:val="28"/>
        </w:rPr>
      </w:pPr>
      <w:r>
        <w:rPr>
          <w:rFonts w:hint="default" w:ascii="Times New Roman" w:hAnsi="Times New Roman" w:cs="Times New Roman"/>
          <w:bCs/>
        </w:rPr>
        <w:t>重点</w:t>
      </w:r>
      <w:r>
        <w:rPr>
          <w:rFonts w:hint="default" w:ascii="Times New Roman" w:hAnsi="Times New Roman" w:cs="Times New Roman"/>
        </w:rPr>
        <w:t>塑造“一核、一带、多节点”产业新空间，加强重点生产性服务业项目用地保障，打造“高端商务楼宇-创新型产业楼宇-创新创业孵化基地”多层次用房载体，满足不同类型生产性服务业空间需求。</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42" w:name="_Toc32351"/>
      <w:r>
        <w:rPr>
          <w:rFonts w:hint="eastAsia" w:ascii="Times New Roman" w:hAnsi="Times New Roman" w:eastAsia="楷体" w:cs="Times New Roman"/>
          <w:b w:val="0"/>
          <w:bCs w:val="0"/>
          <w:color w:val="000000"/>
          <w:sz w:val="32"/>
          <w:szCs w:val="32"/>
          <w:lang w:val="en-US" w:eastAsia="zh-CN" w:bidi="ar-SA"/>
        </w:rPr>
        <w:t>（一）</w:t>
      </w:r>
      <w:r>
        <w:rPr>
          <w:rFonts w:hint="default" w:ascii="Times New Roman" w:hAnsi="Times New Roman" w:eastAsia="楷体" w:cs="Times New Roman"/>
          <w:b w:val="0"/>
          <w:bCs w:val="0"/>
          <w:color w:val="000000"/>
          <w:sz w:val="32"/>
          <w:szCs w:val="32"/>
          <w:lang w:val="en-US" w:eastAsia="zh-CN" w:bidi="ar-SA"/>
        </w:rPr>
        <w:t>塑造“一核、一带、多节点”产业新空间</w:t>
      </w:r>
      <w:bookmarkEnd w:id="42"/>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发挥白鹅潭总部经济核心区对全区生产性服务业带动作用，沿珠江高质量发展带持续优化生产性服务业布局，加强现代都市工业产业园区内专业服务对制造业支撑作用，打造“一核、一带、多节点”生产性服务业发展新空间。</w:t>
      </w:r>
    </w:p>
    <w:p>
      <w:pPr>
        <w:pStyle w:val="186"/>
        <w:keepNext/>
        <w:keepLines/>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1.</w:t>
      </w:r>
      <w:r>
        <w:rPr>
          <w:rFonts w:hint="default" w:ascii="Times New Roman" w:hAnsi="Times New Roman" w:eastAsia="仿宋_GB2312" w:cs="Times New Roman"/>
          <w:b/>
          <w:bCs/>
          <w:sz w:val="32"/>
          <w:szCs w:val="32"/>
          <w:lang w:val="en-US" w:eastAsia="zh-CN" w:bidi="ar-SA"/>
        </w:rPr>
        <w:t>一核：白鹅潭总部经济核心区</w:t>
      </w:r>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发挥荔湾广佛地理中心区位、便捷交通的比较优势，以白鹅潭总部经济核心区为主要空间载体，</w:t>
      </w:r>
      <w:r>
        <w:rPr>
          <w:rFonts w:hint="default" w:ascii="Times New Roman" w:hAnsi="Times New Roman" w:cs="Times New Roman"/>
          <w:szCs w:val="32"/>
        </w:rPr>
        <w:t>依托新隆沙、陆居路、花地湾、聚龙湾等，</w:t>
      </w:r>
      <w:r>
        <w:rPr>
          <w:rFonts w:hint="default" w:ascii="Times New Roman" w:hAnsi="Times New Roman" w:cs="Times New Roman"/>
          <w:lang w:bidi="ar"/>
        </w:rPr>
        <w:t>引进工业设计、电子商务、软件与信息服务等生产性服务业总部，为广佛乃至珠西地区中小型制造业企业服务</w:t>
      </w:r>
      <w:r>
        <w:rPr>
          <w:rFonts w:hint="default" w:ascii="Times New Roman" w:hAnsi="Times New Roman" w:cs="Times New Roman"/>
        </w:rPr>
        <w:t>。</w:t>
      </w:r>
      <w:r>
        <w:rPr>
          <w:rFonts w:hint="default" w:ascii="Times New Roman" w:hAnsi="Times New Roman" w:cs="Times New Roman"/>
          <w:color w:val="000000"/>
          <w:shd w:val="clear" w:color="auto" w:fill="FFFFFF"/>
        </w:rPr>
        <w:t>推动高新技术企业、科技创新人才和团队、省级企业研发机构、公共服务平台在白鹅潭地区集聚，建设一批专业型、地标型、主题型商务楼字，</w:t>
      </w:r>
      <w:r>
        <w:rPr>
          <w:rFonts w:hint="default" w:ascii="Times New Roman" w:hAnsi="Times New Roman" w:cs="Times New Roman"/>
        </w:rPr>
        <w:t>完善</w:t>
      </w:r>
      <w:r>
        <w:rPr>
          <w:rFonts w:hint="default" w:ascii="Times New Roman" w:hAnsi="Times New Roman" w:cs="Times New Roman"/>
          <w:lang w:bidi="ar"/>
        </w:rPr>
        <w:t>产业服务配套设施，将白鹅潭总部经济核心区</w:t>
      </w:r>
      <w:r>
        <w:rPr>
          <w:rFonts w:hint="default" w:ascii="Times New Roman" w:hAnsi="Times New Roman" w:cs="Times New Roman"/>
          <w:bCs/>
        </w:rPr>
        <w:t>打造成为肩负西部崛起、引领广佛、融入湾区、辐射珠三角的</w:t>
      </w:r>
      <w:r>
        <w:rPr>
          <w:rFonts w:hint="default" w:ascii="Times New Roman" w:hAnsi="Times New Roman" w:cs="Times New Roman"/>
          <w:color w:val="000000"/>
          <w:shd w:val="clear" w:color="auto" w:fill="FFFFFF"/>
        </w:rPr>
        <w:t>制造业</w:t>
      </w:r>
      <w:r>
        <w:rPr>
          <w:rFonts w:hint="default" w:ascii="Times New Roman" w:hAnsi="Times New Roman" w:cs="Times New Roman"/>
          <w:bCs/>
        </w:rPr>
        <w:t>中小企业总部经济高地</w:t>
      </w:r>
      <w:r>
        <w:rPr>
          <w:rFonts w:hint="default" w:ascii="Times New Roman" w:hAnsi="Times New Roman" w:cs="Times New Roman"/>
          <w:color w:val="000000"/>
          <w:shd w:val="clear" w:color="auto" w:fill="FFFFFF"/>
        </w:rPr>
        <w:t>及区域职能中心集聚核。</w:t>
      </w:r>
    </w:p>
    <w:p>
      <w:pPr>
        <w:pStyle w:val="186"/>
        <w:keepNext/>
        <w:keepLines/>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2.</w:t>
      </w:r>
      <w:r>
        <w:rPr>
          <w:rFonts w:hint="default" w:ascii="Times New Roman" w:hAnsi="Times New Roman" w:eastAsia="仿宋_GB2312" w:cs="Times New Roman"/>
          <w:b/>
          <w:bCs/>
          <w:sz w:val="32"/>
          <w:szCs w:val="32"/>
          <w:lang w:val="en-US" w:eastAsia="zh-CN" w:bidi="ar-SA"/>
        </w:rPr>
        <w:t>一带：滨江服务业高质量发展带</w:t>
      </w:r>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围绕打造世界一流滨水活力区，依托珠江沿岸（荔湾段）高质量发展带的资源配置能力，统筹滨江区位、资源条件，发挥科创研发、生态资源优势，串联白鹅潭商务核心区、聚龙湾科创总部经济区、广船片区等重点产业平台，布局具有战略牵引效果的总部经济、电子商务、专业服务、工业设计、创新孵化等产业领域，促进高端产业生态聚集，推动沿岸生产性服务业创新链、产业链、价值链向高端迈进。结合多元场景营建赋活珠江沿岸滨江特色产业空间资源，打造世界一流滨水活力和高质量发展区，形成高品质、高活力、高价值的产业生态与特色场景。</w:t>
      </w:r>
    </w:p>
    <w:p>
      <w:pPr>
        <w:pageBreakBefore w:val="0"/>
        <w:spacing w:line="580" w:lineRule="exact"/>
        <w:jc w:val="center"/>
        <w:rPr>
          <w:rFonts w:hint="default" w:ascii="Times New Roman" w:hAnsi="Times New Roman" w:cs="Times New Roman"/>
        </w:rPr>
      </w:pPr>
      <w:r>
        <w:rPr>
          <w:rFonts w:hint="eastAsia" w:ascii="黑体" w:hAnsi="黑体" w:eastAsia="黑体" w:cs="黑体"/>
          <w:sz w:val="22"/>
        </w:rPr>
        <w:t>荔湾区生产服务业“一核一带多节点”空间格局示意图</w:t>
      </w:r>
      <w:r>
        <w:rPr>
          <w:rFonts w:hint="default" w:ascii="Times New Roman" w:hAnsi="Times New Roman" w:cs="Times New Roman"/>
        </w:rPr>
        <w:drawing>
          <wp:anchor distT="0" distB="0" distL="0" distR="0" simplePos="0" relativeHeight="251663360" behindDoc="0" locked="0" layoutInCell="1" allowOverlap="1">
            <wp:simplePos x="0" y="0"/>
            <wp:positionH relativeFrom="column">
              <wp:posOffset>349885</wp:posOffset>
            </wp:positionH>
            <wp:positionV relativeFrom="page">
              <wp:posOffset>1180465</wp:posOffset>
            </wp:positionV>
            <wp:extent cx="4815840" cy="5377180"/>
            <wp:effectExtent l="0" t="0" r="5080" b="5080"/>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4815840" cy="5377180"/>
                    </a:xfrm>
                    <a:prstGeom prst="rect">
                      <a:avLst/>
                    </a:prstGeom>
                    <a:noFill/>
                  </pic:spPr>
                </pic:pic>
              </a:graphicData>
            </a:graphic>
          </wp:anchor>
        </w:drawing>
      </w:r>
    </w:p>
    <w:p>
      <w:pPr>
        <w:pStyle w:val="186"/>
        <w:keepNext/>
        <w:keepLines/>
        <w:pageBreakBefore w:val="0"/>
        <w:widowControl w:val="0"/>
        <w:shd w:val="clear" w:fill="auto"/>
        <w:snapToGrid/>
        <w:spacing w:before="0" w:after="0" w:line="580" w:lineRule="exact"/>
        <w:ind w:firstLine="643" w:firstLineChars="200"/>
        <w:jc w:val="both"/>
        <w:outlineLvl w:val="2"/>
        <w:rPr>
          <w:rFonts w:hint="default" w:ascii="Times New Roman" w:hAnsi="Times New Roman" w:eastAsia="仿宋_GB2312" w:cs="Times New Roman"/>
          <w:b/>
          <w:bCs/>
          <w:sz w:val="32"/>
          <w:szCs w:val="32"/>
          <w:lang w:val="en-US" w:eastAsia="zh-CN" w:bidi="ar-SA"/>
        </w:rPr>
      </w:pPr>
      <w:r>
        <w:rPr>
          <w:rFonts w:hint="eastAsia" w:ascii="Times New Roman" w:hAnsi="Times New Roman" w:eastAsia="仿宋_GB2312" w:cs="Times New Roman"/>
          <w:b/>
          <w:bCs/>
          <w:sz w:val="32"/>
          <w:szCs w:val="32"/>
          <w:lang w:val="en-US" w:eastAsia="zh-CN" w:bidi="ar-SA"/>
        </w:rPr>
        <w:t>3.</w:t>
      </w:r>
      <w:r>
        <w:rPr>
          <w:rFonts w:hint="default" w:ascii="Times New Roman" w:hAnsi="Times New Roman" w:eastAsia="仿宋_GB2312" w:cs="Times New Roman"/>
          <w:b/>
          <w:bCs/>
          <w:sz w:val="32"/>
          <w:szCs w:val="32"/>
          <w:lang w:val="en-US" w:eastAsia="zh-CN" w:bidi="ar-SA"/>
        </w:rPr>
        <w:t>多节点：重点都市工业产业园区</w:t>
      </w:r>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支持生产性服务业企业围绕岭南V谷、TCL云峰科技园、立白综合科技园、</w:t>
      </w:r>
      <w:r>
        <w:rPr>
          <w:rFonts w:hint="default" w:ascii="Times New Roman" w:hAnsi="Times New Roman" w:cs="Times New Roman"/>
          <w:bCs/>
          <w:szCs w:val="32"/>
        </w:rPr>
        <w:t>1906科技园</w:t>
      </w:r>
      <w:r>
        <w:rPr>
          <w:rFonts w:hint="default" w:ascii="Times New Roman" w:hAnsi="Times New Roman" w:cs="Times New Roman"/>
        </w:rPr>
        <w:t>等现代都市工业产业园区优化布局，更好服务园区内现代都市工业发展需求。</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43" w:name="_Toc16541"/>
      <w:bookmarkStart w:id="44" w:name="_Toc51117571"/>
      <w:r>
        <w:rPr>
          <w:rFonts w:hint="eastAsia" w:ascii="Times New Roman" w:hAnsi="Times New Roman" w:eastAsia="楷体" w:cs="Times New Roman"/>
          <w:b w:val="0"/>
          <w:bCs w:val="0"/>
          <w:color w:val="000000"/>
          <w:sz w:val="32"/>
          <w:szCs w:val="32"/>
          <w:lang w:val="en-US" w:eastAsia="zh-CN" w:bidi="ar-SA"/>
        </w:rPr>
        <w:t>（二）</w:t>
      </w:r>
      <w:r>
        <w:rPr>
          <w:rFonts w:hint="default" w:ascii="Times New Roman" w:hAnsi="Times New Roman" w:eastAsia="楷体" w:cs="Times New Roman"/>
          <w:b w:val="0"/>
          <w:bCs w:val="0"/>
          <w:color w:val="000000"/>
          <w:sz w:val="32"/>
          <w:szCs w:val="32"/>
          <w:lang w:val="en-US" w:eastAsia="zh-CN" w:bidi="ar-SA"/>
        </w:rPr>
        <w:t>提供多层次产业新载体</w:t>
      </w:r>
      <w:bookmarkEnd w:id="43"/>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加强重点生产性服务业项目用地保障。</w:t>
      </w:r>
      <w:r>
        <w:rPr>
          <w:rFonts w:hint="default" w:ascii="Times New Roman" w:hAnsi="Times New Roman" w:cs="Times New Roman"/>
        </w:rPr>
        <w:t>充分利用可出让地块以及城市更新进程中释放的产业用地资源，保障符合条件的大型生产性服务业项目用地需求，重点支持总部类企业用地需求，增强企业与属地辖区的粘性。</w:t>
      </w:r>
    </w:p>
    <w:p>
      <w:pPr>
        <w:pageBreakBefore w:val="0"/>
        <w:spacing w:line="580" w:lineRule="exact"/>
        <w:ind w:left="-6" w:leftChars="0" w:firstLine="643" w:firstLineChars="200"/>
        <w:rPr>
          <w:rFonts w:hint="default" w:ascii="Times New Roman" w:hAnsi="Times New Roman" w:cs="Times New Roman"/>
          <w:color w:val="000000"/>
          <w:shd w:val="clear" w:color="auto" w:fill="FFFFFF"/>
        </w:rPr>
      </w:pPr>
      <w:r>
        <w:rPr>
          <w:rFonts w:hint="default" w:ascii="Times New Roman" w:hAnsi="Times New Roman" w:cs="Times New Roman"/>
          <w:b/>
          <w:bCs/>
          <w:color w:val="000000"/>
        </w:rPr>
        <w:t>有序推进</w:t>
      </w:r>
      <w:r>
        <w:rPr>
          <w:rFonts w:hint="default" w:ascii="Times New Roman" w:hAnsi="Times New Roman" w:cs="Times New Roman"/>
          <w:b/>
        </w:rPr>
        <w:t>为总部经济服务的高端产业楼宇</w:t>
      </w:r>
      <w:r>
        <w:rPr>
          <w:rFonts w:hint="default" w:ascii="Times New Roman" w:hAnsi="Times New Roman" w:cs="Times New Roman"/>
          <w:b/>
          <w:bCs/>
          <w:color w:val="000000"/>
        </w:rPr>
        <w:t>靶向招商。</w:t>
      </w:r>
      <w:r>
        <w:rPr>
          <w:rFonts w:hint="default" w:ascii="Times New Roman" w:hAnsi="Times New Roman" w:cs="Times New Roman"/>
          <w:bCs/>
          <w:color w:val="000000"/>
        </w:rPr>
        <w:t>推动</w:t>
      </w:r>
      <w:r>
        <w:rPr>
          <w:rFonts w:hint="default" w:ascii="Times New Roman" w:hAnsi="Times New Roman" w:cs="Times New Roman"/>
          <w:color w:val="000000"/>
          <w:shd w:val="clear" w:color="auto" w:fill="FFFFFF"/>
        </w:rPr>
        <w:t>在白鹅潭商务区、花地湾商务组团、广钢央企总部组团等区域高标准建设运营一批专业型、主题型、地标型商务楼宇，</w:t>
      </w:r>
      <w:r>
        <w:rPr>
          <w:rFonts w:hint="default" w:ascii="Times New Roman" w:hAnsi="Times New Roman" w:cs="Times New Roman"/>
        </w:rPr>
        <w:t>加强侨银总部大厦、大参林运营中心、立白国际中心、西门口广场等写字楼靶向招商，</w:t>
      </w:r>
      <w:r>
        <w:rPr>
          <w:rFonts w:hint="default" w:ascii="Times New Roman" w:hAnsi="Times New Roman" w:cs="Times New Roman"/>
          <w:lang w:bidi="ar"/>
        </w:rPr>
        <w:t>引入工业设计、电子商务、软件与信息服务、产业金融等产业领域</w:t>
      </w:r>
      <w:r>
        <w:rPr>
          <w:rFonts w:hint="default" w:ascii="Times New Roman" w:hAnsi="Times New Roman" w:cs="Times New Roman"/>
        </w:rPr>
        <w:t>创新型总部，</w:t>
      </w:r>
      <w:r>
        <w:rPr>
          <w:rFonts w:hint="default" w:ascii="Times New Roman" w:hAnsi="Times New Roman" w:cs="Times New Roman"/>
          <w:color w:val="000000"/>
          <w:shd w:val="clear" w:color="auto" w:fill="FFFFFF"/>
        </w:rPr>
        <w:t>打造总部经济重要承载区。</w:t>
      </w:r>
      <w:r>
        <w:rPr>
          <w:rFonts w:hint="default" w:ascii="Times New Roman" w:hAnsi="Times New Roman" w:cs="Times New Roman"/>
          <w:shd w:val="clear" w:color="auto" w:fill="FFFFFF"/>
        </w:rPr>
        <w:t>加快推进写字楼、停车场、高档酒店等总部配套设施智能化建设及改造。</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bCs/>
        </w:rPr>
        <w:t>加快建设一批</w:t>
      </w:r>
      <w:r>
        <w:rPr>
          <w:rFonts w:hint="default" w:ascii="Times New Roman" w:hAnsi="Times New Roman" w:cs="Times New Roman"/>
          <w:b/>
        </w:rPr>
        <w:t>为创新型中小微企业服务的产业楼宇。</w:t>
      </w:r>
      <w:r>
        <w:rPr>
          <w:rFonts w:hint="default" w:ascii="Times New Roman" w:hAnsi="Times New Roman" w:cs="Times New Roman"/>
          <w:szCs w:val="32"/>
        </w:rPr>
        <w:t>适应服务业新业态新模式特点，</w:t>
      </w:r>
      <w:r>
        <w:rPr>
          <w:rFonts w:hint="default" w:ascii="Times New Roman" w:hAnsi="Times New Roman" w:cs="Times New Roman"/>
        </w:rPr>
        <w:t>结合项目实际情况和用地所在片区规划，在满足安全生产、环境保护和公益性设施用地等相关控制要求的前提下，</w:t>
      </w:r>
      <w:r>
        <w:rPr>
          <w:rFonts w:hint="default" w:ascii="Times New Roman" w:hAnsi="Times New Roman" w:cs="Times New Roman"/>
          <w:szCs w:val="32"/>
        </w:rPr>
        <w:t>积极推进二三产业混合用地试点，建设满足</w:t>
      </w:r>
      <w:r>
        <w:rPr>
          <w:rFonts w:hint="default" w:ascii="Times New Roman" w:hAnsi="Times New Roman" w:cs="Times New Roman"/>
          <w:shd w:val="clear" w:color="auto" w:fill="FFFFFF"/>
        </w:rPr>
        <w:t>服务与制造融合需求的</w:t>
      </w:r>
      <w:r>
        <w:rPr>
          <w:rFonts w:hint="default" w:ascii="Times New Roman" w:hAnsi="Times New Roman" w:cs="Times New Roman"/>
          <w:szCs w:val="32"/>
        </w:rPr>
        <w:t>功能复合型产业楼宇，</w:t>
      </w:r>
      <w:r>
        <w:rPr>
          <w:rFonts w:hint="default" w:ascii="Times New Roman" w:hAnsi="Times New Roman" w:cs="Times New Roman"/>
          <w:shd w:val="clear" w:color="auto" w:fill="FFFFFF"/>
        </w:rPr>
        <w:t>增强用地灵活性。针对生产性服务业重点领域，以“一楼一品”引导行业集聚，探索建设一批</w:t>
      </w:r>
      <w:r>
        <w:rPr>
          <w:rFonts w:hint="default" w:ascii="Times New Roman" w:hAnsi="Times New Roman" w:cs="Times New Roman"/>
        </w:rPr>
        <w:t>只租不售的</w:t>
      </w:r>
      <w:r>
        <w:rPr>
          <w:rFonts w:hint="default" w:ascii="Times New Roman" w:hAnsi="Times New Roman" w:cs="Times New Roman"/>
          <w:shd w:val="clear" w:color="auto" w:fill="FFFFFF"/>
        </w:rPr>
        <w:t>特色楼宇、专业楼宇，</w:t>
      </w:r>
      <w:r>
        <w:rPr>
          <w:rFonts w:hint="default" w:ascii="Times New Roman" w:hAnsi="Times New Roman" w:cs="Times New Roman"/>
        </w:rPr>
        <w:t>完善高质量空间产品、空间品质、服务配套，为中小微企业拎包入驻、构建良性产业生态圈提供条件。</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打造“创业苗圃+孵化器+加速器+产业园区”一体化创新创业孵化基地。</w:t>
      </w:r>
      <w:r>
        <w:rPr>
          <w:rFonts w:hint="default" w:ascii="Times New Roman" w:hAnsi="Times New Roman" w:cs="Times New Roman"/>
        </w:rPr>
        <w:t>充分调动社会各方力量和各类主体投资建设科技创新孵化载体的积极性，围绕重点产业领域，鼓励岭南V谷、TCL云峰科技园、立白综合科技园、</w:t>
      </w:r>
      <w:r>
        <w:rPr>
          <w:rFonts w:hint="default" w:ascii="Times New Roman" w:hAnsi="Times New Roman" w:cs="Times New Roman"/>
          <w:bCs/>
          <w:szCs w:val="32"/>
        </w:rPr>
        <w:t>1906科技园</w:t>
      </w:r>
      <w:r>
        <w:rPr>
          <w:rFonts w:hint="default" w:ascii="Times New Roman" w:hAnsi="Times New Roman" w:cs="Times New Roman"/>
        </w:rPr>
        <w:t>等园区预留专门空间，高起点、高标准谋划建设一批服务功能精细化、配套设施完备化的科技创新业孵化载体，强化园区</w:t>
      </w:r>
      <w:r>
        <w:rPr>
          <w:rFonts w:hint="default" w:ascii="Times New Roman" w:hAnsi="Times New Roman" w:cs="Times New Roman"/>
          <w:bCs/>
          <w:shd w:val="clear" w:color="auto" w:fill="FFFFFF"/>
        </w:rPr>
        <w:t>公共空间打造和公共活动链接，</w:t>
      </w:r>
      <w:r>
        <w:rPr>
          <w:rFonts w:hint="default" w:ascii="Times New Roman" w:hAnsi="Times New Roman" w:cs="Times New Roman"/>
        </w:rPr>
        <w:t>吸引聚集年轻人，营造交流创新的氛围。根据企业成长阶段推荐合适的孵化载体环节，发挥好“创业苗圃（众创空间）+科技企业孵化器+科技企业加速器+科技产业园区”一体化创新创业孵化基地的孵化效能。</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多种方式</w:t>
      </w:r>
      <w:r>
        <w:rPr>
          <w:rFonts w:hint="default" w:ascii="Times New Roman" w:hAnsi="Times New Roman" w:cs="Times New Roman"/>
          <w:b/>
          <w:shd w:val="clear" w:color="auto" w:fill="FFFFFF"/>
        </w:rPr>
        <w:t>盘活利用存量空间。</w:t>
      </w:r>
      <w:r>
        <w:rPr>
          <w:rFonts w:hint="default" w:ascii="Times New Roman" w:hAnsi="Times New Roman" w:cs="Times New Roman"/>
        </w:rPr>
        <w:t>支持企业在维持原土地用途不变的情况下，按照相关规定将自有工业用地在过渡期内发展为生产服务的</w:t>
      </w:r>
      <w:r>
        <w:rPr>
          <w:rFonts w:hint="default" w:ascii="Times New Roman" w:hAnsi="Times New Roman" w:eastAsia="仿宋" w:cs="Times New Roman"/>
        </w:rPr>
        <w:t>工业设计、法律、咨询、供应链管理等</w:t>
      </w:r>
      <w:r>
        <w:rPr>
          <w:rFonts w:hint="default" w:ascii="Times New Roman" w:hAnsi="Times New Roman" w:cs="Times New Roman"/>
        </w:rPr>
        <w:t>生产性服务业。</w:t>
      </w:r>
      <w:r>
        <w:rPr>
          <w:rFonts w:hint="default" w:ascii="Times New Roman" w:hAnsi="Times New Roman" w:cs="Times New Roman"/>
          <w:color w:val="000000"/>
          <w:shd w:val="clear" w:color="auto" w:fill="FFFFFF"/>
        </w:rPr>
        <w:t>持续推进旧厂改造，建设集研发、设计、中试、检测、无污染生产的总部型工业基地。</w:t>
      </w:r>
      <w:r>
        <w:rPr>
          <w:rFonts w:hint="default" w:ascii="Times New Roman" w:hAnsi="Times New Roman" w:cs="Times New Roman"/>
        </w:rPr>
        <w:t>鼓励利用旧工业厂房、旧住宅区等增加不产生光、电、音等干扰的创新、创业功能业态，如信息服务、工业设计、电子商务等。充分利用“三旧改造”、淘汰落后产能、处置“僵尸企业”等形成的闲置厂房、空余仓库以及生产设施，改造建设众创空间、孵化器、加速器等创新孵化载体。</w:t>
      </w:r>
      <w:bookmarkStart w:id="45" w:name="_Toc31952"/>
    </w:p>
    <w:p>
      <w:pPr>
        <w:pageBreakBefore w:val="0"/>
        <w:spacing w:line="580" w:lineRule="exact"/>
        <w:ind w:left="-6" w:leftChars="0" w:firstLine="640" w:firstLineChars="200"/>
        <w:rPr>
          <w:rFonts w:hint="default" w:ascii="Times New Roman" w:hAnsi="Times New Roman" w:eastAsia="黑体" w:cs="Times New Roman"/>
          <w:b w:val="0"/>
          <w:bCs w:val="0"/>
          <w:sz w:val="32"/>
          <w:szCs w:val="44"/>
          <w:lang w:val="en-US" w:eastAsia="zh-CN" w:bidi="ar-SA"/>
        </w:rPr>
      </w:pPr>
      <w:r>
        <w:rPr>
          <w:rFonts w:hint="default" w:ascii="Times New Roman" w:hAnsi="Times New Roman" w:eastAsia="黑体" w:cs="Times New Roman"/>
          <w:b w:val="0"/>
          <w:bCs w:val="0"/>
          <w:sz w:val="32"/>
          <w:szCs w:val="44"/>
          <w:lang w:val="en-US" w:eastAsia="zh-CN" w:bidi="ar-SA"/>
        </w:rPr>
        <w:t>六、实施产业提升六大重点工程</w:t>
      </w:r>
      <w:bookmarkEnd w:id="44"/>
      <w:bookmarkEnd w:id="45"/>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着眼生产性服务业发展新范式，积极探索符合荔湾现实需要的创新举措，</w:t>
      </w:r>
      <w:r>
        <w:rPr>
          <w:rFonts w:hint="default" w:ascii="Times New Roman" w:hAnsi="Times New Roman" w:cs="Times New Roman"/>
          <w:szCs w:val="32"/>
        </w:rPr>
        <w:t>以生产性服务业提质增能为目标，大力实施</w:t>
      </w:r>
      <w:r>
        <w:rPr>
          <w:rFonts w:hint="default" w:ascii="Times New Roman" w:hAnsi="Times New Roman" w:cs="Times New Roman"/>
        </w:rPr>
        <w:t>总部经济、产业融合、数字基础、企业集群、服务品牌、营商环境等 “六项提升工程”，推动生产性服务业专业化、融合化、品牌化、高端化发展，明确规划实施的具体任务和行动计划，提高规划可实施性和可操作性。</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46" w:name="_Toc7782"/>
      <w:r>
        <w:rPr>
          <w:rFonts w:hint="eastAsia" w:ascii="Times New Roman" w:hAnsi="Times New Roman" w:eastAsia="楷体" w:cs="Times New Roman"/>
          <w:b w:val="0"/>
          <w:bCs w:val="0"/>
          <w:color w:val="000000"/>
          <w:sz w:val="32"/>
          <w:szCs w:val="32"/>
          <w:lang w:val="en-US" w:eastAsia="zh-CN" w:bidi="ar-SA"/>
        </w:rPr>
        <w:t>（一）</w:t>
      </w:r>
      <w:r>
        <w:rPr>
          <w:rFonts w:hint="default" w:ascii="Times New Roman" w:hAnsi="Times New Roman" w:eastAsia="楷体" w:cs="Times New Roman"/>
          <w:b w:val="0"/>
          <w:bCs w:val="0"/>
          <w:color w:val="000000"/>
          <w:sz w:val="32"/>
          <w:szCs w:val="32"/>
          <w:lang w:val="en-US" w:eastAsia="zh-CN" w:bidi="ar-SA"/>
        </w:rPr>
        <w:t>实施总部经济提升工程，加快总部经济聚集</w:t>
      </w:r>
      <w:bookmarkEnd w:id="46"/>
    </w:p>
    <w:p>
      <w:pPr>
        <w:pageBreakBefore w:val="0"/>
        <w:spacing w:line="580" w:lineRule="exact"/>
        <w:ind w:left="-6" w:leftChars="0" w:firstLine="640" w:firstLineChars="200"/>
        <w:rPr>
          <w:rFonts w:hint="default" w:ascii="Times New Roman" w:hAnsi="Times New Roman" w:cs="Times New Roman"/>
          <w:color w:val="000000"/>
          <w:shd w:val="clear" w:color="auto" w:fill="FFFFFF"/>
        </w:rPr>
      </w:pPr>
      <w:r>
        <w:rPr>
          <w:rFonts w:hint="default" w:ascii="Times New Roman" w:hAnsi="Times New Roman" w:cs="Times New Roman"/>
        </w:rPr>
        <w:t>立足广佛、面向粤港澳大湾区，</w:t>
      </w:r>
      <w:r>
        <w:rPr>
          <w:rFonts w:hint="default" w:ascii="Times New Roman" w:hAnsi="Times New Roman" w:cs="Times New Roman"/>
          <w:color w:val="000000"/>
          <w:shd w:val="clear" w:color="auto" w:fill="FFFFFF"/>
        </w:rPr>
        <w:t>发挥广佛地理中心区位、便捷交通和高性价比租金的比较优势，坚持引进与培育并重，加快多类型总部资源集聚，不断提高经济密度和土地利用效率，打造特色白鹅潭总部经济集聚区。</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重点引培创新型企业总部。</w:t>
      </w:r>
      <w:r>
        <w:rPr>
          <w:rFonts w:hint="default" w:ascii="Times New Roman" w:hAnsi="Times New Roman" w:cs="Times New Roman"/>
        </w:rPr>
        <w:t>瞄准代表新兴产业发展方向的投资赛道，重点</w:t>
      </w:r>
      <w:r>
        <w:rPr>
          <w:rFonts w:hint="default" w:ascii="Times New Roman" w:hAnsi="Times New Roman" w:cs="Times New Roman"/>
          <w:szCs w:val="32"/>
        </w:rPr>
        <w:t>围绕都市消费工业、生物医药与健康、新一代信息技术、新材料等现代都市工业重点领域</w:t>
      </w:r>
      <w:r>
        <w:rPr>
          <w:rFonts w:hint="default" w:ascii="Times New Roman" w:hAnsi="Times New Roman" w:cs="Times New Roman"/>
        </w:rPr>
        <w:t>，</w:t>
      </w:r>
      <w:r>
        <w:rPr>
          <w:rFonts w:hint="default" w:ascii="Times New Roman" w:hAnsi="Times New Roman" w:cs="Times New Roman"/>
          <w:szCs w:val="32"/>
        </w:rPr>
        <w:t>引导粤港澳大湾区新兴行业企业</w:t>
      </w:r>
      <w:r>
        <w:rPr>
          <w:rFonts w:hint="default" w:ascii="Times New Roman" w:hAnsi="Times New Roman" w:cs="Times New Roman"/>
        </w:rPr>
        <w:t>、独角兽企业等高成长性企业在荔湾发展为总部企业，打造服务于</w:t>
      </w:r>
      <w:r>
        <w:rPr>
          <w:rFonts w:hint="default" w:ascii="Times New Roman" w:hAnsi="Times New Roman" w:cs="Times New Roman"/>
          <w:szCs w:val="32"/>
        </w:rPr>
        <w:t>广佛乃至珠西地区中小型</w:t>
      </w:r>
      <w:r>
        <w:rPr>
          <w:rFonts w:hint="default" w:ascii="Times New Roman" w:hAnsi="Times New Roman" w:cs="Times New Roman"/>
        </w:rPr>
        <w:t>制造业企业的创新型总部。鼓励综合实力强、品牌影响显著的本土总部企业做大做强，推动总部企业跨界融合，培育一批提供全方位、一站式系统解决方案的总部企业。</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color w:val="000000"/>
          <w:shd w:val="clear" w:color="auto" w:fill="FFFFFF"/>
        </w:rPr>
        <w:t>加快引进龙头企业总部。</w:t>
      </w:r>
      <w:r>
        <w:rPr>
          <w:rFonts w:hint="default" w:ascii="Times New Roman" w:hAnsi="Times New Roman" w:cs="Times New Roman"/>
        </w:rPr>
        <w:t>依托现有产业基础和广州国企资源、百强龙头企业和现有国内外 500 强企业等，</w:t>
      </w:r>
      <w:r>
        <w:rPr>
          <w:rFonts w:hint="default" w:ascii="Times New Roman" w:hAnsi="Times New Roman" w:cs="Times New Roman"/>
          <w:color w:val="000000"/>
          <w:shd w:val="clear" w:color="auto" w:fill="FFFFFF"/>
        </w:rPr>
        <w:t>吸引广州、佛山、湾区等地企业以及国内外500强企业</w:t>
      </w:r>
      <w:r>
        <w:rPr>
          <w:rFonts w:hint="default" w:ascii="Times New Roman" w:hAnsi="Times New Roman" w:cs="Times New Roman"/>
          <w:szCs w:val="32"/>
        </w:rPr>
        <w:t>在荔湾设立区域总部</w:t>
      </w:r>
      <w:r>
        <w:rPr>
          <w:rFonts w:hint="default" w:ascii="Times New Roman" w:hAnsi="Times New Roman" w:cs="Times New Roman"/>
          <w:color w:val="000000"/>
          <w:shd w:val="clear" w:color="auto" w:fill="FFFFFF"/>
        </w:rPr>
        <w:t>以及企业区域研发、设计、市场、销售、人力资源、财务等职能中心。</w:t>
      </w:r>
      <w:r>
        <w:rPr>
          <w:rFonts w:hint="default" w:ascii="Times New Roman" w:hAnsi="Times New Roman" w:cs="Times New Roman"/>
          <w:lang w:bidi="ar"/>
        </w:rPr>
        <w:t>强化荔湾作为企业生产组织和决策的中枢功能，</w:t>
      </w:r>
      <w:r>
        <w:rPr>
          <w:rFonts w:hint="default" w:ascii="Times New Roman" w:hAnsi="Times New Roman" w:cs="Times New Roman"/>
        </w:rPr>
        <w:t>发挥支撑引领作用，形成一批市场前景广阔、规模效益明显并处于区域领先地位的总部企业。</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打造创新型总部聚集区。</w:t>
      </w:r>
      <w:r>
        <w:rPr>
          <w:rFonts w:hint="default" w:ascii="Times New Roman" w:hAnsi="Times New Roman" w:cs="Times New Roman"/>
        </w:rPr>
        <w:t>依托白鹅潭总部经济核心区，对外引进与本土培育相结合，引导工</w:t>
      </w:r>
      <w:r>
        <w:rPr>
          <w:rFonts w:hint="default" w:ascii="Times New Roman" w:hAnsi="Times New Roman" w:cs="Times New Roman"/>
          <w:szCs w:val="32"/>
        </w:rPr>
        <w:t>业设计、电子商务、软件与信息服务、工业互联网、产业金融</w:t>
      </w:r>
      <w:r>
        <w:rPr>
          <w:rFonts w:hint="default" w:ascii="Times New Roman" w:hAnsi="Times New Roman" w:cs="Times New Roman"/>
        </w:rPr>
        <w:t>等</w:t>
      </w:r>
      <w:r>
        <w:rPr>
          <w:rFonts w:hint="default" w:ascii="Times New Roman" w:hAnsi="Times New Roman" w:cs="Times New Roman"/>
          <w:lang w:bidi="ar"/>
        </w:rPr>
        <w:t>专业服务型企业和机构在白鹅潭聚集，完善总部经济配套服务功能，营造高品质、国际化高端商务环境，</w:t>
      </w:r>
      <w:r>
        <w:rPr>
          <w:rFonts w:hint="default" w:ascii="Times New Roman" w:hAnsi="Times New Roman" w:cs="Times New Roman"/>
        </w:rPr>
        <w:t>全面增强创新型总部经济集聚能力和辐射能力，将白鹅潭打造成为面向珠西、辐射湾区的企业总部及区域职能中心集聚核。</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47" w:name="_Toc137480729"/>
      <w:bookmarkEnd w:id="47"/>
      <w:bookmarkStart w:id="48" w:name="_Toc137496405"/>
      <w:bookmarkEnd w:id="48"/>
      <w:bookmarkStart w:id="49" w:name="_Toc137480766"/>
      <w:bookmarkEnd w:id="49"/>
      <w:bookmarkStart w:id="50" w:name="_Toc137493001"/>
      <w:bookmarkEnd w:id="50"/>
      <w:bookmarkStart w:id="51" w:name="_Toc137493634"/>
      <w:bookmarkEnd w:id="51"/>
      <w:bookmarkStart w:id="52" w:name="_Toc137493104"/>
      <w:bookmarkEnd w:id="52"/>
      <w:bookmarkStart w:id="53" w:name="_Toc137493300"/>
      <w:bookmarkEnd w:id="53"/>
      <w:bookmarkStart w:id="54" w:name="_Toc137492651"/>
      <w:bookmarkEnd w:id="54"/>
      <w:bookmarkStart w:id="55" w:name="_Toc23109"/>
      <w:r>
        <w:rPr>
          <w:rFonts w:hint="eastAsia" w:ascii="Times New Roman" w:hAnsi="Times New Roman" w:eastAsia="楷体" w:cs="Times New Roman"/>
          <w:b w:val="0"/>
          <w:bCs w:val="0"/>
          <w:color w:val="000000"/>
          <w:sz w:val="32"/>
          <w:szCs w:val="32"/>
          <w:lang w:val="en-US" w:eastAsia="zh-CN" w:bidi="ar-SA"/>
        </w:rPr>
        <w:t>（二）</w:t>
      </w:r>
      <w:r>
        <w:rPr>
          <w:rFonts w:hint="default" w:ascii="Times New Roman" w:hAnsi="Times New Roman" w:eastAsia="楷体" w:cs="Times New Roman"/>
          <w:b w:val="0"/>
          <w:bCs w:val="0"/>
          <w:color w:val="000000"/>
          <w:sz w:val="32"/>
          <w:szCs w:val="32"/>
          <w:lang w:val="en-US" w:eastAsia="zh-CN" w:bidi="ar-SA"/>
        </w:rPr>
        <w:t>实施产业融合提升工程，完善融合发展模式</w:t>
      </w:r>
      <w:bookmarkEnd w:id="55"/>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顺应产业跨界融合发展趋势，</w:t>
      </w:r>
      <w:r>
        <w:rPr>
          <w:rFonts w:hint="default" w:ascii="Times New Roman" w:hAnsi="Times New Roman" w:cs="Times New Roman"/>
          <w:szCs w:val="32"/>
        </w:rPr>
        <w:t>以延伸服务、提升价值为重点，</w:t>
      </w:r>
      <w:r>
        <w:rPr>
          <w:rFonts w:hint="default" w:ascii="Times New Roman" w:hAnsi="Times New Roman" w:cs="Times New Roman"/>
        </w:rPr>
        <w:t>促进服务业与制造业有机融合、协同发展，推进产业链延伸、产业集聚和创新联动，以产业融合赋予服务业新的内涵和活力</w:t>
      </w:r>
      <w:r>
        <w:rPr>
          <w:rFonts w:hint="default" w:ascii="Times New Roman" w:hAnsi="Times New Roman" w:cs="Times New Roman"/>
          <w:szCs w:val="32"/>
        </w:rPr>
        <w:t>，不断催生生产性服务业新产业、新业态和新模式。</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加快制造业服务化发展。</w:t>
      </w:r>
      <w:r>
        <w:rPr>
          <w:rFonts w:hint="default" w:ascii="Times New Roman" w:hAnsi="Times New Roman" w:cs="Times New Roman"/>
        </w:rPr>
        <w:t>鼓励制造业企业发展定制化服务、供应链管理、全生命周期管理、信息增值服务等新型服务型制造模式。聚焦关键环节和重点领域，</w:t>
      </w:r>
      <w:r>
        <w:rPr>
          <w:rFonts w:hint="default" w:ascii="Times New Roman" w:hAnsi="Times New Roman" w:cs="Times New Roman"/>
          <w:color w:val="000000"/>
        </w:rPr>
        <w:t>重点支持创意经济、平台经济、分享经济、体验经济发展。</w:t>
      </w:r>
      <w:r>
        <w:rPr>
          <w:rFonts w:hint="default" w:ascii="Times New Roman" w:hAnsi="Times New Roman" w:cs="Times New Roman"/>
        </w:rPr>
        <w:t>鼓励制造业企业“裂变”专业服务优势，面向行业提供专业化服务，</w:t>
      </w:r>
      <w:r>
        <w:rPr>
          <w:rFonts w:hint="default" w:ascii="Times New Roman" w:hAnsi="Times New Roman" w:cs="Times New Roman"/>
          <w:szCs w:val="32"/>
        </w:rPr>
        <w:t>由提供设备向提供系统集成总承包服务转变、由提供产品向提供整体解决方案转变。</w:t>
      </w:r>
      <w:r>
        <w:rPr>
          <w:rFonts w:hint="default" w:ascii="Times New Roman" w:hAnsi="Times New Roman" w:cs="Times New Roman"/>
        </w:rPr>
        <w:t>鼓励有实力的企业探索“母工厂模式”，以母工厂作为研发设计、高端制造、工艺改进、人员培训的核心载体，将生产加工环节面向珠江西岸优化布局。</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bCs/>
        </w:rPr>
        <w:t>推动服务向制造渗透。</w:t>
      </w:r>
      <w:r>
        <w:rPr>
          <w:rFonts w:hint="default" w:ascii="Times New Roman" w:hAnsi="Times New Roman" w:cs="Times New Roman"/>
        </w:rPr>
        <w:t>支持优势领域服务业企业发挥设计、渠道、网络等优势，通过定制生产、品牌销售等方式，介入制造业环节，实现服务内容可视化、实体化。推动工业设计服务与制造业深度融合，加快工业设计重点企业与装备制造融合试点；支持建立研发、设计、采购、生产、物流和分销等一体化智慧物流信息平台，推进流通与生产深度融合。持续加大制造服务化转型示范企业（项目）建设力度。鼓励发展面向制造业全过程的专业化检验检测认证服务提供商，提升检验检测认证服务能力。</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56" w:name="_Toc6960"/>
      <w:r>
        <w:rPr>
          <w:rFonts w:hint="eastAsia" w:ascii="Times New Roman" w:hAnsi="Times New Roman" w:eastAsia="楷体" w:cs="Times New Roman"/>
          <w:b w:val="0"/>
          <w:bCs w:val="0"/>
          <w:color w:val="000000"/>
          <w:sz w:val="32"/>
          <w:szCs w:val="32"/>
          <w:lang w:val="en-US" w:eastAsia="zh-CN" w:bidi="ar-SA"/>
        </w:rPr>
        <w:t>（三）</w:t>
      </w:r>
      <w:r>
        <w:rPr>
          <w:rFonts w:hint="default" w:ascii="Times New Roman" w:hAnsi="Times New Roman" w:eastAsia="楷体" w:cs="Times New Roman"/>
          <w:b w:val="0"/>
          <w:bCs w:val="0"/>
          <w:color w:val="000000"/>
          <w:sz w:val="32"/>
          <w:szCs w:val="32"/>
          <w:lang w:val="en-US" w:eastAsia="zh-CN" w:bidi="ar-SA"/>
        </w:rPr>
        <w:t>实施数字基础提升工程，赋能加速产业发展</w:t>
      </w:r>
      <w:bookmarkEnd w:id="56"/>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进一步完善服务业数字化发展的基础和生态，提升企业数字化转型的意愿和能力，加快生产性服务业数字化进程，提高生产性服务业数字生产力。</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完善数字化基础设施。</w:t>
      </w:r>
      <w:r>
        <w:rPr>
          <w:rFonts w:hint="default" w:ascii="Times New Roman" w:hAnsi="Times New Roman" w:cs="Times New Roman"/>
        </w:rPr>
        <w:t>构建覆盖“5G+千兆光网+智慧专网+卫星网+物联网”的通信网络基础设施体系。加快打造人机物全面互联的工业互联网，大幅提升工业互联网平台设备链接和产业赋能能力。加快宽带网络基础设施建设改造，依托5G（第五代移动通信）、NB－IoT（窄带物联网）、SDN（软件定义网络）、NFV（网络功能虚拟化）等新一代网络通信技术，建设低时延、高带宽、广覆盖、可定制的工业互联网企业外部网络。开展IPv6（互联网协议第六版）设备、软件和解决方案应用部署，提升基于IPv6的网络水平。鼓励领军型互联网企业和互联网平台类企业参与打造开放型数字化基础设施建设，培育一批集成线下体验、线上购买、即时配送、平台资源调度、电商销售功能的新型产业互联网平台。</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支持企业数字化转型。</w:t>
      </w:r>
      <w:r>
        <w:rPr>
          <w:rFonts w:hint="default" w:ascii="Times New Roman" w:hAnsi="Times New Roman" w:cs="Times New Roman"/>
          <w:color w:val="000000"/>
          <w:szCs w:val="32"/>
        </w:rPr>
        <w:t>支持</w:t>
      </w:r>
      <w:r>
        <w:rPr>
          <w:rFonts w:hint="default" w:ascii="Times New Roman" w:hAnsi="Times New Roman" w:cs="Times New Roman"/>
          <w:szCs w:val="32"/>
        </w:rPr>
        <w:t>都市消费等领域企业</w:t>
      </w:r>
      <w:r>
        <w:rPr>
          <w:rFonts w:hint="default" w:ascii="Times New Roman" w:hAnsi="Times New Roman" w:cs="Times New Roman"/>
        </w:rPr>
        <w:t>发展以个性化定制、柔性化生产、资源共享为特征的虚拟生产、云制造等新模式。强化公共服务支撑，积极建设区域型、行业型、企业型数字化转型促进中心等公共服务平台。鼓励各类数字化服务平台、开源社区、第三方机构面向广大中小微企业提供数字化转型所需的开发工具及公共性服务。引导数字化服务商面向中小服务企业推出云服务平台，提供物联网系统、智能产品及整体解决方案，</w:t>
      </w:r>
      <w:r>
        <w:rPr>
          <w:rFonts w:hint="default" w:ascii="Times New Roman" w:hAnsi="Times New Roman" w:cs="Times New Roman"/>
          <w:szCs w:val="32"/>
          <w:lang w:bidi="ar"/>
        </w:rPr>
        <w:t>推动现代都市工业企业核心业务系统、生产设备以及产品“上云上平台”。</w:t>
      </w:r>
      <w:r>
        <w:rPr>
          <w:rFonts w:hint="default" w:ascii="Times New Roman" w:hAnsi="Times New Roman" w:cs="Times New Roman"/>
        </w:rPr>
        <w:t>建设数字化转型示范工程，树立一批数字化转型企业标杆和典型应用场景。鼓励发展工业大数据分析，支持提供工业大数据解决方案，拓展工业大数据应用场景。支持服务企业建设电商平台，推动“线上线下”交易的有机融合；推动“互联网+人力资源服务”快速发展，搭建线上人才精准对接服务、信息反馈机制、供需匹配、云培训、云面试等平台，推动人力资源服务业高质量发展。</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构建数字化共享生态。</w:t>
      </w:r>
      <w:r>
        <w:rPr>
          <w:rFonts w:hint="default" w:ascii="Times New Roman" w:hAnsi="Times New Roman" w:cs="Times New Roman"/>
        </w:rPr>
        <w:t>推动政府数据清洗与脱敏，在保障安全的前提下，分级分域推进政府数据开放，</w:t>
      </w:r>
      <w:r>
        <w:rPr>
          <w:rFonts w:hint="default" w:ascii="Times New Roman" w:hAnsi="Times New Roman" w:cs="Times New Roman"/>
          <w:color w:val="000000"/>
          <w:shd w:val="clear" w:color="auto" w:fill="FFFFFF"/>
        </w:rPr>
        <w:t>重点向社会开放交通、人口、规划、医疗、文化、商务、信用等方面的政府数据资源，</w:t>
      </w:r>
      <w:r>
        <w:rPr>
          <w:rFonts w:hint="default" w:ascii="Times New Roman" w:hAnsi="Times New Roman" w:cs="Times New Roman"/>
        </w:rPr>
        <w:t>推动形成工业互联网企业参与、利益共享、激励创新的公共数据生态。支持工业互联网服务商建设开源社区、开发者平台和开放技术网络，提供开发环境、工具和工业数据，广泛汇聚第三方开发者。</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57" w:name="_Toc14217"/>
      <w:r>
        <w:rPr>
          <w:rFonts w:hint="eastAsia" w:ascii="Times New Roman" w:hAnsi="Times New Roman" w:eastAsia="楷体" w:cs="Times New Roman"/>
          <w:b w:val="0"/>
          <w:bCs w:val="0"/>
          <w:color w:val="000000"/>
          <w:sz w:val="32"/>
          <w:szCs w:val="32"/>
          <w:lang w:val="en-US" w:eastAsia="zh-CN" w:bidi="ar-SA"/>
        </w:rPr>
        <w:t>（四）</w:t>
      </w:r>
      <w:r>
        <w:rPr>
          <w:rFonts w:hint="default" w:ascii="Times New Roman" w:hAnsi="Times New Roman" w:eastAsia="楷体" w:cs="Times New Roman"/>
          <w:b w:val="0"/>
          <w:bCs w:val="0"/>
          <w:color w:val="000000"/>
          <w:sz w:val="32"/>
          <w:szCs w:val="32"/>
          <w:lang w:val="en-US" w:eastAsia="zh-CN" w:bidi="ar-SA"/>
        </w:rPr>
        <w:t>实施企业集群提升工程，推动企业梯次培育</w:t>
      </w:r>
      <w:bookmarkEnd w:id="57"/>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引育若干具有带动作用的区域型大企业。</w:t>
      </w:r>
      <w:r>
        <w:rPr>
          <w:rFonts w:hint="default" w:ascii="Times New Roman" w:hAnsi="Times New Roman" w:cs="Times New Roman"/>
          <w:szCs w:val="32"/>
        </w:rPr>
        <w:t>实施更加精准、更有力度的产业招商措施，</w:t>
      </w:r>
      <w:r>
        <w:rPr>
          <w:rFonts w:hint="default" w:ascii="Times New Roman" w:hAnsi="Times New Roman" w:cs="Times New Roman"/>
        </w:rPr>
        <w:t>引进一批生产性服务业领军企业，加强产业链整合和价值链延伸，增强领军企业创新引领力和辐射带动力。支持</w:t>
      </w:r>
      <w:r>
        <w:rPr>
          <w:rFonts w:hint="default" w:ascii="Times New Roman" w:hAnsi="Times New Roman" w:cs="Times New Roman"/>
          <w:lang w:val="zh-CN"/>
        </w:rPr>
        <w:t>贡献较大、可稳步增长的</w:t>
      </w:r>
      <w:r>
        <w:rPr>
          <w:rFonts w:hint="default" w:ascii="Times New Roman" w:hAnsi="Times New Roman" w:cs="Times New Roman"/>
        </w:rPr>
        <w:t>生产性服务业企业向规模集团化、服务专业化、功能体系化发展，打造一批连锁型、平台型企业集团或创新发展联盟。</w:t>
      </w:r>
      <w:r>
        <w:rPr>
          <w:rFonts w:hint="default" w:ascii="Times New Roman" w:hAnsi="Times New Roman" w:cs="Times New Roman"/>
          <w:szCs w:val="32"/>
        </w:rPr>
        <w:t>加大企业上市培育力度，支持服务业重点企业在合适的证券交易所挂牌上市。</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培育一批根植于本地的创新型中小微企业。</w:t>
      </w:r>
      <w:r>
        <w:rPr>
          <w:rFonts w:hint="default" w:ascii="Times New Roman" w:hAnsi="Times New Roman" w:cs="Times New Roman"/>
        </w:rPr>
        <w:t>加强服务业中小微企业的梯度培育和引导扶持，密切关注成长性好、潜力大的生产性服务业中小微企业生产经营状况，推动成长为规模以上企业。</w:t>
      </w:r>
      <w:r>
        <w:rPr>
          <w:rFonts w:hint="default" w:ascii="Times New Roman" w:hAnsi="Times New Roman" w:cs="Times New Roman"/>
          <w:lang w:val="zh-CN"/>
        </w:rPr>
        <w:t>加大对</w:t>
      </w:r>
      <w:r>
        <w:rPr>
          <w:rFonts w:hint="default" w:ascii="Times New Roman" w:hAnsi="Times New Roman" w:cs="Times New Roman"/>
        </w:rPr>
        <w:t>生产性服务业领域</w:t>
      </w:r>
      <w:r>
        <w:rPr>
          <w:rFonts w:hint="default" w:ascii="Times New Roman" w:hAnsi="Times New Roman" w:cs="Times New Roman"/>
          <w:lang w:val="zh-CN"/>
        </w:rPr>
        <w:t>专精特新、独角兽等各类企业扶持力度，</w:t>
      </w:r>
      <w:r>
        <w:rPr>
          <w:rFonts w:hint="default" w:ascii="Times New Roman" w:hAnsi="Times New Roman" w:cs="Times New Roman"/>
        </w:rPr>
        <w:t>支持中小型企业利用关键技术、数据资源、营销网络等独特优势在细分领域成长为“单打冠军”“隐形冠军”。围绕技术创新、业态创新等方面，完善生产性服务业小微企业孵化体系和创新服务体系，鼓励开展技术、产品和模式创新，提升市场拓展、品牌建设和融资等能力，形成一批具有先进技术或新型商业模式的创新型服务业企业群。</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推动大中小企业融通发展。</w:t>
      </w:r>
      <w:r>
        <w:rPr>
          <w:rFonts w:hint="default" w:ascii="Times New Roman" w:hAnsi="Times New Roman" w:cs="Times New Roman"/>
        </w:rPr>
        <w:t>鼓励采取研发众包、“互联网+平台”、大企业内部创业、构建企业生态圈等模式，促进生产性服务业大中小企业间的业务协作、资源共享和系统集成。充分发挥大企业的主导作用、小企业的专业化优势和发展活力，促进产业链上下游关联协同、大中小企业融通互动，推进产业链条化、高端化发展，形成良好的产业互动合作机制。</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58" w:name="_Toc20258"/>
      <w:r>
        <w:rPr>
          <w:rFonts w:hint="eastAsia" w:ascii="Times New Roman" w:hAnsi="Times New Roman" w:eastAsia="楷体" w:cs="Times New Roman"/>
          <w:b w:val="0"/>
          <w:bCs w:val="0"/>
          <w:color w:val="000000"/>
          <w:sz w:val="32"/>
          <w:szCs w:val="32"/>
          <w:lang w:val="en-US" w:eastAsia="zh-CN" w:bidi="ar-SA"/>
        </w:rPr>
        <w:t>（五）</w:t>
      </w:r>
      <w:r>
        <w:rPr>
          <w:rFonts w:hint="default" w:ascii="Times New Roman" w:hAnsi="Times New Roman" w:eastAsia="楷体" w:cs="Times New Roman"/>
          <w:b w:val="0"/>
          <w:bCs w:val="0"/>
          <w:color w:val="000000"/>
          <w:sz w:val="32"/>
          <w:szCs w:val="32"/>
          <w:lang w:val="en-US" w:eastAsia="zh-CN" w:bidi="ar-SA"/>
        </w:rPr>
        <w:t>实施服务品牌提升工程，加速产业价值提升</w:t>
      </w:r>
      <w:bookmarkEnd w:id="58"/>
    </w:p>
    <w:p>
      <w:pPr>
        <w:pageBreakBefore w:val="0"/>
        <w:spacing w:line="580" w:lineRule="exact"/>
        <w:ind w:left="-6" w:leftChars="0" w:firstLine="640" w:firstLineChars="200"/>
        <w:rPr>
          <w:rFonts w:hint="default" w:ascii="Times New Roman" w:hAnsi="Times New Roman" w:cs="Times New Roman"/>
          <w:bCs/>
          <w:color w:val="000000"/>
          <w:szCs w:val="32"/>
          <w:lang w:bidi="ar"/>
        </w:rPr>
      </w:pPr>
      <w:r>
        <w:rPr>
          <w:rFonts w:hint="default" w:ascii="Times New Roman" w:hAnsi="Times New Roman" w:cs="Times New Roman"/>
          <w:bCs/>
          <w:color w:val="000000"/>
          <w:szCs w:val="32"/>
          <w:lang w:bidi="ar"/>
        </w:rPr>
        <w:t>推进生产性服务业向专业化和价值链高端发展，加速“产品、服务”向“品牌”转变，全面提升“荔湾服务”的感受度和认知度。</w:t>
      </w:r>
    </w:p>
    <w:p>
      <w:pPr>
        <w:pageBreakBefore w:val="0"/>
        <w:spacing w:line="580" w:lineRule="exact"/>
        <w:ind w:left="-6" w:leftChars="0" w:firstLine="643" w:firstLineChars="200"/>
        <w:rPr>
          <w:rFonts w:hint="default" w:ascii="Times New Roman" w:hAnsi="Times New Roman" w:cs="Times New Roman"/>
          <w:shd w:val="clear" w:color="auto" w:fill="FFFFFF"/>
        </w:rPr>
      </w:pPr>
      <w:r>
        <w:rPr>
          <w:rFonts w:hint="default" w:ascii="Times New Roman" w:hAnsi="Times New Roman" w:cs="Times New Roman"/>
          <w:b/>
          <w:shd w:val="clear" w:color="auto" w:fill="FFFFFF"/>
        </w:rPr>
        <w:t>加强生产性服务业标准建设。</w:t>
      </w:r>
      <w:r>
        <w:rPr>
          <w:rFonts w:hint="default" w:ascii="Times New Roman" w:hAnsi="Times New Roman" w:cs="Times New Roman"/>
        </w:rPr>
        <w:t>按照市场需求，结合国际领先经验，</w:t>
      </w:r>
      <w:r>
        <w:rPr>
          <w:rFonts w:hint="default" w:ascii="Times New Roman" w:hAnsi="Times New Roman" w:cs="Times New Roman"/>
          <w:color w:val="000000"/>
          <w:szCs w:val="32"/>
          <w:shd w:val="clear" w:color="auto" w:fill="FFFFFF"/>
        </w:rPr>
        <w:t>加快研究制订工业</w:t>
      </w:r>
      <w:r>
        <w:rPr>
          <w:rFonts w:hint="default" w:ascii="Times New Roman" w:hAnsi="Times New Roman" w:cs="Times New Roman"/>
        </w:rPr>
        <w:t>设计、</w:t>
      </w:r>
      <w:r>
        <w:rPr>
          <w:rFonts w:hint="default" w:ascii="Times New Roman" w:hAnsi="Times New Roman" w:cs="Times New Roman"/>
          <w:color w:val="000000"/>
          <w:szCs w:val="32"/>
          <w:shd w:val="clear" w:color="auto" w:fill="FFFFFF"/>
        </w:rPr>
        <w:t>电子商务、供应链管理、节能环保服务、检测认证服务</w:t>
      </w:r>
      <w:r>
        <w:rPr>
          <w:rFonts w:hint="default" w:ascii="Times New Roman" w:hAnsi="Times New Roman" w:cs="Times New Roman"/>
          <w:shd w:val="clear" w:color="auto" w:fill="FFFFFF"/>
        </w:rPr>
        <w:t>、人力资源服务等服务标准。鼓励社会组织和企业制定高于国家标准、行业标准和地方标准的团体标准和企业标准。</w:t>
      </w:r>
      <w:r>
        <w:rPr>
          <w:rFonts w:hint="default" w:ascii="Times New Roman" w:hAnsi="Times New Roman" w:cs="Times New Roman"/>
        </w:rPr>
        <w:t>支持</w:t>
      </w:r>
      <w:r>
        <w:rPr>
          <w:rFonts w:hint="default" w:ascii="Times New Roman" w:hAnsi="Times New Roman" w:cs="Times New Roman"/>
          <w:bCs/>
          <w:color w:val="000000"/>
          <w:szCs w:val="32"/>
          <w:lang w:bidi="ar"/>
        </w:rPr>
        <w:t>品牌企业加强国际质量认证、国际商标注册。</w:t>
      </w:r>
      <w:r>
        <w:rPr>
          <w:rFonts w:hint="default" w:ascii="Times New Roman" w:hAnsi="Times New Roman" w:cs="Times New Roman"/>
          <w:shd w:val="clear" w:color="auto" w:fill="FFFFFF"/>
        </w:rPr>
        <w:t>鼓励企业和机构打造服务业标准化示范项目，建设服务业标准化试点示范单位。</w:t>
      </w:r>
    </w:p>
    <w:p>
      <w:pPr>
        <w:pageBreakBefore w:val="0"/>
        <w:spacing w:line="580" w:lineRule="exact"/>
        <w:ind w:left="-6" w:leftChars="0" w:firstLine="643" w:firstLineChars="200"/>
        <w:rPr>
          <w:rFonts w:hint="default" w:ascii="Times New Roman" w:hAnsi="Times New Roman" w:cs="Times New Roman"/>
          <w:shd w:val="clear" w:color="auto" w:fill="FFFFFF"/>
        </w:rPr>
      </w:pPr>
      <w:r>
        <w:rPr>
          <w:rFonts w:hint="default" w:ascii="Times New Roman" w:hAnsi="Times New Roman" w:cs="Times New Roman"/>
          <w:b/>
          <w:bCs/>
        </w:rPr>
        <w:t>推动生产性服务业品牌培育。</w:t>
      </w:r>
      <w:r>
        <w:rPr>
          <w:rFonts w:hint="default" w:ascii="Times New Roman" w:hAnsi="Times New Roman" w:cs="Times New Roman"/>
          <w:szCs w:val="32"/>
        </w:rPr>
        <w:t>支持服务业企业增品牌、创品牌，</w:t>
      </w:r>
      <w:r>
        <w:rPr>
          <w:rFonts w:hint="default" w:ascii="Times New Roman" w:hAnsi="Times New Roman" w:cs="Times New Roman"/>
          <w:shd w:val="clear" w:color="auto" w:fill="FFFFFF"/>
        </w:rPr>
        <w:t>以工业设计为重点，打造“设计+品牌”“设计+科技”“设计+文化”等新模式、新业态，形成“设计+”产业链，培育一批有影响力的区域品牌。引导电子商务、软件与信息服务、工业互联网等企业注册并规范使用商标、商号，鼓励有条件的企业收购、兼并、参股国内外知名品牌，推动企业从产品竞争、价格竞争为主向以质量竞争、品牌竞争为主转变。加强生产性服务业产品展示，如探索建设工业互联网产业集群展示体验中心，综合运用5G+4K/8K、AR、VR、人机交互等技术，集中展示数字化解决方案和工业互联网应用成果。</w:t>
      </w:r>
      <w:r>
        <w:rPr>
          <w:rFonts w:hint="default" w:ascii="Times New Roman" w:hAnsi="Times New Roman" w:cs="Times New Roman"/>
          <w:bCs/>
          <w:color w:val="000000"/>
          <w:szCs w:val="32"/>
          <w:lang w:bidi="ar"/>
        </w:rPr>
        <w:t>建立新锐品牌发现机制，聚焦健康、时尚、创意等领域，建立新产品和新企业品牌培育库，开展品牌培育试点示范。</w:t>
      </w:r>
      <w:r>
        <w:rPr>
          <w:rFonts w:hint="default" w:ascii="Times New Roman" w:hAnsi="Times New Roman" w:cs="Times New Roman"/>
          <w:color w:val="000000"/>
          <w:shd w:val="clear" w:color="auto" w:fill="FFFFFF"/>
        </w:rPr>
        <w:t>鼓励设立品牌会展中心，开展国际认证和商标注册，加强品牌推广宣传。培育品牌建设中介服务企业，建设一批品牌推广专业化服务平台。</w:t>
      </w:r>
      <w:r>
        <w:rPr>
          <w:rFonts w:hint="default" w:ascii="Times New Roman" w:hAnsi="Times New Roman" w:cs="Times New Roman"/>
          <w:shd w:val="clear" w:color="auto" w:fill="FFFFFF"/>
        </w:rPr>
        <w:t>支持鼓励行业商（协）会、直播电商企业及MCN机构等在荔湾举办或承办直播电商博览会、论坛会议、直播带货活动等具有行业影响力的重大活动。</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shd w:val="clear" w:color="auto" w:fill="FFFFFF"/>
        </w:rPr>
        <w:t>加强生产性服务业质量管理。</w:t>
      </w:r>
      <w:r>
        <w:rPr>
          <w:rFonts w:hint="default" w:ascii="Times New Roman" w:hAnsi="Times New Roman" w:cs="Times New Roman"/>
          <w:shd w:val="clear" w:color="auto" w:fill="FFFFFF"/>
        </w:rPr>
        <w:t>引导企业加强全面质量管理，</w:t>
      </w:r>
      <w:r>
        <w:rPr>
          <w:rFonts w:hint="default" w:ascii="Times New Roman" w:hAnsi="Times New Roman" w:cs="Times New Roman"/>
        </w:rPr>
        <w:t>探索建立质量分级标准规则，实施服务质量分级，引导优质优价，促进精准监管。鼓励企业实施质量承诺和标准自我声明公开</w:t>
      </w:r>
      <w:r>
        <w:rPr>
          <w:rFonts w:hint="default" w:ascii="Times New Roman" w:hAnsi="Times New Roman" w:cs="Times New Roman"/>
          <w:shd w:val="clear" w:color="auto" w:fill="FFFFFF"/>
        </w:rPr>
        <w:t>，主动发布服务质量标准、质量状况报告。</w:t>
      </w:r>
      <w:r>
        <w:rPr>
          <w:rFonts w:hint="default" w:ascii="Times New Roman" w:hAnsi="Times New Roman" w:cs="Times New Roman"/>
        </w:rPr>
        <w:t>加快服务质量和服务水平与港澳地区及国外先进地区的接轨，促进生产性服务行业规范化、标准化、国际化。</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59" w:name="_Toc25756"/>
      <w:bookmarkStart w:id="60" w:name="_Toc51117578"/>
      <w:r>
        <w:rPr>
          <w:rFonts w:hint="eastAsia" w:ascii="Times New Roman" w:hAnsi="Times New Roman" w:eastAsia="楷体" w:cs="Times New Roman"/>
          <w:b w:val="0"/>
          <w:bCs w:val="0"/>
          <w:color w:val="000000"/>
          <w:sz w:val="32"/>
          <w:szCs w:val="32"/>
          <w:lang w:val="en-US" w:eastAsia="zh-CN" w:bidi="ar-SA"/>
        </w:rPr>
        <w:t>（六）</w:t>
      </w:r>
      <w:r>
        <w:rPr>
          <w:rFonts w:hint="default" w:ascii="Times New Roman" w:hAnsi="Times New Roman" w:eastAsia="楷体" w:cs="Times New Roman"/>
          <w:b w:val="0"/>
          <w:bCs w:val="0"/>
          <w:color w:val="000000"/>
          <w:sz w:val="32"/>
          <w:szCs w:val="32"/>
          <w:lang w:val="en-US" w:eastAsia="zh-CN" w:bidi="ar-SA"/>
        </w:rPr>
        <w:t>实施营商环境提升工程，营造良性产业生态</w:t>
      </w:r>
      <w:bookmarkEnd w:id="59"/>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提高服务效能。</w:t>
      </w:r>
      <w:r>
        <w:rPr>
          <w:rFonts w:hint="default" w:ascii="Times New Roman" w:hAnsi="Times New Roman" w:cs="Times New Roman"/>
        </w:rPr>
        <w:t>全面深化“放管服”和“一次办好”改革，推行全程电子化商事登记服务，开办企业“免预约、零见面、无纸化”即时办理，拓展“容缺容错审批”“告知承诺制”实施范围。推行生产性服务业“极简审批”，最大限度取消和下放审批事项，依托“一站式”工程建设项目审批“综合窗口”，简化工程招标、建筑许可、获得电力等事项审批环节。</w:t>
      </w:r>
    </w:p>
    <w:p>
      <w:pPr>
        <w:pageBreakBefore w:val="0"/>
        <w:spacing w:line="580" w:lineRule="exact"/>
        <w:ind w:left="-6" w:leftChars="0" w:firstLine="643" w:firstLineChars="200"/>
        <w:rPr>
          <w:rFonts w:hint="default" w:ascii="Times New Roman" w:hAnsi="Times New Roman" w:cs="Times New Roman"/>
          <w:lang w:val="zh-CN"/>
        </w:rPr>
      </w:pPr>
      <w:r>
        <w:rPr>
          <w:rFonts w:hint="default" w:ascii="Times New Roman" w:hAnsi="Times New Roman" w:cs="Times New Roman"/>
          <w:b/>
        </w:rPr>
        <w:t>优化市场环境。</w:t>
      </w:r>
      <w:r>
        <w:rPr>
          <w:rFonts w:hint="default" w:ascii="Times New Roman" w:hAnsi="Times New Roman" w:cs="Times New Roman"/>
          <w:lang w:val="zh-CN"/>
        </w:rPr>
        <w:t>构建亲清新型政商关系，围绕“民营经济20条”及实施细则，主动做好企业服务。</w:t>
      </w:r>
      <w:r>
        <w:rPr>
          <w:rFonts w:hint="default" w:ascii="Times New Roman" w:hAnsi="Times New Roman" w:cs="Times New Roman"/>
        </w:rPr>
        <w:t>全力争取把《南沙方案》政策红利拓展到广佛极点，复制推广到广佛高质量发展融合试验区，力争在城市更新、产业发展、人才引进等方面获得更多先行先试的政策支持。</w:t>
      </w:r>
      <w:r>
        <w:rPr>
          <w:rFonts w:hint="default" w:ascii="Times New Roman" w:hAnsi="Times New Roman" w:cs="Times New Roman"/>
          <w:lang w:val="zh-CN"/>
        </w:rPr>
        <w:t>全面推进信用信息的归集共享与应用，</w:t>
      </w:r>
      <w:r>
        <w:rPr>
          <w:rFonts w:hint="default" w:ascii="Times New Roman" w:hAnsi="Times New Roman" w:cs="Times New Roman"/>
        </w:rPr>
        <w:t>构建全市统一的“互联网+监管”体系，</w:t>
      </w:r>
      <w:r>
        <w:rPr>
          <w:rFonts w:hint="default" w:ascii="Times New Roman" w:hAnsi="Times New Roman" w:cs="Times New Roman"/>
          <w:lang w:val="zh-CN"/>
        </w:rPr>
        <w:t>完善信用监管和失信约束机制，</w:t>
      </w:r>
      <w:r>
        <w:rPr>
          <w:rFonts w:hint="default" w:ascii="Times New Roman" w:hAnsi="Times New Roman" w:cs="Times New Roman"/>
        </w:rPr>
        <w:t>加大守信激励、失信惩戒力度，实施信用赋能。</w:t>
      </w:r>
      <w:r>
        <w:rPr>
          <w:rFonts w:hint="default" w:ascii="Times New Roman" w:hAnsi="Times New Roman" w:cs="Times New Roman"/>
          <w:lang w:val="zh-CN"/>
        </w:rPr>
        <w:t>发挥行业协会商会作用，支持协会商会举办关于产业发展的专题研讨和技术、产品展览展销活动，推动行业交流合作。</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统筹招商引资。</w:t>
      </w:r>
      <w:r>
        <w:rPr>
          <w:rFonts w:hint="default" w:ascii="Times New Roman" w:hAnsi="Times New Roman" w:cs="Times New Roman"/>
          <w:shd w:val="clear" w:color="auto" w:fill="FFFFFF"/>
        </w:rPr>
        <w:t>把招商引资作为“一把手”工程，结合全区可出让地块、商业楼宇、园区、旧厂等资源，锚定生产性服务业重点领域，</w:t>
      </w:r>
      <w:r>
        <w:rPr>
          <w:rFonts w:hint="default" w:ascii="Times New Roman" w:hAnsi="Times New Roman" w:cs="Times New Roman"/>
        </w:rPr>
        <w:t>举办专项招商大会，</w:t>
      </w:r>
      <w:r>
        <w:rPr>
          <w:rFonts w:hint="default" w:ascii="Times New Roman" w:hAnsi="Times New Roman" w:cs="Times New Roman"/>
          <w:shd w:val="clear" w:color="auto" w:fill="FFFFFF"/>
        </w:rPr>
        <w:t>强化产业链招商和精准靶向招商。</w:t>
      </w:r>
      <w:r>
        <w:rPr>
          <w:rFonts w:hint="default" w:ascii="Times New Roman" w:hAnsi="Times New Roman" w:cs="Times New Roman"/>
        </w:rPr>
        <w:t>充分发挥企业家、招商能人的渠道优势和信息资源，以商招商。注重发挥专业服务机构作用，鼓励相关行业协会和咨询、银行、保险、基金、会计师事务所、律师事务所等机构利用客户资源、信息网络优势，参与招商引资工作。</w:t>
      </w:r>
    </w:p>
    <w:p>
      <w:pPr>
        <w:pageBreakBefore w:val="0"/>
        <w:spacing w:line="580" w:lineRule="exact"/>
        <w:ind w:left="-6" w:leftChars="0" w:firstLine="643" w:firstLineChars="200"/>
        <w:rPr>
          <w:rFonts w:hint="default" w:ascii="Times New Roman" w:hAnsi="Times New Roman" w:cs="Times New Roman"/>
          <w:lang w:val="zh-CN"/>
        </w:rPr>
      </w:pPr>
      <w:r>
        <w:rPr>
          <w:rFonts w:hint="default" w:ascii="Times New Roman" w:hAnsi="Times New Roman" w:cs="Times New Roman"/>
          <w:b/>
        </w:rPr>
        <w:t>加强知识产权保护。</w:t>
      </w:r>
      <w:r>
        <w:rPr>
          <w:rFonts w:hint="default" w:ascii="Times New Roman" w:hAnsi="Times New Roman" w:cs="Times New Roman"/>
        </w:rPr>
        <w:t>鼓励生产性服务业企业创造自主知识产权，加强对服务模式、服务内容等创新的保护。加强知识产权执法，加大对侵犯知识产权的打击力度，维护市场秩序，保护创新积极性。</w:t>
      </w:r>
      <w:r>
        <w:rPr>
          <w:rFonts w:hint="default" w:ascii="Times New Roman" w:hAnsi="Times New Roman" w:cs="Times New Roman"/>
          <w:bCs/>
          <w:szCs w:val="24"/>
        </w:rPr>
        <w:t>开展新型知识产权法律保护试点，完善互联网信息等数字知识产权财产权益保护制度，探索建立健全证据披露、证据妨碍排除和优势证据规则，建立知识产权侵权惩罚性赔偿制度。</w:t>
      </w:r>
      <w:r>
        <w:rPr>
          <w:rFonts w:hint="default" w:ascii="Times New Roman" w:hAnsi="Times New Roman" w:cs="Times New Roman"/>
          <w:lang w:val="zh-CN"/>
        </w:rPr>
        <w:t>建立财政资助项目形成的知识产业信息披露制度，推动专利、商标、版权等基础信息免费或低成本开放。</w:t>
      </w:r>
      <w:bookmarkStart w:id="61" w:name="_Toc26823"/>
    </w:p>
    <w:p>
      <w:pPr>
        <w:pageBreakBefore w:val="0"/>
        <w:spacing w:line="580" w:lineRule="exact"/>
        <w:ind w:left="-6" w:leftChars="0" w:firstLine="640" w:firstLineChars="200"/>
        <w:rPr>
          <w:rFonts w:hint="default" w:ascii="Times New Roman" w:hAnsi="Times New Roman" w:eastAsia="黑体" w:cs="Times New Roman"/>
          <w:b w:val="0"/>
          <w:bCs w:val="0"/>
          <w:sz w:val="32"/>
          <w:szCs w:val="44"/>
          <w:lang w:val="en-US" w:eastAsia="zh-CN" w:bidi="ar-SA"/>
        </w:rPr>
      </w:pPr>
      <w:r>
        <w:rPr>
          <w:rFonts w:hint="default" w:ascii="Times New Roman" w:hAnsi="Times New Roman" w:eastAsia="黑体" w:cs="Times New Roman"/>
          <w:b w:val="0"/>
          <w:bCs w:val="0"/>
          <w:sz w:val="32"/>
          <w:szCs w:val="44"/>
          <w:lang w:val="en-US" w:eastAsia="zh-CN" w:bidi="ar-SA"/>
        </w:rPr>
        <w:t>七、保障措施</w:t>
      </w:r>
      <w:bookmarkEnd w:id="60"/>
      <w:bookmarkEnd w:id="61"/>
    </w:p>
    <w:p>
      <w:pPr>
        <w:pageBreakBefore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rPr>
        <w:t>重点从加强组织统筹协调、加大财政资金支持、扩大企业融资渠道、筑牢优质人才支撑、完善考核评估等方面加强规划实施保障。建立健全规划实施工作机制，形成高效有序工作体系，营造产业发展良好环境，持续优化产业引导政策，激发市场主体、社会力量共同推动生产性服务业发展，确保规划主要目标和任务顺利实现。</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62" w:name="_Toc16939"/>
      <w:r>
        <w:rPr>
          <w:rFonts w:hint="eastAsia" w:ascii="Times New Roman" w:hAnsi="Times New Roman" w:eastAsia="楷体" w:cs="Times New Roman"/>
          <w:b w:val="0"/>
          <w:bCs w:val="0"/>
          <w:color w:val="000000"/>
          <w:sz w:val="32"/>
          <w:szCs w:val="32"/>
          <w:lang w:val="en-US" w:eastAsia="zh-CN" w:bidi="ar-SA"/>
        </w:rPr>
        <w:t>（一）</w:t>
      </w:r>
      <w:r>
        <w:rPr>
          <w:rFonts w:hint="default" w:ascii="Times New Roman" w:hAnsi="Times New Roman" w:eastAsia="楷体" w:cs="Times New Roman"/>
          <w:b w:val="0"/>
          <w:bCs w:val="0"/>
          <w:color w:val="000000"/>
          <w:sz w:val="32"/>
          <w:szCs w:val="32"/>
          <w:lang w:val="en-US" w:eastAsia="zh-CN" w:bidi="ar-SA"/>
        </w:rPr>
        <w:t>加强组织统筹协调</w:t>
      </w:r>
      <w:bookmarkEnd w:id="62"/>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eastAsia="仿宋" w:cs="Times New Roman"/>
          <w:b/>
          <w:szCs w:val="28"/>
        </w:rPr>
        <w:t>加强组织核心领导</w:t>
      </w:r>
      <w:r>
        <w:rPr>
          <w:rFonts w:hint="default" w:ascii="Times New Roman" w:hAnsi="Times New Roman" w:eastAsia="仿宋" w:cs="Times New Roman"/>
          <w:szCs w:val="28"/>
        </w:rPr>
        <w:t>。</w:t>
      </w:r>
      <w:r>
        <w:rPr>
          <w:rFonts w:hint="default" w:ascii="Times New Roman" w:hAnsi="Times New Roman" w:cs="Times New Roman"/>
        </w:rPr>
        <w:t>为高标准推动我区生产性服务业高质量发展，大力提升服务实体经济能力、加快构建现代</w:t>
      </w:r>
      <w:r>
        <w:rPr>
          <w:rFonts w:hint="eastAsia" w:ascii="Times New Roman" w:hAnsi="Times New Roman" w:cs="Times New Roman"/>
          <w:lang w:val="en-US" w:eastAsia="zh-CN"/>
        </w:rPr>
        <w:t>化</w:t>
      </w:r>
      <w:r>
        <w:rPr>
          <w:rFonts w:hint="default" w:ascii="Times New Roman" w:hAnsi="Times New Roman" w:cs="Times New Roman"/>
        </w:rPr>
        <w:t>产业体系，强化区职能部门、“区-街道”工作联动，及时研究和解决生产性服务业发展的重大问题，确保各项工作高效运行、落地落实。</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eastAsia="仿宋" w:cs="Times New Roman"/>
          <w:b/>
          <w:szCs w:val="28"/>
        </w:rPr>
        <w:t>完善规划实施机制</w:t>
      </w:r>
      <w:r>
        <w:rPr>
          <w:rFonts w:hint="default" w:ascii="Times New Roman" w:hAnsi="Times New Roman" w:eastAsia="仿宋" w:cs="Times New Roman"/>
          <w:szCs w:val="28"/>
        </w:rPr>
        <w:t>。</w:t>
      </w:r>
      <w:r>
        <w:rPr>
          <w:rFonts w:hint="default" w:ascii="Times New Roman" w:hAnsi="Times New Roman" w:cs="Times New Roman"/>
        </w:rPr>
        <w:t>各相关职能部门根据任务分工协同推进生产性服务业高质量发展，形成统筹协调、分工协作、多方联动的生产性服务业组织工作体系</w:t>
      </w:r>
      <w:r>
        <w:rPr>
          <w:rFonts w:hint="default" w:ascii="Times New Roman" w:hAnsi="Times New Roman" w:cs="Times New Roman"/>
          <w:szCs w:val="32"/>
        </w:rPr>
        <w:t>，确保规划目标任务有计划、按步骤落实。</w:t>
      </w:r>
      <w:r>
        <w:rPr>
          <w:rFonts w:hint="default" w:ascii="Times New Roman" w:hAnsi="Times New Roman" w:cs="Times New Roman"/>
        </w:rPr>
        <w:t>定期统筹汇总工作推进情况，需协调的事项可随时提请分管区领导协调解决，重大事项及时报区委、区政府研究解决。区委、区政府主要领导定期听取工作整体推进情况。</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63" w:name="_Toc10562"/>
      <w:r>
        <w:rPr>
          <w:rFonts w:hint="eastAsia" w:ascii="Times New Roman" w:hAnsi="Times New Roman" w:eastAsia="楷体" w:cs="Times New Roman"/>
          <w:b w:val="0"/>
          <w:bCs w:val="0"/>
          <w:color w:val="000000"/>
          <w:sz w:val="32"/>
          <w:szCs w:val="32"/>
          <w:lang w:val="en-US" w:eastAsia="zh-CN" w:bidi="ar-SA"/>
        </w:rPr>
        <w:t>（二）</w:t>
      </w:r>
      <w:r>
        <w:rPr>
          <w:rFonts w:hint="default" w:ascii="Times New Roman" w:hAnsi="Times New Roman" w:eastAsia="楷体" w:cs="Times New Roman"/>
          <w:b w:val="0"/>
          <w:bCs w:val="0"/>
          <w:color w:val="000000"/>
          <w:sz w:val="32"/>
          <w:szCs w:val="32"/>
          <w:lang w:val="en-US" w:eastAsia="zh-CN" w:bidi="ar-SA"/>
        </w:rPr>
        <w:t>加大财政资金支持</w:t>
      </w:r>
      <w:bookmarkEnd w:id="63"/>
    </w:p>
    <w:p>
      <w:pPr>
        <w:pageBreakBefore w:val="0"/>
        <w:spacing w:line="580" w:lineRule="exact"/>
        <w:ind w:left="-6" w:leftChars="0" w:firstLine="643" w:firstLineChars="200"/>
        <w:rPr>
          <w:rFonts w:hint="default" w:ascii="Times New Roman" w:hAnsi="Times New Roman" w:cs="Times New Roman"/>
          <w:bCs/>
        </w:rPr>
      </w:pPr>
      <w:r>
        <w:rPr>
          <w:rFonts w:hint="default" w:ascii="Times New Roman" w:hAnsi="Times New Roman" w:eastAsia="仿宋" w:cs="Times New Roman"/>
          <w:b/>
          <w:szCs w:val="28"/>
        </w:rPr>
        <w:t>提升财政专项资金绩效</w:t>
      </w:r>
      <w:r>
        <w:rPr>
          <w:rFonts w:hint="default" w:ascii="Times New Roman" w:hAnsi="Times New Roman" w:eastAsia="仿宋" w:cs="Times New Roman"/>
          <w:szCs w:val="28"/>
        </w:rPr>
        <w:t>。</w:t>
      </w:r>
      <w:r>
        <w:rPr>
          <w:rFonts w:hint="default" w:ascii="Times New Roman" w:hAnsi="Times New Roman" w:cs="Times New Roman"/>
          <w:bCs/>
        </w:rPr>
        <w:t>充分发挥现有政策红利，鼓励利用现有专项资金加大对生产性服务业重点领域、重点企业、重大项目的支持力度，提高资金使用效率。</w:t>
      </w:r>
      <w:r>
        <w:rPr>
          <w:rFonts w:hint="default" w:ascii="Times New Roman" w:hAnsi="Times New Roman" w:cs="Times New Roman"/>
        </w:rPr>
        <w:t>支持符合条件的服务企业申请认定为高新技术企业和技术先进型企业，确保相关优惠政策的落实。</w:t>
      </w:r>
      <w:r>
        <w:rPr>
          <w:rFonts w:hint="default" w:ascii="Times New Roman" w:hAnsi="Times New Roman" w:cs="Times New Roman"/>
          <w:shd w:val="clear" w:color="auto" w:fill="FFFFFF"/>
        </w:rPr>
        <w:t>探索通过贷款贴息、产业用房租金补贴等方式对生产性服务业重点项目择优进行支持。</w:t>
      </w:r>
    </w:p>
    <w:p>
      <w:pPr>
        <w:pageBreakBefore w:val="0"/>
        <w:widowControl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优化产业基金运营管理</w:t>
      </w:r>
      <w:r>
        <w:rPr>
          <w:rFonts w:hint="default" w:ascii="Times New Roman" w:hAnsi="Times New Roman" w:cs="Times New Roman"/>
        </w:rPr>
        <w:t>。加强产业基金引导，增强企业与资本的粘性。发挥政府产业的引导作用，积极介入生产性服务业中的初创型企业、独角兽企业、成长型企业等的融资环节，以政府基金背书形式为初创型企业、独角兽企业、成长型企业提供支持，为企业在地持续经营发展提供保障。</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64" w:name="_Toc137492661"/>
      <w:bookmarkEnd w:id="64"/>
      <w:bookmarkStart w:id="65" w:name="_Toc137493011"/>
      <w:bookmarkEnd w:id="65"/>
      <w:bookmarkStart w:id="66" w:name="_Toc137480739"/>
      <w:bookmarkEnd w:id="66"/>
      <w:bookmarkStart w:id="67" w:name="_Toc137493644"/>
      <w:bookmarkEnd w:id="67"/>
      <w:bookmarkStart w:id="68" w:name="_Toc137493114"/>
      <w:bookmarkEnd w:id="68"/>
      <w:bookmarkStart w:id="69" w:name="_Toc137480776"/>
      <w:bookmarkEnd w:id="69"/>
      <w:bookmarkStart w:id="70" w:name="_Toc137496415"/>
      <w:bookmarkEnd w:id="70"/>
      <w:bookmarkStart w:id="71" w:name="_Toc137493310"/>
      <w:bookmarkEnd w:id="71"/>
      <w:bookmarkStart w:id="72" w:name="_Toc27494"/>
      <w:r>
        <w:rPr>
          <w:rFonts w:hint="eastAsia" w:ascii="Times New Roman" w:hAnsi="Times New Roman" w:eastAsia="楷体" w:cs="Times New Roman"/>
          <w:b w:val="0"/>
          <w:bCs w:val="0"/>
          <w:color w:val="000000"/>
          <w:sz w:val="32"/>
          <w:szCs w:val="32"/>
          <w:lang w:val="en-US" w:eastAsia="zh-CN" w:bidi="ar-SA"/>
        </w:rPr>
        <w:t>（三）</w:t>
      </w:r>
      <w:r>
        <w:rPr>
          <w:rFonts w:hint="default" w:ascii="Times New Roman" w:hAnsi="Times New Roman" w:eastAsia="楷体" w:cs="Times New Roman"/>
          <w:b w:val="0"/>
          <w:bCs w:val="0"/>
          <w:color w:val="000000"/>
          <w:sz w:val="32"/>
          <w:szCs w:val="32"/>
          <w:lang w:val="en-US" w:eastAsia="zh-CN" w:bidi="ar-SA"/>
        </w:rPr>
        <w:t>扩大企业融资渠道</w:t>
      </w:r>
      <w:bookmarkEnd w:id="72"/>
    </w:p>
    <w:p>
      <w:pPr>
        <w:pageBreakBefore w:val="0"/>
        <w:widowControl w:val="0"/>
        <w:spacing w:line="580" w:lineRule="exact"/>
        <w:ind w:left="-6" w:leftChars="0" w:firstLine="643" w:firstLineChars="200"/>
        <w:rPr>
          <w:rFonts w:hint="default" w:ascii="Times New Roman" w:hAnsi="Times New Roman" w:cs="Times New Roman"/>
          <w:szCs w:val="32"/>
          <w:highlight w:val="yellow"/>
        </w:rPr>
      </w:pPr>
      <w:r>
        <w:rPr>
          <w:rFonts w:hint="default" w:ascii="Times New Roman" w:hAnsi="Times New Roman" w:cs="Times New Roman"/>
          <w:b/>
        </w:rPr>
        <w:t>加快产业金融发展。</w:t>
      </w:r>
      <w:r>
        <w:rPr>
          <w:rFonts w:hint="default" w:ascii="Times New Roman" w:hAnsi="Times New Roman" w:cs="Times New Roman"/>
        </w:rPr>
        <w:t>推动产业金融服务实体经济，关注金融业对整体产业生态的牵引作用，对接珠江西岸制造业发展资金需求，</w:t>
      </w:r>
      <w:r>
        <w:rPr>
          <w:rFonts w:hint="default" w:ascii="Times New Roman" w:hAnsi="Times New Roman" w:cs="Times New Roman"/>
          <w:bCs/>
          <w:szCs w:val="32"/>
        </w:rPr>
        <w:t>面向2035长远布局，借力广州金融业战略布局，探索</w:t>
      </w:r>
      <w:r>
        <w:rPr>
          <w:rFonts w:hint="default" w:ascii="Times New Roman" w:hAnsi="Times New Roman" w:cs="Times New Roman"/>
          <w:szCs w:val="32"/>
        </w:rPr>
        <w:t>构建以</w:t>
      </w:r>
      <w:r>
        <w:rPr>
          <w:rFonts w:hint="default" w:ascii="Times New Roman" w:hAnsi="Times New Roman" w:cs="Times New Roman"/>
        </w:rPr>
        <w:t>科技金融、供应链金融</w:t>
      </w:r>
      <w:r>
        <w:rPr>
          <w:rFonts w:hint="default" w:ascii="Times New Roman" w:hAnsi="Times New Roman" w:cs="Times New Roman"/>
          <w:szCs w:val="32"/>
        </w:rPr>
        <w:t>为特色的产业金融服务体系</w:t>
      </w:r>
      <w:r>
        <w:rPr>
          <w:rFonts w:hint="default" w:ascii="Times New Roman" w:hAnsi="Times New Roman" w:cs="Times New Roman"/>
        </w:rPr>
        <w:t>。</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支持企业开展直接融资</w:t>
      </w:r>
      <w:r>
        <w:rPr>
          <w:rFonts w:hint="default" w:ascii="Times New Roman" w:hAnsi="Times New Roman" w:cs="Times New Roman"/>
        </w:rPr>
        <w:t>。鼓励有条件的企业发行超短期融资券、中期票据、项目收益债等。切实发挥区属国企“主力军”作用，鼓励荔源国有资产经营管理集团支持现代产业体系小众创业项目，发挥白鹅潭基金管理有限公司在产业发展中的导向作用，引导社会资本进入生产性服务业领域，为企业提供贷款贴息等金融支持。构建科技创新投融资体系，鼓励港澳金融机构在荔湾设立创投风投机构，引导风险投资和天使投资投向种子期、初创期的科技企业，加大募集和投资金额。</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推动金融服务扩品种降成本</w:t>
      </w:r>
      <w:r>
        <w:rPr>
          <w:rFonts w:hint="default" w:ascii="Times New Roman" w:hAnsi="Times New Roman" w:cs="Times New Roman"/>
        </w:rPr>
        <w:t>。支持银行机构以“金融超市”模式推出特色金融产品，鼓励针对企业需求定制化提供金融产品，为创新型企业提供贷款优惠。</w:t>
      </w:r>
      <w:r>
        <w:rPr>
          <w:rFonts w:hint="default" w:ascii="Times New Roman" w:hAnsi="Times New Roman" w:cs="Times New Roman"/>
          <w:szCs w:val="32"/>
        </w:rPr>
        <w:t>积极运用大数据、区块链等技术，开展信用融资、供应链融资。</w:t>
      </w:r>
      <w:r>
        <w:rPr>
          <w:rFonts w:hint="default" w:ascii="Times New Roman" w:hAnsi="Times New Roman" w:cs="Times New Roman"/>
        </w:rPr>
        <w:t>鼓励发展知识产权质押、信用保险保单质押等新型金融产品，健全兼并收购、股权回购、科创板等多元化退出机制。</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73" w:name="_Toc2864"/>
      <w:r>
        <w:rPr>
          <w:rFonts w:hint="eastAsia" w:ascii="Times New Roman" w:hAnsi="Times New Roman" w:eastAsia="楷体" w:cs="Times New Roman"/>
          <w:b w:val="0"/>
          <w:bCs w:val="0"/>
          <w:color w:val="000000"/>
          <w:sz w:val="32"/>
          <w:szCs w:val="32"/>
          <w:lang w:val="en-US" w:eastAsia="zh-CN" w:bidi="ar-SA"/>
        </w:rPr>
        <w:t>（四）</w:t>
      </w:r>
      <w:r>
        <w:rPr>
          <w:rFonts w:hint="default" w:ascii="Times New Roman" w:hAnsi="Times New Roman" w:eastAsia="楷体" w:cs="Times New Roman"/>
          <w:b w:val="0"/>
          <w:bCs w:val="0"/>
          <w:color w:val="000000"/>
          <w:sz w:val="32"/>
          <w:szCs w:val="32"/>
          <w:lang w:val="en-US" w:eastAsia="zh-CN" w:bidi="ar-SA"/>
        </w:rPr>
        <w:t>筑牢优质人才支撑</w:t>
      </w:r>
      <w:bookmarkEnd w:id="73"/>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完善人才培养机制。</w:t>
      </w:r>
      <w:r>
        <w:rPr>
          <w:rFonts w:hint="default" w:ascii="Times New Roman" w:hAnsi="Times New Roman" w:cs="Times New Roman"/>
        </w:rPr>
        <w:t>推广校企合作操作型人才培养模式，鼓励人力资源服务企业和高校开展“订单式”培训，探索“产教融合、校企合作”生产性服务业人才培养模式。搭建高技能人才训练公共服务平台，对生产性服务业紧缺的高技能人才进行培训资助。</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拓宽人才引进机制。</w:t>
      </w:r>
      <w:r>
        <w:rPr>
          <w:rFonts w:hint="default" w:ascii="Times New Roman" w:hAnsi="Times New Roman" w:cs="Times New Roman"/>
        </w:rPr>
        <w:t>围绕生产服务业重点领域，制定产业人才队伍发展路线图，探索更加灵活的引智模式，加快</w:t>
      </w:r>
      <w:r>
        <w:rPr>
          <w:rFonts w:hint="default" w:ascii="Times New Roman" w:hAnsi="Times New Roman" w:cs="Times New Roman"/>
          <w:color w:val="000000"/>
          <w:szCs w:val="32"/>
        </w:rPr>
        <w:t>实施“荔湾英才”</w:t>
      </w:r>
      <w:r>
        <w:rPr>
          <w:rFonts w:hint="default" w:ascii="Times New Roman" w:hAnsi="Times New Roman" w:cs="Times New Roman"/>
          <w:color w:val="000000"/>
          <w:szCs w:val="32"/>
          <w:lang w:val="en-US" w:eastAsia="zh-CN"/>
        </w:rPr>
        <w:t>若干意见、</w:t>
      </w:r>
      <w:r>
        <w:rPr>
          <w:rFonts w:hint="default" w:ascii="Times New Roman" w:hAnsi="Times New Roman" w:cs="Times New Roman"/>
          <w:color w:val="000000"/>
          <w:szCs w:val="32"/>
        </w:rPr>
        <w:t>“扬帆”研修班，</w:t>
      </w:r>
      <w:r>
        <w:rPr>
          <w:rFonts w:hint="default" w:ascii="Times New Roman" w:hAnsi="Times New Roman" w:cs="Times New Roman"/>
        </w:rPr>
        <w:t>全方位、多渠道引进一批生产性服务业高端知识型人才和核心技术团队落户荔湾。进一步落实与佛山南海共建“荔湾-南海人才高质量发展合作区”，加快搭建港澳青年创新创业平台。</w:t>
      </w:r>
    </w:p>
    <w:p>
      <w:pPr>
        <w:pageBreakBefore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建立人才激励机制。</w:t>
      </w:r>
      <w:r>
        <w:rPr>
          <w:rFonts w:hint="default" w:ascii="Times New Roman" w:hAnsi="Times New Roman" w:cs="Times New Roman"/>
        </w:rPr>
        <w:t>赋予科研人员、技术人员等更大的科研自主权，依法保护企业家的创新收益和财产权。创新人才评价机制，完善科研成果、知识产权归属、利益分配机制，探索推行期权期股激励，开展科技人才评选活动，落实对科技人才的各项激励机制，对有突出贡献的专业人才给予奖励。</w:t>
      </w:r>
    </w:p>
    <w:p>
      <w:pPr>
        <w:pageBreakBefore w:val="0"/>
        <w:widowControl w:val="0"/>
        <w:spacing w:line="580" w:lineRule="exact"/>
        <w:ind w:left="-6" w:leftChars="0" w:firstLine="643" w:firstLineChars="200"/>
        <w:rPr>
          <w:rFonts w:hint="default" w:ascii="Times New Roman" w:hAnsi="Times New Roman" w:cs="Times New Roman"/>
        </w:rPr>
      </w:pPr>
      <w:r>
        <w:rPr>
          <w:rFonts w:hint="default" w:ascii="Times New Roman" w:hAnsi="Times New Roman" w:cs="Times New Roman"/>
          <w:b/>
        </w:rPr>
        <w:t>优化人才服务环境。</w:t>
      </w:r>
      <w:r>
        <w:rPr>
          <w:rFonts w:hint="default" w:ascii="Times New Roman" w:hAnsi="Times New Roman" w:cs="Times New Roman"/>
        </w:rPr>
        <w:t>集成人才服务措施，简化审批程序，提高行政效能，畅通人才服务“绿色通道”。积极为生产性服务业重点人才解决好户籍转移、住房保障、医疗保障、配偶就业、子女入学等实际问题。鼓励用人单位通过灵活分配方式、项目资助、生活补助等方式，灵活使用留住各类人才。</w:t>
      </w:r>
    </w:p>
    <w:p>
      <w:pPr>
        <w:pStyle w:val="186"/>
        <w:keepNext/>
        <w:keepLines/>
        <w:pageBreakBefore w:val="0"/>
        <w:widowControl w:val="0"/>
        <w:shd w:val="clear" w:fill="auto"/>
        <w:snapToGrid/>
        <w:spacing w:before="0" w:after="0" w:line="580" w:lineRule="exact"/>
        <w:ind w:firstLine="640" w:firstLineChars="200"/>
        <w:jc w:val="both"/>
        <w:outlineLvl w:val="1"/>
        <w:rPr>
          <w:rFonts w:hint="default" w:ascii="Times New Roman" w:hAnsi="Times New Roman" w:eastAsia="楷体" w:cs="Times New Roman"/>
          <w:b w:val="0"/>
          <w:bCs w:val="0"/>
          <w:color w:val="000000"/>
          <w:sz w:val="32"/>
          <w:szCs w:val="32"/>
          <w:lang w:val="en-US" w:eastAsia="zh-CN" w:bidi="ar-SA"/>
        </w:rPr>
      </w:pPr>
      <w:bookmarkStart w:id="74" w:name="_Toc21470"/>
      <w:r>
        <w:rPr>
          <w:rFonts w:hint="eastAsia" w:ascii="Times New Roman" w:hAnsi="Times New Roman" w:eastAsia="楷体" w:cs="Times New Roman"/>
          <w:b w:val="0"/>
          <w:bCs w:val="0"/>
          <w:color w:val="000000"/>
          <w:sz w:val="32"/>
          <w:szCs w:val="32"/>
          <w:lang w:val="en-US" w:eastAsia="zh-CN" w:bidi="ar-SA"/>
        </w:rPr>
        <w:t>（五）</w:t>
      </w:r>
      <w:r>
        <w:rPr>
          <w:rFonts w:hint="default" w:ascii="Times New Roman" w:hAnsi="Times New Roman" w:eastAsia="楷体" w:cs="Times New Roman"/>
          <w:b w:val="0"/>
          <w:bCs w:val="0"/>
          <w:color w:val="000000"/>
          <w:sz w:val="32"/>
          <w:szCs w:val="32"/>
          <w:lang w:val="en-US" w:eastAsia="zh-CN" w:bidi="ar-SA"/>
        </w:rPr>
        <w:t>完善考核评估督查</w:t>
      </w:r>
      <w:bookmarkEnd w:id="74"/>
    </w:p>
    <w:p>
      <w:pPr>
        <w:pageBreakBefore w:val="0"/>
        <w:widowControl w:val="0"/>
        <w:spacing w:line="580" w:lineRule="exact"/>
        <w:ind w:left="-6" w:leftChars="0" w:firstLine="640" w:firstLineChars="200"/>
        <w:rPr>
          <w:rFonts w:hint="default" w:ascii="Times New Roman" w:hAnsi="Times New Roman" w:cs="Times New Roman"/>
        </w:rPr>
      </w:pPr>
      <w:r>
        <w:rPr>
          <w:rFonts w:hint="default" w:ascii="Times New Roman" w:hAnsi="Times New Roman" w:cs="Times New Roman"/>
          <w:szCs w:val="24"/>
        </w:rPr>
        <w:t>加强生产性服务业重点领域的监测、预测、预警和分析，</w:t>
      </w:r>
      <w:r>
        <w:rPr>
          <w:rFonts w:hint="default" w:ascii="Times New Roman" w:hAnsi="Times New Roman" w:cs="Times New Roman"/>
        </w:rPr>
        <w:t>及时了解行业动态、政策诉求，定期联系重点企业和代表企业，深入研究问题、风险和措施。定期开展生产性服务业发展评估督查，支持第三方评估机构、社会公众共同参与监督评估，及时发现执行中的新问题、新情况，确保各项目标和任务顺利完成。</w:t>
      </w:r>
    </w:p>
    <w:p>
      <w:pPr>
        <w:widowControl/>
        <w:snapToGrid/>
        <w:spacing w:line="240" w:lineRule="auto"/>
        <w:ind w:left="-4" w:leftChars="0" w:firstLine="4" w:firstLineChars="0"/>
        <w:jc w:val="left"/>
        <w:rPr>
          <w:rFonts w:hint="default" w:ascii="Times New Roman" w:hAnsi="Times New Roman" w:cs="Times New Roman"/>
        </w:rPr>
      </w:pPr>
      <w:r>
        <w:rPr>
          <w:rFonts w:hint="default" w:ascii="Times New Roman" w:hAnsi="Times New Roman" w:cs="Times New Roman"/>
        </w:rPr>
        <w:br w:type="page"/>
      </w:r>
    </w:p>
    <w:p>
      <w:pPr>
        <w:pStyle w:val="4"/>
        <w:ind w:left="-4" w:leftChars="0" w:firstLine="4" w:firstLineChars="0"/>
        <w:rPr>
          <w:rFonts w:hint="default" w:ascii="Times New Roman" w:hAnsi="Times New Roman" w:cs="Times New Roman"/>
        </w:rPr>
      </w:pPr>
      <w:bookmarkStart w:id="75" w:name="_Toc12706"/>
      <w:r>
        <w:rPr>
          <w:rFonts w:hint="eastAsia" w:ascii="黑体" w:hAnsi="黑体" w:eastAsia="黑体" w:cs="黑体"/>
        </w:rPr>
        <w:t>附件</w:t>
      </w:r>
      <w:bookmarkEnd w:id="75"/>
    </w:p>
    <w:p>
      <w:pPr>
        <w:pStyle w:val="181"/>
        <w:spacing w:after="156"/>
        <w:ind w:left="-4" w:leftChars="0" w:firstLine="4" w:firstLineChars="0"/>
        <w:outlineLvl w:val="0"/>
        <w:rPr>
          <w:rFonts w:hint="default" w:ascii="Times New Roman" w:hAnsi="Times New Roman" w:cs="Times New Roman"/>
        </w:rPr>
      </w:pPr>
      <w:bookmarkStart w:id="76" w:name="_Toc8476"/>
      <w:r>
        <w:rPr>
          <w:rFonts w:hint="default" w:ascii="Times New Roman" w:hAnsi="Times New Roman" w:cs="Times New Roman"/>
        </w:rPr>
        <w:t>荔湾区生产性服务业发展重点行业清单</w:t>
      </w:r>
      <w:bookmarkEnd w:id="76"/>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4204"/>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279" w:type="pct"/>
            <w:shd w:val="clear" w:color="auto" w:fill="auto"/>
            <w:noWrap/>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r>
              <w:rPr>
                <w:rFonts w:ascii="Times New Roman" w:hAnsi="Times New Roman" w:eastAsia="仿宋" w:cs="Times New Roman"/>
                <w:b/>
                <w:color w:val="000000"/>
                <w:sz w:val="24"/>
                <w:szCs w:val="24"/>
              </w:rPr>
              <w:t>产业名称</w:t>
            </w:r>
          </w:p>
        </w:tc>
        <w:tc>
          <w:tcPr>
            <w:tcW w:w="1975" w:type="pct"/>
            <w:shd w:val="clear" w:color="auto" w:fill="auto"/>
            <w:noWrap/>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r>
              <w:rPr>
                <w:rFonts w:ascii="Times New Roman" w:hAnsi="Times New Roman" w:eastAsia="仿宋" w:cs="Times New Roman"/>
                <w:b/>
                <w:color w:val="000000"/>
                <w:sz w:val="24"/>
                <w:szCs w:val="24"/>
              </w:rPr>
              <w:t>产业重点方向</w:t>
            </w:r>
          </w:p>
        </w:tc>
        <w:tc>
          <w:tcPr>
            <w:tcW w:w="1746" w:type="pct"/>
            <w:shd w:val="clear" w:color="auto" w:fill="auto"/>
            <w:noWrap/>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r>
              <w:rPr>
                <w:rFonts w:ascii="Times New Roman" w:hAnsi="Times New Roman" w:eastAsia="仿宋" w:cs="Times New Roman"/>
                <w:b/>
                <w:color w:val="000000"/>
                <w:sz w:val="24"/>
                <w:szCs w:val="24"/>
              </w:rPr>
              <w:t>国民经济行业分类代码（2017）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restar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工业设计</w:t>
            </w: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工业设计服务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专业设计服务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restar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电子商务</w:t>
            </w: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互联网生活服务平台</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供应链管理服务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生产性互联网销售</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restar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专业服务</w:t>
            </w: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建筑业和规划设计咨询服务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生产性测绘服务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工程管理服务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工程监理服务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广告业</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职业技能培训</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8391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职业中介服务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劳务派遣服务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企业总部管理</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投资与资产管理</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资源与产权交易服务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园区和商业综合体管理服务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7221、7222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会计、审计及税务服务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市场调查</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商务咨询服务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7243、7244、7245、7246、7249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知识产权服务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生产性法律服务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汽车后市场</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7111、811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restar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软件与信息服务</w:t>
            </w: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软件开发</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6511、6512、6513、6519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信息技术咨询服务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信息系统集成和物联网技术、运行维护服务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653、6540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集成电路设计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生产性数字内容服务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互联网安全服务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互联网数据及云计算服务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信息处理和存储支持服务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restar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工业互联网</w:t>
            </w: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生产性互联网接入及相关服务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生产性互联网信息服务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互联网科技创新平台</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互联网生产服务平台</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restar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节能环保服务</w:t>
            </w: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环境与生态监测检测服务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生产性环境保护监测</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节能技术和产品推广服务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节能咨询服务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新能源技术推广服务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环保技术推广服务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生产性污水处理和水污染治理</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4620、7721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生产性大气污染治理</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生产性固体废物治理</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生产性危险废物治理</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生产性其他污染治理</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7726、7727、7729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b/>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再生物资回收与批发</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检验检测服务</w:t>
            </w: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质检技术服务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restar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创新孵化服务</w:t>
            </w: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生物技术推广服务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新材料技术推广服务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新能源技术推广服务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三维（3D）打印技术推广服务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其他生产性技术推广服务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科技中介服务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创业空间服务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Merge w:val="continue"/>
            <w:noWrap w:val="0"/>
            <w:vAlign w:val="center"/>
          </w:tcPr>
          <w:p>
            <w:pPr>
              <w:widowControl/>
              <w:spacing w:line="240" w:lineRule="auto"/>
              <w:ind w:left="-4" w:leftChars="0" w:firstLine="4" w:firstLineChars="0"/>
              <w:jc w:val="center"/>
              <w:rPr>
                <w:rFonts w:ascii="Times New Roman" w:hAnsi="Times New Roman" w:eastAsia="仿宋" w:cs="Times New Roman"/>
                <w:color w:val="000000"/>
                <w:sz w:val="24"/>
                <w:szCs w:val="24"/>
              </w:rPr>
            </w:pPr>
          </w:p>
        </w:tc>
        <w:tc>
          <w:tcPr>
            <w:tcW w:w="1975"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创业指导服务</w:t>
            </w:r>
          </w:p>
        </w:tc>
        <w:tc>
          <w:tcPr>
            <w:tcW w:w="1746" w:type="pct"/>
            <w:shd w:val="clear" w:color="auto" w:fill="auto"/>
            <w:noWrap/>
            <w:vAlign w:val="center"/>
          </w:tcPr>
          <w:p>
            <w:pPr>
              <w:widowControl/>
              <w:spacing w:line="240" w:lineRule="auto"/>
              <w:ind w:left="-4" w:leftChars="0" w:firstLine="4"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7264</w:t>
            </w:r>
          </w:p>
        </w:tc>
      </w:tr>
    </w:tbl>
    <w:p>
      <w:pPr>
        <w:ind w:left="-4" w:leftChars="0" w:firstLine="4" w:firstLineChars="0"/>
        <w:rPr>
          <w:rFonts w:ascii="Times New Roman" w:hAnsi="Times New Roman" w:cs="Times New Roman"/>
        </w:rPr>
      </w:pPr>
    </w:p>
    <w:p>
      <w:pPr>
        <w:ind w:left="-4" w:leftChars="0" w:firstLine="4" w:firstLineChars="0"/>
        <w:rPr>
          <w:rFonts w:ascii="Times New Roman" w:hAnsi="Times New Roman" w:cs="Times New Roman"/>
        </w:rPr>
        <w:sectPr>
          <w:footerReference r:id="rId12" w:type="default"/>
          <w:pgSz w:w="11906" w:h="16838"/>
          <w:pgMar w:top="1701" w:right="1531" w:bottom="1701" w:left="1531" w:header="851" w:footer="992" w:gutter="0"/>
          <w:pgNumType w:fmt="decimal" w:start="1"/>
          <w:cols w:space="425" w:num="1"/>
          <w:docGrid w:type="lines" w:linePitch="312" w:charSpace="0"/>
        </w:sectPr>
      </w:pPr>
    </w:p>
    <w:p>
      <w:pPr>
        <w:pStyle w:val="186"/>
        <w:ind w:right="320" w:rightChars="100" w:firstLine="320" w:firstLineChars="100"/>
        <w:rPr>
          <w:rFonts w:hint="default" w:ascii="Times New Roman" w:hAnsi="Times New Roman" w:cs="Times New Roman"/>
          <w:lang w:val="en-US" w:eastAsia="zh-CN"/>
        </w:rPr>
      </w:pPr>
      <w:bookmarkStart w:id="77" w:name="_GoBack"/>
      <w:bookmarkEnd w:id="77"/>
    </w:p>
    <w:sectPr>
      <w:footerReference r:id="rId13" w:type="default"/>
      <w:pgSz w:w="11906" w:h="16838"/>
      <w:pgMar w:top="1701" w:right="1531" w:bottom="1701" w:left="1531"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14"/>
              <wp:cNvGraphicFramePr/>
              <a:graphic xmlns:a="http://schemas.openxmlformats.org/drawingml/2006/main">
                <a:graphicData uri="http://schemas.microsoft.com/office/word/2010/wordprocessingShape">
                  <wps:wsp>
                    <wps:cNvSpPr/>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rect id="文本框 14" o:spid="_x0000_s1026" o:spt="1"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nLf9LUAAAABQEAAA8AAAAAAAAAAQAgAAAAIgAAAGRycy9kb3ducmV2&#10;LnhtbFBLAQIUABQAAAAIAIdO4kBaUVc0OQIAAGYEAAAOAAAAAAAAAAEAIAAAACMBAABkcnMvZTJv&#10;RG9jLnhtbFBLBQYAAAAABgAGAFkBAADOBQAAAAA=&#10;">
              <v:fill on="f" focussize="0,0"/>
              <v:stroke on="f" weight="0.5pt"/>
              <v:imagedata o:title=""/>
              <o:lock v:ext="edit" aspectratio="f"/>
              <v:textbox inset="0mm,0mm,0mm,0mm" style="mso-fit-shape-to-text:t;">
                <w:txbxContent>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before="240"/>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17"/>
              <wp:cNvGraphicFramePr/>
              <a:graphic xmlns:a="http://schemas.openxmlformats.org/drawingml/2006/main">
                <a:graphicData uri="http://schemas.microsoft.com/office/word/2010/wordprocessingShape">
                  <wps:wsp>
                    <wps:cNvSpPr/>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rect id="文本框 17" o:spid="_x0000_s1026" o:spt="1"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nLf9LUAAAABQEAAA8AAAAAAAAAAQAgAAAAIgAAAGRycy9kb3ducmV2&#10;LnhtbFBLAQIUABQAAAAIAIdO4kDFlN49OQIAAGYEAAAOAAAAAAAAAAEAIAAAACMBAABkcnMvZTJv&#10;RG9jLnhtbFBLBQYAAAAABgAGAFkBAADOBQAAAAA=&#10;">
              <v:fill on="f" focussize="0,0"/>
              <v:stroke on="f" weight="0.5pt"/>
              <v:imagedata o:title=""/>
              <o:lock v:ext="edit" aspectratio="f"/>
              <v:textbox inset="0mm,0mm,0mm,0mm" style="mso-fit-shape-to-text:t;">
                <w:txbxContent>
                  <w:p>
                    <w:pPr>
                      <w:pStyle w:val="19"/>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7"/>
              <wp:cNvGraphicFramePr/>
              <a:graphic xmlns:a="http://schemas.openxmlformats.org/drawingml/2006/main">
                <a:graphicData uri="http://schemas.microsoft.com/office/word/2010/wordprocessingShape">
                  <wps:wsp>
                    <wps:cNvSpPr/>
                    <wps:spPr bwMode="auto">
                      <a:xfrm>
                        <a:off x="0" y="0"/>
                        <a:ext cx="1828800" cy="1828800"/>
                      </a:xfrm>
                      <a:prstGeom prst="rect">
                        <a:avLst/>
                      </a:prstGeom>
                      <a:noFill/>
                      <a:ln w="6350">
                        <a:noFill/>
                        <a:miter/>
                      </a:ln>
                    </wps:spPr>
                    <wps:style>
                      <a:lnRef idx="0">
                        <a:schemeClr val="accent1"/>
                      </a:lnRef>
                      <a:fillRef idx="0">
                        <a:schemeClr val="accent1"/>
                      </a:fillRef>
                      <a:effectRef idx="0">
                        <a:schemeClr val="accent1"/>
                      </a:effectRef>
                      <a:fontRef idx="minor">
                        <a:schemeClr val="dk1"/>
                      </a:fontRef>
                    </wps:style>
                    <wps:txbx>
                      <w:txbxContent>
                        <w:p>
                          <w:pPr>
                            <w:pStyle w:val="19"/>
                            <w:tabs>
                              <w:tab w:val="center" w:pos="7143"/>
                              <w:tab w:val="right" w:pos="14287"/>
                              <w:tab w:val="clear" w:pos="4153"/>
                              <w:tab w:val="clear" w:pos="8306"/>
                            </w:tabs>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p>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rect id="文本框 7"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Jy3/S1AAAAAUBAAAPAAAAAAAAAAEAIAAAACIAAABkcnMvZG93&#10;bnJldi54bWxQSwECFAAUAAAACACHTuJA34+HAD0CAABvBAAADgAAAAAAAAABACAAAAAjAQAAZHJz&#10;L2Uyb0RvYy54bWxQSwUGAAAAAAYABgBZAQAA0gUAAAAA&#10;">
              <v:fill on="f" focussize="0,0"/>
              <v:stroke on="f" weight="0.5pt" joinstyle="miter"/>
              <v:imagedata o:title=""/>
              <o:lock v:ext="edit" aspectratio="f"/>
              <v:textbox inset="0mm,0mm,0mm,0mm" style="mso-fit-shape-to-text:t;">
                <w:txbxContent>
                  <w:p>
                    <w:pPr>
                      <w:pStyle w:val="19"/>
                      <w:tabs>
                        <w:tab w:val="center" w:pos="7143"/>
                        <w:tab w:val="right" w:pos="14287"/>
                        <w:tab w:val="clear" w:pos="4153"/>
                        <w:tab w:val="clear" w:pos="8306"/>
                      </w:tabs>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p>
                    <w:pPr>
                      <w:pStyle w:val="19"/>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32E9EA"/>
    <w:multiLevelType w:val="multilevel"/>
    <w:tmpl w:val="7F32E9EA"/>
    <w:lvl w:ilvl="0" w:tentative="0">
      <w:start w:val="1"/>
      <w:numFmt w:val="chineseCountingThousand"/>
      <w:pStyle w:val="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characterSpacingControl w:val="compressPunctuation"/>
  <w:footnotePr>
    <w:footnote w:id="0"/>
    <w:footnote w:id="1"/>
  </w:footnotePr>
  <w:endnotePr>
    <w:endnote w:id="0"/>
    <w:endnote w:id="1"/>
  </w:endnotePr>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F62DEC"/>
    <w:rsid w:val="2A2A0B1B"/>
    <w:rsid w:val="37DD077D"/>
    <w:rsid w:val="49E60921"/>
    <w:rsid w:val="5C15116F"/>
    <w:rsid w:val="6B367039"/>
    <w:rsid w:val="6EDC779D"/>
    <w:rsid w:val="77FD0BE1"/>
    <w:rsid w:val="9BD3EEF2"/>
    <w:rsid w:val="FB9C73E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Bdr>
        <w:top w:val="none" w:color="000000" w:sz="0" w:space="0"/>
        <w:left w:val="none" w:color="000000" w:sz="0" w:space="0"/>
        <w:bottom w:val="none" w:color="000000" w:sz="0" w:space="0"/>
        <w:right w:val="none" w:color="000000" w:sz="0" w:space="0"/>
        <w:between w:val="none" w:color="000000" w:sz="0" w:space="0"/>
      </w:pBdr>
      <w:shd w:val="clear" w:color="FFFFFF" w:fill="auto"/>
      <w:spacing w:before="0" w:beforeAutospacing="0" w:after="0" w:afterAutospacing="0" w:line="580" w:lineRule="exact"/>
      <w:ind w:left="0" w:leftChars="0" w:right="0" w:firstLine="0"/>
      <w:jc w:val="both"/>
    </w:pPr>
    <w:rPr>
      <w:rFonts w:ascii="Calibri" w:hAnsi="Calibri" w:eastAsia="仿宋_GB2312" w:cs="Times New Roman"/>
      <w:color w:val="auto"/>
      <w:spacing w:val="0"/>
      <w:position w:val="0"/>
      <w:sz w:val="32"/>
      <w:szCs w:val="24"/>
      <w:lang w:val="en-US" w:eastAsia="zh-CN" w:bidi="ar-SA"/>
    </w:rPr>
  </w:style>
  <w:style w:type="paragraph" w:styleId="3">
    <w:name w:val="heading 1"/>
    <w:basedOn w:val="1"/>
    <w:next w:val="1"/>
    <w:link w:val="34"/>
    <w:qFormat/>
    <w:uiPriority w:val="9"/>
    <w:pPr>
      <w:keepNext/>
      <w:keepLines/>
      <w:spacing w:before="480" w:after="200"/>
      <w:outlineLvl w:val="0"/>
    </w:pPr>
    <w:rPr>
      <w:rFonts w:ascii="Arial" w:hAnsi="Arial" w:eastAsia="Arial" w:cs="Arial"/>
      <w:sz w:val="40"/>
      <w:szCs w:val="40"/>
    </w:rPr>
  </w:style>
  <w:style w:type="paragraph" w:styleId="4">
    <w:name w:val="heading 2"/>
    <w:basedOn w:val="5"/>
    <w:next w:val="1"/>
    <w:qFormat/>
    <w:uiPriority w:val="0"/>
    <w:pPr>
      <w:keepNext/>
      <w:keepLines/>
      <w:spacing w:line="560" w:lineRule="exact"/>
      <w:ind w:firstLine="1440" w:firstLineChars="200"/>
      <w:outlineLvl w:val="1"/>
    </w:pPr>
    <w:rPr>
      <w:rFonts w:ascii="Calibri Light" w:hAnsi="Calibri Light" w:eastAsia="楷体" w:cs="Times New Roman"/>
      <w:bCs/>
      <w:sz w:val="32"/>
      <w:szCs w:val="32"/>
    </w:rPr>
  </w:style>
  <w:style w:type="paragraph" w:styleId="6">
    <w:name w:val="heading 3"/>
    <w:basedOn w:val="5"/>
    <w:next w:val="1"/>
    <w:unhideWhenUsed/>
    <w:qFormat/>
    <w:uiPriority w:val="9"/>
    <w:pPr>
      <w:keepNext/>
      <w:keepLines/>
      <w:numPr>
        <w:ilvl w:val="0"/>
        <w:numId w:val="1"/>
      </w:numPr>
      <w:snapToGrid w:val="0"/>
      <w:spacing w:before="120" w:after="120"/>
      <w:outlineLvl w:val="2"/>
    </w:pPr>
    <w:rPr>
      <w:rFonts w:ascii="Times New Roman" w:hAnsi="Times New Roman" w:eastAsia="楷体_GB2312"/>
      <w:b/>
      <w:bCs/>
      <w:szCs w:val="32"/>
    </w:rPr>
  </w:style>
  <w:style w:type="paragraph" w:styleId="7">
    <w:name w:val="heading 4"/>
    <w:basedOn w:val="1"/>
    <w:next w:val="1"/>
    <w:unhideWhenUsed/>
    <w:qFormat/>
    <w:uiPriority w:val="9"/>
    <w:pPr>
      <w:keepNext/>
      <w:keepLines/>
      <w:spacing w:before="120" w:after="120" w:line="240" w:lineRule="auto"/>
      <w:outlineLvl w:val="3"/>
    </w:pPr>
    <w:rPr>
      <w:rFonts w:ascii="Calibri Light" w:hAnsi="Calibri Light" w:cs="Calibri Light"/>
      <w:b/>
      <w:bCs/>
      <w:szCs w:val="28"/>
    </w:rPr>
  </w:style>
  <w:style w:type="paragraph" w:styleId="8">
    <w:name w:val="heading 5"/>
    <w:basedOn w:val="1"/>
    <w:next w:val="1"/>
    <w:link w:val="38"/>
    <w:unhideWhenUsed/>
    <w:qFormat/>
    <w:uiPriority w:val="9"/>
    <w:pPr>
      <w:keepNext/>
      <w:keepLines/>
      <w:spacing w:before="320" w:after="200"/>
      <w:outlineLvl w:val="4"/>
    </w:pPr>
    <w:rPr>
      <w:rFonts w:ascii="Arial" w:hAnsi="Arial" w:eastAsia="Arial" w:cs="Arial"/>
      <w:b/>
      <w:bCs/>
      <w:sz w:val="24"/>
      <w:szCs w:val="24"/>
    </w:rPr>
  </w:style>
  <w:style w:type="paragraph" w:styleId="9">
    <w:name w:val="heading 6"/>
    <w:basedOn w:val="1"/>
    <w:next w:val="1"/>
    <w:link w:val="39"/>
    <w:unhideWhenUsed/>
    <w:qFormat/>
    <w:uiPriority w:val="9"/>
    <w:pPr>
      <w:keepNext/>
      <w:keepLines/>
      <w:spacing w:before="320" w:after="200"/>
      <w:outlineLvl w:val="5"/>
    </w:pPr>
    <w:rPr>
      <w:rFonts w:ascii="Arial" w:hAnsi="Arial" w:eastAsia="Arial" w:cs="Arial"/>
      <w:b/>
      <w:bCs/>
      <w:sz w:val="22"/>
      <w:szCs w:val="22"/>
    </w:rPr>
  </w:style>
  <w:style w:type="paragraph" w:styleId="10">
    <w:name w:val="heading 7"/>
    <w:basedOn w:val="1"/>
    <w:next w:val="1"/>
    <w:link w:val="40"/>
    <w:unhideWhenUsed/>
    <w:qFormat/>
    <w:uiPriority w:val="9"/>
    <w:pPr>
      <w:keepNext/>
      <w:keepLines/>
      <w:spacing w:before="320" w:after="200"/>
      <w:outlineLvl w:val="6"/>
    </w:pPr>
    <w:rPr>
      <w:rFonts w:ascii="Arial" w:hAnsi="Arial" w:eastAsia="Arial" w:cs="Arial"/>
      <w:b/>
      <w:bCs/>
      <w:i/>
      <w:iCs/>
      <w:sz w:val="22"/>
      <w:szCs w:val="22"/>
    </w:rPr>
  </w:style>
  <w:style w:type="paragraph" w:styleId="11">
    <w:name w:val="heading 8"/>
    <w:basedOn w:val="1"/>
    <w:next w:val="1"/>
    <w:link w:val="41"/>
    <w:unhideWhenUsed/>
    <w:qFormat/>
    <w:uiPriority w:val="9"/>
    <w:pPr>
      <w:keepNext/>
      <w:keepLines/>
      <w:spacing w:before="320" w:after="200"/>
      <w:outlineLvl w:val="7"/>
    </w:pPr>
    <w:rPr>
      <w:rFonts w:ascii="Arial" w:hAnsi="Arial" w:eastAsia="Arial" w:cs="Arial"/>
      <w:i/>
      <w:iCs/>
      <w:sz w:val="22"/>
      <w:szCs w:val="22"/>
    </w:rPr>
  </w:style>
  <w:style w:type="paragraph" w:styleId="12">
    <w:name w:val="heading 9"/>
    <w:basedOn w:val="1"/>
    <w:next w:val="1"/>
    <w:link w:val="42"/>
    <w:unhideWhenUsed/>
    <w:qFormat/>
    <w:uiPriority w:val="9"/>
    <w:pPr>
      <w:keepNext/>
      <w:keepLines/>
      <w:spacing w:before="320" w:after="200"/>
      <w:outlineLvl w:val="8"/>
    </w:pPr>
    <w:rPr>
      <w:rFonts w:ascii="Arial" w:hAnsi="Arial" w:eastAsia="Arial" w:cs="Arial"/>
      <w:i/>
      <w:iCs/>
      <w:sz w:val="21"/>
      <w:szCs w:val="21"/>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39"/>
    <w:pPr>
      <w:ind w:left="420" w:leftChars="200"/>
    </w:pPr>
  </w:style>
  <w:style w:type="paragraph" w:styleId="5">
    <w:name w:val="No Spacing"/>
    <w:qFormat/>
    <w:uiPriority w:val="1"/>
    <w:pPr>
      <w:widowControl w:val="0"/>
      <w:pBdr>
        <w:top w:val="none" w:color="000000" w:sz="0" w:space="0"/>
        <w:left w:val="none" w:color="000000" w:sz="0" w:space="0"/>
        <w:bottom w:val="none" w:color="000000" w:sz="0" w:space="0"/>
        <w:right w:val="none" w:color="000000" w:sz="0" w:space="0"/>
        <w:between w:val="none" w:color="000000" w:sz="0" w:space="0"/>
      </w:pBdr>
      <w:shd w:val="clear" w:color="FFFFFF" w:fill="auto"/>
      <w:spacing w:before="0" w:beforeAutospacing="0" w:after="0" w:afterAutospacing="0" w:line="360" w:lineRule="auto"/>
      <w:ind w:left="0" w:right="0" w:firstLine="0"/>
      <w:jc w:val="both"/>
    </w:pPr>
    <w:rPr>
      <w:rFonts w:ascii="Calibri" w:hAnsi="Calibri" w:eastAsia="黑体" w:cs="Calibri"/>
      <w:color w:val="auto"/>
      <w:spacing w:val="0"/>
      <w:position w:val="0"/>
      <w:sz w:val="32"/>
      <w:szCs w:val="22"/>
      <w:lang w:val="en-US" w:eastAsia="zh-CN" w:bidi="ar-SA"/>
    </w:rPr>
  </w:style>
  <w:style w:type="paragraph" w:styleId="13">
    <w:name w:val="toc 7"/>
    <w:basedOn w:val="1"/>
    <w:next w:val="1"/>
    <w:unhideWhenUsed/>
    <w:qFormat/>
    <w:uiPriority w:val="39"/>
    <w:pPr>
      <w:spacing w:after="57"/>
      <w:ind w:left="1701" w:right="0" w:firstLine="0"/>
    </w:pPr>
  </w:style>
  <w:style w:type="paragraph" w:styleId="14">
    <w:name w:val="caption"/>
    <w:basedOn w:val="1"/>
    <w:next w:val="1"/>
    <w:semiHidden/>
    <w:unhideWhenUsed/>
    <w:qFormat/>
    <w:uiPriority w:val="35"/>
    <w:pPr>
      <w:spacing w:line="276" w:lineRule="auto"/>
    </w:pPr>
    <w:rPr>
      <w:b/>
      <w:bCs/>
      <w:color w:val="5B9BD5" w:themeColor="accent1"/>
      <w:sz w:val="18"/>
      <w:szCs w:val="18"/>
      <w14:textFill>
        <w14:solidFill>
          <w14:schemeClr w14:val="accent1"/>
        </w14:solidFill>
      </w14:textFill>
    </w:rPr>
  </w:style>
  <w:style w:type="paragraph" w:styleId="15">
    <w:name w:val="annotation text"/>
    <w:basedOn w:val="1"/>
    <w:qFormat/>
    <w:uiPriority w:val="0"/>
    <w:pPr>
      <w:jc w:val="left"/>
    </w:pPr>
  </w:style>
  <w:style w:type="paragraph" w:styleId="16">
    <w:name w:val="toc 5"/>
    <w:basedOn w:val="1"/>
    <w:next w:val="1"/>
    <w:unhideWhenUsed/>
    <w:qFormat/>
    <w:uiPriority w:val="39"/>
    <w:pPr>
      <w:spacing w:after="57"/>
      <w:ind w:left="1134" w:right="0" w:firstLine="0"/>
    </w:pPr>
  </w:style>
  <w:style w:type="paragraph" w:styleId="17">
    <w:name w:val="toc 3"/>
    <w:basedOn w:val="1"/>
    <w:next w:val="1"/>
    <w:unhideWhenUsed/>
    <w:qFormat/>
    <w:uiPriority w:val="39"/>
    <w:pPr>
      <w:jc w:val="left"/>
    </w:pPr>
  </w:style>
  <w:style w:type="paragraph" w:styleId="18">
    <w:name w:val="toc 8"/>
    <w:basedOn w:val="1"/>
    <w:next w:val="1"/>
    <w:unhideWhenUsed/>
    <w:qFormat/>
    <w:uiPriority w:val="39"/>
    <w:pPr>
      <w:spacing w:after="57"/>
      <w:ind w:left="1984" w:right="0" w:firstLine="0"/>
    </w:p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toc 1"/>
    <w:basedOn w:val="1"/>
    <w:next w:val="1"/>
    <w:qFormat/>
    <w:uiPriority w:val="0"/>
  </w:style>
  <w:style w:type="paragraph" w:styleId="22">
    <w:name w:val="toc 4"/>
    <w:basedOn w:val="1"/>
    <w:next w:val="1"/>
    <w:unhideWhenUsed/>
    <w:qFormat/>
    <w:uiPriority w:val="39"/>
    <w:pPr>
      <w:spacing w:after="57"/>
      <w:ind w:left="850" w:right="0" w:firstLine="0"/>
    </w:pPr>
  </w:style>
  <w:style w:type="paragraph" w:styleId="23">
    <w:name w:val="Subtitle"/>
    <w:basedOn w:val="1"/>
    <w:next w:val="1"/>
    <w:link w:val="45"/>
    <w:qFormat/>
    <w:uiPriority w:val="11"/>
    <w:pPr>
      <w:spacing w:before="200" w:after="200"/>
    </w:pPr>
    <w:rPr>
      <w:sz w:val="24"/>
      <w:szCs w:val="24"/>
    </w:rPr>
  </w:style>
  <w:style w:type="paragraph" w:styleId="24">
    <w:name w:val="footnote text"/>
    <w:basedOn w:val="1"/>
    <w:qFormat/>
    <w:uiPriority w:val="0"/>
    <w:pPr>
      <w:spacing w:line="560" w:lineRule="exact"/>
      <w:ind w:firstLine="200"/>
      <w:jc w:val="left"/>
    </w:pPr>
    <w:rPr>
      <w:sz w:val="18"/>
      <w:szCs w:val="18"/>
    </w:rPr>
  </w:style>
  <w:style w:type="paragraph" w:styleId="25">
    <w:name w:val="toc 6"/>
    <w:basedOn w:val="1"/>
    <w:next w:val="1"/>
    <w:unhideWhenUsed/>
    <w:qFormat/>
    <w:uiPriority w:val="39"/>
    <w:pPr>
      <w:spacing w:after="57"/>
      <w:ind w:left="1417" w:right="0" w:firstLine="0"/>
    </w:pPr>
  </w:style>
  <w:style w:type="paragraph" w:styleId="26">
    <w:name w:val="toc 9"/>
    <w:basedOn w:val="1"/>
    <w:next w:val="1"/>
    <w:unhideWhenUsed/>
    <w:qFormat/>
    <w:uiPriority w:val="39"/>
    <w:pPr>
      <w:spacing w:after="57"/>
      <w:ind w:left="2268" w:right="0" w:firstLine="0"/>
    </w:pPr>
  </w:style>
  <w:style w:type="paragraph" w:styleId="27">
    <w:name w:val="Title"/>
    <w:basedOn w:val="1"/>
    <w:next w:val="1"/>
    <w:qFormat/>
    <w:uiPriority w:val="10"/>
    <w:pPr>
      <w:spacing w:before="240" w:after="60"/>
      <w:jc w:val="center"/>
      <w:outlineLvl w:val="0"/>
    </w:pPr>
    <w:rPr>
      <w:rFonts w:ascii="Cambria" w:hAnsi="Cambria" w:eastAsia="方正小标宋简体" w:cs="Times New Roman"/>
      <w:b/>
      <w:bCs/>
      <w:szCs w:val="32"/>
    </w:rPr>
  </w:style>
  <w:style w:type="table" w:styleId="29">
    <w:name w:val="Table Grid"/>
    <w:basedOn w:val="28"/>
    <w:qFormat/>
    <w:uiPriority w:val="39"/>
    <w:rPr>
      <w:rFonts w:ascii="Times New Roman" w:hAnsi="Times New Roman" w:eastAsia="宋体"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Strong"/>
    <w:basedOn w:val="30"/>
    <w:qFormat/>
    <w:uiPriority w:val="22"/>
    <w:rPr>
      <w:b/>
      <w:bCs/>
    </w:rPr>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footnote reference"/>
    <w:basedOn w:val="30"/>
    <w:qFormat/>
    <w:uiPriority w:val="0"/>
    <w:rPr>
      <w:vertAlign w:val="superscript"/>
    </w:rPr>
  </w:style>
  <w:style w:type="character" w:customStyle="1" w:styleId="34">
    <w:name w:val="Heading 1 Char"/>
    <w:basedOn w:val="30"/>
    <w:link w:val="3"/>
    <w:qFormat/>
    <w:uiPriority w:val="9"/>
    <w:rPr>
      <w:rFonts w:ascii="Arial" w:hAnsi="Arial" w:eastAsia="Arial" w:cs="Arial"/>
      <w:sz w:val="40"/>
      <w:szCs w:val="40"/>
    </w:rPr>
  </w:style>
  <w:style w:type="character" w:customStyle="1" w:styleId="35">
    <w:name w:val="Heading 2 Char"/>
    <w:basedOn w:val="30"/>
    <w:qFormat/>
    <w:uiPriority w:val="9"/>
    <w:rPr>
      <w:rFonts w:ascii="Arial" w:hAnsi="Arial" w:eastAsia="Arial" w:cs="Arial"/>
      <w:sz w:val="34"/>
    </w:rPr>
  </w:style>
  <w:style w:type="character" w:customStyle="1" w:styleId="36">
    <w:name w:val="Heading 3 Char"/>
    <w:basedOn w:val="30"/>
    <w:qFormat/>
    <w:uiPriority w:val="9"/>
    <w:rPr>
      <w:rFonts w:ascii="Arial" w:hAnsi="Arial" w:eastAsia="Arial" w:cs="Arial"/>
      <w:sz w:val="30"/>
      <w:szCs w:val="30"/>
    </w:rPr>
  </w:style>
  <w:style w:type="character" w:customStyle="1" w:styleId="37">
    <w:name w:val="Heading 4 Char"/>
    <w:basedOn w:val="30"/>
    <w:qFormat/>
    <w:uiPriority w:val="9"/>
    <w:rPr>
      <w:rFonts w:ascii="Arial" w:hAnsi="Arial" w:eastAsia="Arial" w:cs="Arial"/>
      <w:b/>
      <w:bCs/>
      <w:sz w:val="26"/>
      <w:szCs w:val="26"/>
    </w:rPr>
  </w:style>
  <w:style w:type="character" w:customStyle="1" w:styleId="38">
    <w:name w:val="Heading 5 Char"/>
    <w:basedOn w:val="30"/>
    <w:link w:val="8"/>
    <w:qFormat/>
    <w:uiPriority w:val="9"/>
    <w:rPr>
      <w:rFonts w:ascii="Arial" w:hAnsi="Arial" w:eastAsia="Arial" w:cs="Arial"/>
      <w:b/>
      <w:bCs/>
      <w:sz w:val="24"/>
      <w:szCs w:val="24"/>
    </w:rPr>
  </w:style>
  <w:style w:type="character" w:customStyle="1" w:styleId="39">
    <w:name w:val="Heading 6 Char"/>
    <w:basedOn w:val="30"/>
    <w:link w:val="9"/>
    <w:qFormat/>
    <w:uiPriority w:val="9"/>
    <w:rPr>
      <w:rFonts w:ascii="Arial" w:hAnsi="Arial" w:eastAsia="Arial" w:cs="Arial"/>
      <w:b/>
      <w:bCs/>
      <w:sz w:val="22"/>
      <w:szCs w:val="22"/>
    </w:rPr>
  </w:style>
  <w:style w:type="character" w:customStyle="1" w:styleId="40">
    <w:name w:val="Heading 7 Char"/>
    <w:basedOn w:val="30"/>
    <w:link w:val="10"/>
    <w:qFormat/>
    <w:uiPriority w:val="9"/>
    <w:rPr>
      <w:rFonts w:ascii="Arial" w:hAnsi="Arial" w:eastAsia="Arial" w:cs="Arial"/>
      <w:b/>
      <w:bCs/>
      <w:i/>
      <w:iCs/>
      <w:sz w:val="22"/>
      <w:szCs w:val="22"/>
    </w:rPr>
  </w:style>
  <w:style w:type="character" w:customStyle="1" w:styleId="41">
    <w:name w:val="Heading 8 Char"/>
    <w:basedOn w:val="30"/>
    <w:link w:val="11"/>
    <w:qFormat/>
    <w:uiPriority w:val="9"/>
    <w:rPr>
      <w:rFonts w:ascii="Arial" w:hAnsi="Arial" w:eastAsia="Arial" w:cs="Arial"/>
      <w:i/>
      <w:iCs/>
      <w:sz w:val="22"/>
      <w:szCs w:val="22"/>
    </w:rPr>
  </w:style>
  <w:style w:type="character" w:customStyle="1" w:styleId="42">
    <w:name w:val="Heading 9 Char"/>
    <w:basedOn w:val="30"/>
    <w:link w:val="12"/>
    <w:qFormat/>
    <w:uiPriority w:val="9"/>
    <w:rPr>
      <w:rFonts w:ascii="Arial" w:hAnsi="Arial" w:eastAsia="Arial" w:cs="Arial"/>
      <w:i/>
      <w:iCs/>
      <w:sz w:val="21"/>
      <w:szCs w:val="21"/>
    </w:rPr>
  </w:style>
  <w:style w:type="paragraph" w:styleId="43">
    <w:name w:val="List Paragraph"/>
    <w:basedOn w:val="1"/>
    <w:qFormat/>
    <w:uiPriority w:val="34"/>
    <w:pPr>
      <w:ind w:left="720"/>
      <w:contextualSpacing/>
    </w:pPr>
  </w:style>
  <w:style w:type="character" w:customStyle="1" w:styleId="44">
    <w:name w:val="Title Char"/>
    <w:basedOn w:val="30"/>
    <w:qFormat/>
    <w:uiPriority w:val="10"/>
    <w:rPr>
      <w:sz w:val="48"/>
      <w:szCs w:val="48"/>
    </w:rPr>
  </w:style>
  <w:style w:type="character" w:customStyle="1" w:styleId="45">
    <w:name w:val="Subtitle Char"/>
    <w:basedOn w:val="30"/>
    <w:link w:val="23"/>
    <w:qFormat/>
    <w:uiPriority w:val="11"/>
    <w:rPr>
      <w:sz w:val="24"/>
      <w:szCs w:val="24"/>
    </w:rPr>
  </w:style>
  <w:style w:type="paragraph" w:styleId="46">
    <w:name w:val="Quote"/>
    <w:basedOn w:val="1"/>
    <w:next w:val="1"/>
    <w:link w:val="47"/>
    <w:qFormat/>
    <w:uiPriority w:val="29"/>
    <w:pPr>
      <w:ind w:left="720" w:right="720"/>
    </w:pPr>
    <w:rPr>
      <w:i/>
    </w:rPr>
  </w:style>
  <w:style w:type="character" w:customStyle="1" w:styleId="47">
    <w:name w:val="Quote Char"/>
    <w:link w:val="46"/>
    <w:qFormat/>
    <w:uiPriority w:val="29"/>
    <w:rPr>
      <w:i/>
    </w:rPr>
  </w:style>
  <w:style w:type="paragraph" w:styleId="48">
    <w:name w:val="Intense Quote"/>
    <w:basedOn w:val="1"/>
    <w:next w:val="1"/>
    <w:link w:val="49"/>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49">
    <w:name w:val="Intense Quote Char"/>
    <w:link w:val="48"/>
    <w:qFormat/>
    <w:uiPriority w:val="30"/>
    <w:rPr>
      <w:i/>
    </w:rPr>
  </w:style>
  <w:style w:type="character" w:customStyle="1" w:styleId="50">
    <w:name w:val="Header Char"/>
    <w:basedOn w:val="30"/>
    <w:qFormat/>
    <w:uiPriority w:val="99"/>
  </w:style>
  <w:style w:type="character" w:customStyle="1" w:styleId="51">
    <w:name w:val="Footer Char"/>
    <w:basedOn w:val="30"/>
    <w:qFormat/>
    <w:uiPriority w:val="99"/>
  </w:style>
  <w:style w:type="character" w:customStyle="1" w:styleId="52">
    <w:name w:val="Caption Char"/>
    <w:qFormat/>
    <w:uiPriority w:val="99"/>
  </w:style>
  <w:style w:type="table" w:customStyle="1" w:styleId="53">
    <w:name w:val="Table Grid Light"/>
    <w:basedOn w:val="28"/>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4">
    <w:name w:val="Plain Table 1"/>
    <w:basedOn w:val="28"/>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auto" w:fill="F1F1F1" w:themeFill="text1" w:themeFillTint="0D"/>
      </w:tcPr>
    </w:tblStylePr>
    <w:tblStylePr w:type="band1Horz">
      <w:tcPr>
        <w:shd w:val="clear" w:color="auto" w:fill="F1F1F1" w:themeFill="text1" w:themeFillTint="0D"/>
      </w:tcPr>
    </w:tblStylePr>
  </w:style>
  <w:style w:type="table" w:customStyle="1" w:styleId="55">
    <w:name w:val="Plain Table 2"/>
    <w:basedOn w:val="28"/>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6">
    <w:name w:val="Plain Table 3"/>
    <w:basedOn w:val="28"/>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auto" w:fill="F1F1F1" w:themeFill="text1" w:themeFillTint="0D"/>
      </w:tcPr>
    </w:tblStylePr>
    <w:tblStylePr w:type="band1Horz">
      <w:rPr>
        <w:rFonts w:ascii="Arial" w:hAnsi="Arial"/>
        <w:color w:val="404040"/>
        <w:sz w:val="22"/>
      </w:rPr>
      <w:tcPr>
        <w:shd w:val="clear" w:color="auto" w:fill="F1F1F1" w:themeFill="text1" w:themeFillTint="0D"/>
      </w:tcPr>
    </w:tblStylePr>
  </w:style>
  <w:style w:type="table" w:customStyle="1" w:styleId="57">
    <w:name w:val="Plain Table 4"/>
    <w:basedOn w:val="28"/>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F1F1F1" w:themeFill="text1" w:themeFillTint="0D"/>
      </w:tcPr>
    </w:tblStylePr>
    <w:tblStylePr w:type="band1Horz">
      <w:rPr>
        <w:rFonts w:ascii="Arial" w:hAnsi="Arial"/>
        <w:color w:val="404040"/>
        <w:sz w:val="22"/>
      </w:rPr>
      <w:tcPr>
        <w:shd w:val="clear" w:color="auto" w:fill="F1F1F1" w:themeFill="text1" w:themeFillTint="0D"/>
      </w:tcPr>
    </w:tblStylePr>
  </w:style>
  <w:style w:type="table" w:customStyle="1" w:styleId="58">
    <w:name w:val="Plain Table 5"/>
    <w:basedOn w:val="28"/>
    <w:qFormat/>
    <w:uiPriority w:val="99"/>
    <w:pPr>
      <w:spacing w:after="0" w:line="240" w:lineRule="auto"/>
    </w:pPr>
    <w:tblStylePr w:type="firstRow">
      <w:rPr>
        <w:i/>
        <w:color w:val="404040"/>
      </w:rPr>
      <w:tcPr>
        <w:tcBorders>
          <w:left w:val="nil"/>
          <w:bottom w:val="single" w:color="404040" w:sz="4" w:space="0"/>
          <w:right w:val="nil"/>
        </w:tcBorders>
        <w:shd w:val="clear" w:color="auto" w:fill="FFFFFF"/>
      </w:tcPr>
    </w:tblStylePr>
    <w:tblStylePr w:type="lastRow">
      <w:rPr>
        <w:i/>
        <w:color w:val="404040"/>
      </w:rPr>
      <w:tcPr>
        <w:tcBorders>
          <w:top w:val="single" w:color="404040" w:sz="4" w:space="0"/>
          <w:left w:val="nil"/>
          <w:right w:val="nil"/>
        </w:tcBorders>
        <w:shd w:val="clear" w:color="auto" w:fill="FFFFFF"/>
      </w:tcPr>
    </w:tblStylePr>
    <w:tblStylePr w:type="firstCol">
      <w:pPr>
        <w:jc w:val="right"/>
      </w:pPr>
      <w:rPr>
        <w:i/>
        <w:color w:val="404040"/>
      </w:rPr>
      <w:tcPr>
        <w:tcBorders>
          <w:right w:val="single" w:color="404040" w:sz="4" w:space="0"/>
        </w:tcBorders>
        <w:shd w:val="clear" w:color="auto" w:fill="FFFFFF"/>
      </w:tcPr>
    </w:tblStylePr>
    <w:tblStylePr w:type="lastCol">
      <w:rPr>
        <w:i/>
        <w:color w:val="404040"/>
      </w:rPr>
      <w:tcPr>
        <w:tcBorders>
          <w:left w:val="single" w:color="404040" w:sz="4" w:space="0"/>
        </w:tcBorders>
        <w:shd w:val="clear" w:color="auto" w:fill="FFFFFF"/>
      </w:tcPr>
    </w:tblStylePr>
    <w:tblStylePr w:type="band1Vert">
      <w:rPr>
        <w:rFonts w:ascii="Arial" w:hAnsi="Arial"/>
        <w:color w:val="404040"/>
        <w:sz w:val="22"/>
      </w:rPr>
      <w:tcPr>
        <w:shd w:val="clear" w:color="auto" w:fill="F1F1F1" w:themeFill="text1" w:themeFillTint="0D"/>
      </w:tcPr>
    </w:tblStylePr>
    <w:tblStylePr w:type="band1Horz">
      <w:rPr>
        <w:rFonts w:ascii="Arial" w:hAnsi="Arial"/>
        <w:color w:val="404040"/>
        <w:sz w:val="22"/>
      </w:rPr>
      <w:tcPr>
        <w:shd w:val="clear" w:color="auto" w:fill="F1F1F1" w:themeFill="text1" w:themeFillTint="0D"/>
      </w:tcPr>
    </w:tblStylePr>
  </w:style>
  <w:style w:type="table" w:customStyle="1" w:styleId="59">
    <w:name w:val="Grid Table 1 Light"/>
    <w:basedOn w:val="28"/>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0">
    <w:name w:val="Grid Table 1 Light - Accent 1"/>
    <w:basedOn w:val="28"/>
    <w:qFormat/>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61">
    <w:name w:val="Grid Table 1 Light - Accent 2"/>
    <w:basedOn w:val="28"/>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62">
    <w:name w:val="Grid Table 1 Light - Accent 3"/>
    <w:basedOn w:val="28"/>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63">
    <w:name w:val="Grid Table 1 Light - Accent 4"/>
    <w:basedOn w:val="28"/>
    <w:qFormat/>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64">
    <w:name w:val="Grid Table 1 Light - Accent 5"/>
    <w:basedOn w:val="28"/>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65">
    <w:name w:val="Grid Table 1 Light - Accent 6"/>
    <w:basedOn w:val="28"/>
    <w:qFormat/>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66">
    <w:name w:val="Grid Table 2"/>
    <w:basedOn w:val="28"/>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auto" w:fill="FFFFFF"/>
      </w:tcPr>
    </w:tblStylePr>
    <w:tblStylePr w:type="lastRow">
      <w:rPr>
        <w:b/>
        <w:color w:val="404040"/>
      </w:rPr>
      <w:tcPr>
        <w:tcBorders>
          <w:top w:val="single" w:color="696969" w:themeColor="text1" w:themeTint="95" w:sz="4" w:space="0"/>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CACACA" w:themeFill="text1" w:themeFillTint="34"/>
      </w:tcPr>
    </w:tblStylePr>
    <w:tblStylePr w:type="band1Horz">
      <w:rPr>
        <w:rFonts w:ascii="Arial" w:hAnsi="Arial"/>
        <w:color w:val="404040"/>
        <w:sz w:val="22"/>
      </w:rPr>
      <w:tcPr>
        <w:shd w:val="clear" w:color="auto" w:fill="CACACA" w:themeFill="text1" w:themeFillTint="34"/>
      </w:tcPr>
    </w:tblStylePr>
  </w:style>
  <w:style w:type="table" w:customStyle="1" w:styleId="67">
    <w:name w:val="Grid Table 2 - Accent 1"/>
    <w:basedOn w:val="28"/>
    <w:qFormat/>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auto" w:fill="FFFFFF"/>
      </w:tcPr>
    </w:tblStylePr>
    <w:tblStylePr w:type="lastRow">
      <w:rPr>
        <w:b/>
        <w:color w:val="404040"/>
      </w:rPr>
      <w:tcPr>
        <w:tcBorders>
          <w:top w:val="single" w:color="68A3D8" w:themeColor="accent1" w:themeTint="EA" w:sz="4" w:space="0"/>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DDEAF6" w:themeFill="accent1" w:themeFillTint="34"/>
      </w:tcPr>
    </w:tblStylePr>
    <w:tblStylePr w:type="band1Horz">
      <w:rPr>
        <w:rFonts w:ascii="Arial" w:hAnsi="Arial"/>
        <w:color w:val="404040"/>
        <w:sz w:val="22"/>
      </w:rPr>
      <w:tcPr>
        <w:shd w:val="clear" w:color="auto" w:fill="DDEAF6" w:themeFill="accent1" w:themeFillTint="34"/>
      </w:tcPr>
    </w:tblStylePr>
  </w:style>
  <w:style w:type="table" w:customStyle="1" w:styleId="68">
    <w:name w:val="Grid Table 2 - Accent 2"/>
    <w:basedOn w:val="28"/>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auto" w:fill="FFFFFF"/>
      </w:tcPr>
    </w:tblStylePr>
    <w:tblStylePr w:type="lastRow">
      <w:rPr>
        <w:b/>
        <w:color w:val="404040"/>
      </w:rPr>
      <w:tcPr>
        <w:tcBorders>
          <w:top w:val="single" w:color="F4B285" w:themeColor="accent2" w:themeTint="97" w:sz="4" w:space="0"/>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FBE5D6" w:themeFill="accent2" w:themeFillTint="32"/>
      </w:tcPr>
    </w:tblStylePr>
    <w:tblStylePr w:type="band1Horz">
      <w:rPr>
        <w:rFonts w:ascii="Arial" w:hAnsi="Arial"/>
        <w:color w:val="404040"/>
        <w:sz w:val="22"/>
      </w:rPr>
      <w:tcPr>
        <w:shd w:val="clear" w:color="auto" w:fill="FBE5D6" w:themeFill="accent2" w:themeFillTint="32"/>
      </w:tcPr>
    </w:tblStylePr>
  </w:style>
  <w:style w:type="table" w:customStyle="1" w:styleId="69">
    <w:name w:val="Grid Table 2 - Accent 3"/>
    <w:basedOn w:val="28"/>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auto" w:fill="FFFFFF"/>
      </w:tcPr>
    </w:tblStylePr>
    <w:tblStylePr w:type="lastRow">
      <w:rPr>
        <w:b/>
        <w:color w:val="404040"/>
      </w:rPr>
      <w:tcPr>
        <w:tcBorders>
          <w:top w:val="single" w:color="A5A5A5" w:themeColor="accent3" w:themeTint="FE" w:sz="4" w:space="0"/>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ECECEC" w:themeFill="accent3" w:themeFillTint="34"/>
      </w:tcPr>
    </w:tblStylePr>
    <w:tblStylePr w:type="band1Horz">
      <w:rPr>
        <w:rFonts w:ascii="Arial" w:hAnsi="Arial"/>
        <w:color w:val="404040"/>
        <w:sz w:val="22"/>
      </w:rPr>
      <w:tcPr>
        <w:shd w:val="clear" w:color="auto" w:fill="ECECEC" w:themeFill="accent3" w:themeFillTint="34"/>
      </w:tcPr>
    </w:tblStylePr>
  </w:style>
  <w:style w:type="table" w:customStyle="1" w:styleId="70">
    <w:name w:val="Grid Table 2 - Accent 4"/>
    <w:basedOn w:val="28"/>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auto" w:fill="FFFFFF"/>
      </w:tcPr>
    </w:tblStylePr>
    <w:tblStylePr w:type="lastRow">
      <w:rPr>
        <w:b/>
        <w:color w:val="404040"/>
      </w:rPr>
      <w:tcPr>
        <w:tcBorders>
          <w:top w:val="single" w:color="FFD864" w:themeColor="accent4" w:themeTint="9A" w:sz="4" w:space="0"/>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FEF2CA" w:themeFill="accent4" w:themeFillTint="34"/>
      </w:tcPr>
    </w:tblStylePr>
    <w:tblStylePr w:type="band1Horz">
      <w:rPr>
        <w:rFonts w:ascii="Arial" w:hAnsi="Arial"/>
        <w:color w:val="404040"/>
        <w:sz w:val="22"/>
      </w:rPr>
      <w:tcPr>
        <w:shd w:val="clear" w:color="auto" w:fill="FEF2CA" w:themeFill="accent4" w:themeFillTint="34"/>
      </w:tcPr>
    </w:tblStylePr>
  </w:style>
  <w:style w:type="table" w:customStyle="1" w:styleId="71">
    <w:name w:val="Grid Table 2 - Accent 5"/>
    <w:basedOn w:val="28"/>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auto" w:fill="FFFFFF"/>
      </w:tcPr>
    </w:tblStylePr>
    <w:tblStylePr w:type="lastRow">
      <w:rPr>
        <w:b/>
        <w:color w:val="404040"/>
      </w:rPr>
      <w:tcPr>
        <w:tcBorders>
          <w:top w:val="single" w:color="4472C4" w:themeColor="accent5" w:sz="4" w:space="0"/>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D8E2F2" w:themeFill="accent5" w:themeFillTint="34"/>
      </w:tcPr>
    </w:tblStylePr>
    <w:tblStylePr w:type="band1Horz">
      <w:rPr>
        <w:rFonts w:ascii="Arial" w:hAnsi="Arial"/>
        <w:color w:val="404040"/>
        <w:sz w:val="22"/>
      </w:rPr>
      <w:tcPr>
        <w:shd w:val="clear" w:color="auto" w:fill="D8E2F2" w:themeFill="accent5" w:themeFillTint="34"/>
      </w:tcPr>
    </w:tblStylePr>
  </w:style>
  <w:style w:type="table" w:customStyle="1" w:styleId="72">
    <w:name w:val="Grid Table 2 - Accent 6"/>
    <w:basedOn w:val="28"/>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auto" w:fill="FFFFFF"/>
      </w:tcPr>
    </w:tblStylePr>
    <w:tblStylePr w:type="lastRow">
      <w:rPr>
        <w:b/>
        <w:color w:val="404040"/>
      </w:rPr>
      <w:tcPr>
        <w:tcBorders>
          <w:top w:val="single" w:color="70AD47" w:themeColor="accent6" w:sz="4" w:space="0"/>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E1EFD8" w:themeFill="accent6" w:themeFillTint="34"/>
      </w:tcPr>
    </w:tblStylePr>
    <w:tblStylePr w:type="band1Horz">
      <w:rPr>
        <w:rFonts w:ascii="Arial" w:hAnsi="Arial"/>
        <w:color w:val="404040"/>
        <w:sz w:val="22"/>
      </w:rPr>
      <w:tcPr>
        <w:shd w:val="clear" w:color="auto" w:fill="E1EFD8" w:themeFill="accent6" w:themeFillTint="34"/>
      </w:tcPr>
    </w:tblStylePr>
  </w:style>
  <w:style w:type="table" w:customStyle="1" w:styleId="73">
    <w:name w:val="Grid Table 3"/>
    <w:basedOn w:val="28"/>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auto" w:fill="FFFFFF"/>
      </w:tcPr>
    </w:tblStylePr>
    <w:tblStylePr w:type="lastRow">
      <w:rPr>
        <w:b/>
        <w:color w:val="404040"/>
      </w:rPr>
      <w:tcPr>
        <w:tcBorders>
          <w:top w:val="nil"/>
          <w:left w:val="nil"/>
          <w:bottom w:val="nil"/>
          <w:right w:val="nil"/>
        </w:tcBorders>
        <w:shd w:val="clear" w:color="auto" w:fill="FFFFFF"/>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auto" w:fill="CACACA" w:themeFill="text1" w:themeFillTint="34"/>
      </w:tcPr>
    </w:tblStylePr>
    <w:tblStylePr w:type="band1Horz">
      <w:rPr>
        <w:rFonts w:ascii="Arial" w:hAnsi="Arial"/>
        <w:color w:val="404040"/>
        <w:sz w:val="22"/>
      </w:rPr>
      <w:tcPr>
        <w:shd w:val="clear" w:color="auto" w:fill="CACACA" w:themeFill="text1" w:themeFillTint="34"/>
      </w:tcPr>
    </w:tblStylePr>
  </w:style>
  <w:style w:type="table" w:customStyle="1" w:styleId="74">
    <w:name w:val="Grid Table 3 - Accent 1"/>
    <w:basedOn w:val="28"/>
    <w:qFormat/>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auto" w:fill="FFFFFF"/>
      </w:tcPr>
    </w:tblStylePr>
    <w:tblStylePr w:type="lastRow">
      <w:rPr>
        <w:b/>
        <w:color w:val="404040"/>
      </w:rPr>
      <w:tcPr>
        <w:tcBorders>
          <w:top w:val="nil"/>
          <w:left w:val="nil"/>
          <w:bottom w:val="nil"/>
          <w:right w:val="nil"/>
        </w:tcBorders>
        <w:shd w:val="clear" w:color="auto" w:fill="FFFFFF"/>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auto" w:fill="DDEAF6" w:themeFill="accent1" w:themeFillTint="34"/>
      </w:tcPr>
    </w:tblStylePr>
    <w:tblStylePr w:type="band1Horz">
      <w:rPr>
        <w:rFonts w:ascii="Arial" w:hAnsi="Arial"/>
        <w:color w:val="404040"/>
        <w:sz w:val="22"/>
      </w:rPr>
      <w:tcPr>
        <w:shd w:val="clear" w:color="auto" w:fill="DDEAF6" w:themeFill="accent1" w:themeFillTint="34"/>
      </w:tcPr>
    </w:tblStylePr>
  </w:style>
  <w:style w:type="table" w:customStyle="1" w:styleId="75">
    <w:name w:val="Grid Table 3 - Accent 2"/>
    <w:basedOn w:val="28"/>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auto" w:fill="FFFFFF"/>
      </w:tcPr>
    </w:tblStylePr>
    <w:tblStylePr w:type="lastRow">
      <w:rPr>
        <w:b/>
        <w:color w:val="404040"/>
      </w:rPr>
      <w:tcPr>
        <w:tcBorders>
          <w:top w:val="nil"/>
          <w:left w:val="nil"/>
          <w:bottom w:val="nil"/>
          <w:right w:val="nil"/>
        </w:tcBorders>
        <w:shd w:val="clear" w:color="auto" w:fill="FFFFFF"/>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auto" w:fill="FBE5D6" w:themeFill="accent2" w:themeFillTint="32"/>
      </w:tcPr>
    </w:tblStylePr>
    <w:tblStylePr w:type="band1Horz">
      <w:rPr>
        <w:rFonts w:ascii="Arial" w:hAnsi="Arial"/>
        <w:color w:val="404040"/>
        <w:sz w:val="22"/>
      </w:rPr>
      <w:tcPr>
        <w:shd w:val="clear" w:color="auto" w:fill="FBE5D6" w:themeFill="accent2" w:themeFillTint="32"/>
      </w:tcPr>
    </w:tblStylePr>
  </w:style>
  <w:style w:type="table" w:customStyle="1" w:styleId="76">
    <w:name w:val="Grid Table 3 - Accent 3"/>
    <w:basedOn w:val="28"/>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auto" w:fill="FFFFFF"/>
      </w:tcPr>
    </w:tblStylePr>
    <w:tblStylePr w:type="lastRow">
      <w:rPr>
        <w:b/>
        <w:color w:val="404040"/>
      </w:rPr>
      <w:tcPr>
        <w:tcBorders>
          <w:top w:val="nil"/>
          <w:left w:val="nil"/>
          <w:bottom w:val="nil"/>
          <w:right w:val="nil"/>
        </w:tcBorders>
        <w:shd w:val="clear" w:color="auto" w:fill="FFFFFF"/>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auto" w:fill="ECECEC" w:themeFill="accent3" w:themeFillTint="34"/>
      </w:tcPr>
    </w:tblStylePr>
    <w:tblStylePr w:type="band1Horz">
      <w:rPr>
        <w:rFonts w:ascii="Arial" w:hAnsi="Arial"/>
        <w:color w:val="404040"/>
        <w:sz w:val="22"/>
      </w:rPr>
      <w:tcPr>
        <w:shd w:val="clear" w:color="auto" w:fill="ECECEC" w:themeFill="accent3" w:themeFillTint="34"/>
      </w:tcPr>
    </w:tblStylePr>
  </w:style>
  <w:style w:type="table" w:customStyle="1" w:styleId="77">
    <w:name w:val="Grid Table 3 - Accent 4"/>
    <w:basedOn w:val="28"/>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auto" w:fill="FFFFFF"/>
      </w:tcPr>
    </w:tblStylePr>
    <w:tblStylePr w:type="lastRow">
      <w:rPr>
        <w:b/>
        <w:color w:val="404040"/>
      </w:rPr>
      <w:tcPr>
        <w:tcBorders>
          <w:top w:val="nil"/>
          <w:left w:val="nil"/>
          <w:bottom w:val="nil"/>
          <w:right w:val="nil"/>
        </w:tcBorders>
        <w:shd w:val="clear" w:color="auto" w:fill="FFFFFF"/>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auto" w:fill="FEF2CA" w:themeFill="accent4" w:themeFillTint="34"/>
      </w:tcPr>
    </w:tblStylePr>
    <w:tblStylePr w:type="band1Horz">
      <w:rPr>
        <w:rFonts w:ascii="Arial" w:hAnsi="Arial"/>
        <w:color w:val="404040"/>
        <w:sz w:val="22"/>
      </w:rPr>
      <w:tcPr>
        <w:shd w:val="clear" w:color="auto" w:fill="FEF2CA" w:themeFill="accent4" w:themeFillTint="34"/>
      </w:tcPr>
    </w:tblStylePr>
  </w:style>
  <w:style w:type="table" w:customStyle="1" w:styleId="78">
    <w:name w:val="Grid Table 3 - Accent 5"/>
    <w:basedOn w:val="28"/>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auto" w:fill="FFFFFF"/>
      </w:tcPr>
    </w:tblStylePr>
    <w:tblStylePr w:type="lastRow">
      <w:rPr>
        <w:b/>
        <w:color w:val="404040"/>
      </w:rPr>
      <w:tcPr>
        <w:tcBorders>
          <w:top w:val="nil"/>
          <w:left w:val="nil"/>
          <w:bottom w:val="nil"/>
          <w:right w:val="nil"/>
        </w:tcBorders>
        <w:shd w:val="clear" w:color="auto" w:fill="FFFFFF"/>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auto" w:fill="D8E2F2" w:themeFill="accent5" w:themeFillTint="34"/>
      </w:tcPr>
    </w:tblStylePr>
    <w:tblStylePr w:type="band1Horz">
      <w:rPr>
        <w:rFonts w:ascii="Arial" w:hAnsi="Arial"/>
        <w:color w:val="404040"/>
        <w:sz w:val="22"/>
      </w:rPr>
      <w:tcPr>
        <w:shd w:val="clear" w:color="auto" w:fill="D8E2F2" w:themeFill="accent5" w:themeFillTint="34"/>
      </w:tcPr>
    </w:tblStylePr>
  </w:style>
  <w:style w:type="table" w:customStyle="1" w:styleId="79">
    <w:name w:val="Grid Table 3 - Accent 6"/>
    <w:basedOn w:val="28"/>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auto" w:fill="FFFFFF"/>
      </w:tcPr>
    </w:tblStylePr>
    <w:tblStylePr w:type="lastRow">
      <w:rPr>
        <w:b/>
        <w:color w:val="404040"/>
      </w:rPr>
      <w:tcPr>
        <w:tcBorders>
          <w:top w:val="nil"/>
          <w:left w:val="nil"/>
          <w:bottom w:val="nil"/>
          <w:right w:val="nil"/>
        </w:tcBorders>
        <w:shd w:val="clear" w:color="auto" w:fill="FFFFFF"/>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auto" w:fill="E1EFD8" w:themeFill="accent6" w:themeFillTint="34"/>
      </w:tcPr>
    </w:tblStylePr>
    <w:tblStylePr w:type="band1Horz">
      <w:rPr>
        <w:rFonts w:ascii="Arial" w:hAnsi="Arial"/>
        <w:color w:val="404040"/>
        <w:sz w:val="22"/>
      </w:rPr>
      <w:tcPr>
        <w:shd w:val="clear" w:color="auto" w:fill="E1EFD8" w:themeFill="accent6" w:themeFillTint="34"/>
      </w:tcPr>
    </w:tblStylePr>
  </w:style>
  <w:style w:type="table" w:customStyle="1" w:styleId="80">
    <w:name w:val="Grid Table 4"/>
    <w:basedOn w:val="28"/>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CACACA" w:themeFill="text1" w:themeFillTint="34"/>
      </w:tcPr>
    </w:tblStylePr>
    <w:tblStylePr w:type="band1Horz">
      <w:rPr>
        <w:rFonts w:ascii="Arial" w:hAnsi="Arial"/>
        <w:color w:val="404040"/>
        <w:sz w:val="22"/>
      </w:rPr>
      <w:tcPr>
        <w:shd w:val="clear" w:color="auto" w:fill="CACACA" w:themeFill="text1" w:themeFillTint="34"/>
      </w:tcPr>
    </w:tblStylePr>
  </w:style>
  <w:style w:type="table" w:customStyle="1" w:styleId="81">
    <w:name w:val="Grid Table 4 - Accent 1"/>
    <w:basedOn w:val="28"/>
    <w:qFormat/>
    <w:uiPriority w:val="5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auto"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DEEBF6" w:themeFill="accent1" w:themeFillTint="32"/>
      </w:tcPr>
    </w:tblStylePr>
    <w:tblStylePr w:type="band1Horz">
      <w:rPr>
        <w:rFonts w:ascii="Arial" w:hAnsi="Arial"/>
        <w:color w:val="404040"/>
        <w:sz w:val="22"/>
      </w:rPr>
      <w:tcPr>
        <w:shd w:val="clear" w:color="auto" w:fill="DEEBF6" w:themeFill="accent1" w:themeFillTint="32"/>
      </w:tcPr>
    </w:tblStylePr>
  </w:style>
  <w:style w:type="table" w:customStyle="1" w:styleId="82">
    <w:name w:val="Grid Table 4 - Accent 2"/>
    <w:basedOn w:val="28"/>
    <w:qFormat/>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auto"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FBE5D6" w:themeFill="accent2" w:themeFillTint="32"/>
      </w:tcPr>
    </w:tblStylePr>
    <w:tblStylePr w:type="band1Horz">
      <w:rPr>
        <w:rFonts w:ascii="Arial" w:hAnsi="Arial"/>
        <w:color w:val="404040"/>
        <w:sz w:val="22"/>
      </w:rPr>
      <w:tcPr>
        <w:shd w:val="clear" w:color="auto" w:fill="FBE5D6" w:themeFill="accent2" w:themeFillTint="32"/>
      </w:tcPr>
    </w:tblStylePr>
  </w:style>
  <w:style w:type="table" w:customStyle="1" w:styleId="83">
    <w:name w:val="Grid Table 4 - Accent 3"/>
    <w:basedOn w:val="28"/>
    <w:qFormat/>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uto"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ECECEC" w:themeFill="accent3" w:themeFillTint="34"/>
      </w:tcPr>
    </w:tblStylePr>
    <w:tblStylePr w:type="band1Horz">
      <w:rPr>
        <w:rFonts w:ascii="Arial" w:hAnsi="Arial"/>
        <w:color w:val="404040"/>
        <w:sz w:val="22"/>
      </w:rPr>
      <w:tcPr>
        <w:shd w:val="clear" w:color="auto" w:fill="ECECEC" w:themeFill="accent3" w:themeFillTint="34"/>
      </w:tcPr>
    </w:tblStylePr>
  </w:style>
  <w:style w:type="table" w:customStyle="1" w:styleId="84">
    <w:name w:val="Grid Table 4 - Accent 4"/>
    <w:basedOn w:val="28"/>
    <w:qFormat/>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auto"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FEF2CA" w:themeFill="accent4" w:themeFillTint="34"/>
      </w:tcPr>
    </w:tblStylePr>
    <w:tblStylePr w:type="band1Horz">
      <w:rPr>
        <w:rFonts w:ascii="Arial" w:hAnsi="Arial"/>
        <w:color w:val="404040"/>
        <w:sz w:val="22"/>
      </w:rPr>
      <w:tcPr>
        <w:shd w:val="clear" w:color="auto" w:fill="FEF2CA" w:themeFill="accent4" w:themeFillTint="34"/>
      </w:tcPr>
    </w:tblStylePr>
  </w:style>
  <w:style w:type="table" w:customStyle="1" w:styleId="85">
    <w:name w:val="Grid Table 4 - Accent 5"/>
    <w:basedOn w:val="28"/>
    <w:qFormat/>
    <w:uiPriority w:val="5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auto"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D8E2F2" w:themeFill="accent5" w:themeFillTint="34"/>
      </w:tcPr>
    </w:tblStylePr>
    <w:tblStylePr w:type="band1Horz">
      <w:rPr>
        <w:rFonts w:ascii="Arial" w:hAnsi="Arial"/>
        <w:color w:val="404040"/>
        <w:sz w:val="22"/>
      </w:rPr>
      <w:tcPr>
        <w:shd w:val="clear" w:color="auto" w:fill="D8E2F2" w:themeFill="accent5" w:themeFillTint="34"/>
      </w:tcPr>
    </w:tblStylePr>
  </w:style>
  <w:style w:type="table" w:customStyle="1" w:styleId="86">
    <w:name w:val="Grid Table 4 - Accent 6"/>
    <w:basedOn w:val="28"/>
    <w:qFormat/>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auto"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E1EFD8" w:themeFill="accent6" w:themeFillTint="34"/>
      </w:tcPr>
    </w:tblStylePr>
    <w:tblStylePr w:type="band1Horz">
      <w:rPr>
        <w:rFonts w:ascii="Arial" w:hAnsi="Arial"/>
        <w:color w:val="404040"/>
        <w:sz w:val="22"/>
      </w:rPr>
      <w:tcPr>
        <w:shd w:val="clear" w:color="auto" w:fill="E1EFD8" w:themeFill="accent6" w:themeFillTint="34"/>
      </w:tcPr>
    </w:tblStylePr>
  </w:style>
  <w:style w:type="table" w:customStyle="1" w:styleId="87">
    <w:name w:val="Grid Table 5 Dark"/>
    <w:basedOn w:val="28"/>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uto" w:fill="000000" w:themeFill="text1"/>
      </w:tcPr>
    </w:tblStylePr>
    <w:tblStylePr w:type="lastRow">
      <w:rPr>
        <w:rFonts w:ascii="Arial" w:hAnsi="Arial"/>
        <w:b/>
        <w:color w:val="FFFFFF"/>
        <w:sz w:val="22"/>
      </w:rPr>
      <w:tcPr>
        <w:tcBorders>
          <w:top w:val="single" w:color="FFFFFF" w:themeColor="light1" w:sz="4" w:space="0"/>
        </w:tcBorders>
        <w:shd w:val="clear" w:color="auto" w:fill="000000" w:themeFill="text1"/>
      </w:tcPr>
    </w:tblStylePr>
    <w:tblStylePr w:type="firstCol">
      <w:rPr>
        <w:rFonts w:ascii="Arial" w:hAnsi="Arial"/>
        <w:b/>
        <w:color w:val="FFFFFF"/>
        <w:sz w:val="22"/>
      </w:rPr>
      <w:tcPr>
        <w:shd w:val="clear" w:color="auto" w:fill="000000" w:themeFill="text1"/>
      </w:tcPr>
    </w:tblStylePr>
    <w:tblStylePr w:type="lastCol">
      <w:rPr>
        <w:rFonts w:ascii="Arial" w:hAnsi="Arial"/>
        <w:b/>
        <w:color w:val="FFFFFF"/>
        <w:sz w:val="22"/>
      </w:rPr>
      <w:tcPr>
        <w:shd w:val="clear" w:color="auto" w:fill="000000" w:themeFill="text1"/>
      </w:tcPr>
    </w:tblStylePr>
    <w:tblStylePr w:type="band1Vert">
      <w:tcPr>
        <w:shd w:val="clear" w:color="auto" w:fill="898989" w:themeFill="text1" w:themeFillTint="75"/>
      </w:tcPr>
    </w:tblStylePr>
    <w:tblStylePr w:type="band1Horz">
      <w:tcPr>
        <w:shd w:val="clear" w:color="auto" w:fill="898989" w:themeFill="text1" w:themeFillTint="75"/>
      </w:tcPr>
    </w:tblStylePr>
  </w:style>
  <w:style w:type="table" w:customStyle="1" w:styleId="88">
    <w:name w:val="Grid Table 5 Dark- Accent 1"/>
    <w:basedOn w:val="28"/>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uto" w:fill="5B9BD5" w:themeFill="accent1"/>
      </w:tcPr>
    </w:tblStylePr>
    <w:tblStylePr w:type="lastRow">
      <w:rPr>
        <w:rFonts w:ascii="Arial" w:hAnsi="Arial"/>
        <w:b/>
        <w:color w:val="FFFFFF"/>
        <w:sz w:val="22"/>
      </w:rPr>
      <w:tcPr>
        <w:tcBorders>
          <w:top w:val="single" w:color="FFFFFF" w:themeColor="light1" w:sz="4" w:space="0"/>
        </w:tcBorders>
        <w:shd w:val="clear" w:color="auto" w:fill="5B9BD5" w:themeFill="accent1"/>
      </w:tcPr>
    </w:tblStylePr>
    <w:tblStylePr w:type="firstCol">
      <w:rPr>
        <w:rFonts w:ascii="Arial" w:hAnsi="Arial"/>
        <w:b/>
        <w:color w:val="FFFFFF"/>
        <w:sz w:val="22"/>
      </w:rPr>
      <w:tcPr>
        <w:shd w:val="clear" w:color="auto" w:fill="5B9BD5" w:themeFill="accent1"/>
      </w:tcPr>
    </w:tblStylePr>
    <w:tblStylePr w:type="lastCol">
      <w:rPr>
        <w:rFonts w:ascii="Arial" w:hAnsi="Arial"/>
        <w:b/>
        <w:color w:val="FFFFFF"/>
        <w:sz w:val="22"/>
      </w:rPr>
      <w:tcPr>
        <w:shd w:val="clear" w:color="auto" w:fill="5B9BD5" w:themeFill="accent1"/>
      </w:tcPr>
    </w:tblStylePr>
    <w:tblStylePr w:type="band1Vert">
      <w:tcPr>
        <w:shd w:val="clear" w:color="auto" w:fill="B3D1EB" w:themeFill="accent1" w:themeFillTint="75"/>
      </w:tcPr>
    </w:tblStylePr>
    <w:tblStylePr w:type="band1Horz">
      <w:tcPr>
        <w:shd w:val="clear" w:color="auto" w:fill="B3D1EB" w:themeFill="accent1" w:themeFillTint="75"/>
      </w:tcPr>
    </w:tblStylePr>
  </w:style>
  <w:style w:type="table" w:customStyle="1" w:styleId="89">
    <w:name w:val="Grid Table 5 Dark - Accent 2"/>
    <w:basedOn w:val="28"/>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uto" w:fill="ED7D31" w:themeFill="accent2"/>
      </w:tcPr>
    </w:tblStylePr>
    <w:tblStylePr w:type="lastRow">
      <w:rPr>
        <w:rFonts w:ascii="Arial" w:hAnsi="Arial"/>
        <w:b/>
        <w:color w:val="FFFFFF"/>
        <w:sz w:val="22"/>
      </w:rPr>
      <w:tcPr>
        <w:tcBorders>
          <w:top w:val="single" w:color="FFFFFF" w:themeColor="light1" w:sz="4" w:space="0"/>
        </w:tcBorders>
        <w:shd w:val="clear" w:color="auto" w:fill="ED7D31" w:themeFill="accent2"/>
      </w:tcPr>
    </w:tblStylePr>
    <w:tblStylePr w:type="firstCol">
      <w:rPr>
        <w:rFonts w:ascii="Arial" w:hAnsi="Arial"/>
        <w:b/>
        <w:color w:val="FFFFFF"/>
        <w:sz w:val="22"/>
      </w:rPr>
      <w:tcPr>
        <w:shd w:val="clear" w:color="auto" w:fill="ED7D31" w:themeFill="accent2"/>
      </w:tcPr>
    </w:tblStylePr>
    <w:tblStylePr w:type="lastCol">
      <w:rPr>
        <w:rFonts w:ascii="Arial" w:hAnsi="Arial"/>
        <w:b/>
        <w:color w:val="FFFFFF"/>
        <w:sz w:val="22"/>
      </w:rPr>
      <w:tcPr>
        <w:shd w:val="clear" w:color="auto" w:fill="ED7D31" w:themeFill="accent2"/>
      </w:tcPr>
    </w:tblStylePr>
    <w:tblStylePr w:type="band1Vert">
      <w:tcPr>
        <w:shd w:val="clear" w:color="auto" w:fill="F6C3A0" w:themeFill="accent2" w:themeFillTint="75"/>
      </w:tcPr>
    </w:tblStylePr>
    <w:tblStylePr w:type="band1Horz">
      <w:tcPr>
        <w:shd w:val="clear" w:color="auto" w:fill="F6C3A0" w:themeFill="accent2" w:themeFillTint="75"/>
      </w:tcPr>
    </w:tblStylePr>
  </w:style>
  <w:style w:type="table" w:customStyle="1" w:styleId="90">
    <w:name w:val="Grid Table 5 Dark - Accent 3"/>
    <w:basedOn w:val="28"/>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uto" w:fill="A5A5A5" w:themeFill="accent3"/>
      </w:tcPr>
    </w:tblStylePr>
    <w:tblStylePr w:type="lastRow">
      <w:rPr>
        <w:rFonts w:ascii="Arial" w:hAnsi="Arial"/>
        <w:b/>
        <w:color w:val="FFFFFF"/>
        <w:sz w:val="22"/>
      </w:rPr>
      <w:tcPr>
        <w:tcBorders>
          <w:top w:val="single" w:color="FFFFFF" w:themeColor="light1" w:sz="4" w:space="0"/>
        </w:tcBorders>
        <w:shd w:val="clear" w:color="auto" w:fill="A5A5A5" w:themeFill="accent3"/>
      </w:tcPr>
    </w:tblStylePr>
    <w:tblStylePr w:type="firstCol">
      <w:rPr>
        <w:rFonts w:ascii="Arial" w:hAnsi="Arial"/>
        <w:b/>
        <w:color w:val="FFFFFF"/>
        <w:sz w:val="22"/>
      </w:rPr>
      <w:tcPr>
        <w:shd w:val="clear" w:color="auto" w:fill="A5A5A5" w:themeFill="accent3"/>
      </w:tcPr>
    </w:tblStylePr>
    <w:tblStylePr w:type="lastCol">
      <w:rPr>
        <w:rFonts w:ascii="Arial" w:hAnsi="Arial"/>
        <w:b/>
        <w:color w:val="FFFFFF"/>
        <w:sz w:val="22"/>
      </w:rPr>
      <w:tcPr>
        <w:shd w:val="clear" w:color="auto" w:fill="A5A5A5" w:themeFill="accent3"/>
      </w:tcPr>
    </w:tblStylePr>
    <w:tblStylePr w:type="band1Vert">
      <w:tcPr>
        <w:shd w:val="clear" w:color="auto" w:fill="D5D5D5" w:themeFill="accent3" w:themeFillTint="75"/>
      </w:tcPr>
    </w:tblStylePr>
    <w:tblStylePr w:type="band1Horz">
      <w:tcPr>
        <w:shd w:val="clear" w:color="auto" w:fill="D5D5D5" w:themeFill="accent3" w:themeFillTint="75"/>
      </w:tcPr>
    </w:tblStylePr>
  </w:style>
  <w:style w:type="table" w:customStyle="1" w:styleId="91">
    <w:name w:val="Grid Table 5 Dark- Accent 4"/>
    <w:basedOn w:val="28"/>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uto" w:fill="FFC000" w:themeFill="accent4"/>
      </w:tcPr>
    </w:tblStylePr>
    <w:tblStylePr w:type="lastRow">
      <w:rPr>
        <w:rFonts w:ascii="Arial" w:hAnsi="Arial"/>
        <w:b/>
        <w:color w:val="FFFFFF"/>
        <w:sz w:val="22"/>
      </w:rPr>
      <w:tcPr>
        <w:tcBorders>
          <w:top w:val="single" w:color="FFFFFF" w:themeColor="light1" w:sz="4" w:space="0"/>
        </w:tcBorders>
        <w:shd w:val="clear" w:color="auto" w:fill="FFC000" w:themeFill="accent4"/>
      </w:tcPr>
    </w:tblStylePr>
    <w:tblStylePr w:type="firstCol">
      <w:rPr>
        <w:rFonts w:ascii="Arial" w:hAnsi="Arial"/>
        <w:b/>
        <w:color w:val="FFFFFF"/>
        <w:sz w:val="22"/>
      </w:rPr>
      <w:tcPr>
        <w:shd w:val="clear" w:color="auto" w:fill="FFC000" w:themeFill="accent4"/>
      </w:tcPr>
    </w:tblStylePr>
    <w:tblStylePr w:type="lastCol">
      <w:rPr>
        <w:rFonts w:ascii="Arial" w:hAnsi="Arial"/>
        <w:b/>
        <w:color w:val="FFFFFF"/>
        <w:sz w:val="22"/>
      </w:rPr>
      <w:tcPr>
        <w:shd w:val="clear" w:color="auto" w:fill="FFC000" w:themeFill="accent4"/>
      </w:tcPr>
    </w:tblStylePr>
    <w:tblStylePr w:type="band1Vert">
      <w:tcPr>
        <w:shd w:val="clear" w:color="auto" w:fill="FEE289" w:themeFill="accent4" w:themeFillTint="75"/>
      </w:tcPr>
    </w:tblStylePr>
    <w:tblStylePr w:type="band1Horz">
      <w:tcPr>
        <w:shd w:val="clear" w:color="auto" w:fill="FEE289" w:themeFill="accent4" w:themeFillTint="75"/>
      </w:tcPr>
    </w:tblStylePr>
  </w:style>
  <w:style w:type="table" w:customStyle="1" w:styleId="92">
    <w:name w:val="Grid Table 5 Dark - Accent 5"/>
    <w:basedOn w:val="28"/>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uto" w:fill="4472C4" w:themeFill="accent5"/>
      </w:tcPr>
    </w:tblStylePr>
    <w:tblStylePr w:type="lastRow">
      <w:rPr>
        <w:rFonts w:ascii="Arial" w:hAnsi="Arial"/>
        <w:b/>
        <w:color w:val="FFFFFF"/>
        <w:sz w:val="22"/>
      </w:rPr>
      <w:tcPr>
        <w:tcBorders>
          <w:top w:val="single" w:color="FFFFFF" w:themeColor="light1" w:sz="4" w:space="0"/>
        </w:tcBorders>
        <w:shd w:val="clear" w:color="auto" w:fill="4472C4" w:themeFill="accent5"/>
      </w:tcPr>
    </w:tblStylePr>
    <w:tblStylePr w:type="firstCol">
      <w:rPr>
        <w:rFonts w:ascii="Arial" w:hAnsi="Arial"/>
        <w:b/>
        <w:color w:val="FFFFFF"/>
        <w:sz w:val="22"/>
      </w:rPr>
      <w:tcPr>
        <w:shd w:val="clear" w:color="auto" w:fill="4472C4" w:themeFill="accent5"/>
      </w:tcPr>
    </w:tblStylePr>
    <w:tblStylePr w:type="lastCol">
      <w:rPr>
        <w:rFonts w:ascii="Arial" w:hAnsi="Arial"/>
        <w:b/>
        <w:color w:val="FFFFFF"/>
        <w:sz w:val="22"/>
      </w:rPr>
      <w:tcPr>
        <w:shd w:val="clear" w:color="auto" w:fill="4472C4" w:themeFill="accent5"/>
      </w:tcPr>
    </w:tblStylePr>
    <w:tblStylePr w:type="band1Vert">
      <w:tcPr>
        <w:shd w:val="clear" w:color="auto" w:fill="A9BEE3" w:themeFill="accent5" w:themeFillTint="75"/>
      </w:tcPr>
    </w:tblStylePr>
    <w:tblStylePr w:type="band1Horz">
      <w:tcPr>
        <w:shd w:val="clear" w:color="auto" w:fill="A9BEE3" w:themeFill="accent5" w:themeFillTint="75"/>
      </w:tcPr>
    </w:tblStylePr>
  </w:style>
  <w:style w:type="table" w:customStyle="1" w:styleId="93">
    <w:name w:val="Grid Table 5 Dark - Accent 6"/>
    <w:basedOn w:val="28"/>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uto" w:fill="70AD47" w:themeFill="accent6"/>
      </w:tcPr>
    </w:tblStylePr>
    <w:tblStylePr w:type="lastRow">
      <w:rPr>
        <w:rFonts w:ascii="Arial" w:hAnsi="Arial"/>
        <w:b/>
        <w:color w:val="FFFFFF"/>
        <w:sz w:val="22"/>
      </w:rPr>
      <w:tcPr>
        <w:tcBorders>
          <w:top w:val="single" w:color="FFFFFF" w:themeColor="light1" w:sz="4" w:space="0"/>
        </w:tcBorders>
        <w:shd w:val="clear" w:color="auto" w:fill="70AD47" w:themeFill="accent6"/>
      </w:tcPr>
    </w:tblStylePr>
    <w:tblStylePr w:type="firstCol">
      <w:rPr>
        <w:rFonts w:ascii="Arial" w:hAnsi="Arial"/>
        <w:b/>
        <w:color w:val="FFFFFF"/>
        <w:sz w:val="22"/>
      </w:rPr>
      <w:tcPr>
        <w:shd w:val="clear" w:color="auto" w:fill="70AD47" w:themeFill="accent6"/>
      </w:tcPr>
    </w:tblStylePr>
    <w:tblStylePr w:type="lastCol">
      <w:rPr>
        <w:rFonts w:ascii="Arial" w:hAnsi="Arial"/>
        <w:b/>
        <w:color w:val="FFFFFF"/>
        <w:sz w:val="22"/>
      </w:rPr>
      <w:tcPr>
        <w:shd w:val="clear" w:color="auto" w:fill="70AD47" w:themeFill="accent6"/>
      </w:tcPr>
    </w:tblStylePr>
    <w:tblStylePr w:type="band1Vert">
      <w:tcPr>
        <w:shd w:val="clear" w:color="auto" w:fill="BCDBA8" w:themeFill="accent6" w:themeFillTint="75"/>
      </w:tcPr>
    </w:tblStylePr>
    <w:tblStylePr w:type="band1Horz">
      <w:tcPr>
        <w:shd w:val="clear" w:color="auto" w:fill="BCDBA8" w:themeFill="accent6" w:themeFillTint="75"/>
      </w:tcPr>
    </w:tblStylePr>
  </w:style>
  <w:style w:type="table" w:customStyle="1" w:styleId="94">
    <w:name w:val="Grid Table 6 Colorful"/>
    <w:basedOn w:val="28"/>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auto"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auto"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95">
    <w:name w:val="Grid Table 6 Colorful - Accent 1"/>
    <w:basedOn w:val="28"/>
    <w:qFormat/>
    <w:uiPriority w:val="99"/>
    <w:pPr>
      <w:spacing w:after="0" w:line="240" w:lineRule="auto"/>
    </w:pPr>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StylePr>
    <w:tblStylePr w:type="firstCol">
      <w:rPr>
        <w:b/>
        <w:color w:val="ADCDEA" w:themeColor="accent1" w:themeTint="80"/>
        <w14:textFill>
          <w14:solidFill>
            <w14:schemeClr w14:val="accent1">
              <w14:lumMod w14:val="50000"/>
              <w14:lumOff w14:val="50000"/>
            </w14:schemeClr>
          </w14:solidFill>
        </w14:textFill>
      </w:rPr>
    </w:tblStylePr>
    <w:tblStylePr w:type="lastCol">
      <w:rPr>
        <w:b/>
        <w:color w:val="ADCDEA" w:themeColor="accent1" w:themeTint="80"/>
        <w14:textFill>
          <w14:solidFill>
            <w14:schemeClr w14:val="accent1">
              <w14:lumMod w14:val="50000"/>
              <w14:lumOff w14:val="50000"/>
            </w14:schemeClr>
          </w14:solidFill>
        </w14:textFill>
      </w:rPr>
    </w:tblStylePr>
    <w:tblStylePr w:type="band1Vert">
      <w:tcPr>
        <w:shd w:val="clear" w:color="auto"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auto"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96">
    <w:name w:val="Grid Table 6 Colorful - Accent 2"/>
    <w:basedOn w:val="28"/>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auto"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auto"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97">
    <w:name w:val="Grid Table 6 Colorful - Accent 3"/>
    <w:basedOn w:val="28"/>
    <w:qFormat/>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StylePr>
    <w:tblStylePr w:type="firstCol">
      <w:rPr>
        <w:b/>
        <w:color w:val="A5A5A5" w:themeColor="accent3" w:themeTint="FF"/>
        <w14:textFill>
          <w14:solidFill>
            <w14:schemeClr w14:val="accent3">
              <w14:lumMod w14:val="100000"/>
              <w14:lumOff w14:val="0"/>
            </w14:schemeClr>
          </w14:solidFill>
        </w14:textFill>
      </w:rPr>
    </w:tblStylePr>
    <w:tblStylePr w:type="lastCol">
      <w:rPr>
        <w:b/>
        <w:color w:val="A5A5A5" w:themeColor="accent3" w:themeTint="FF"/>
        <w14:textFill>
          <w14:solidFill>
            <w14:schemeClr w14:val="accent3">
              <w14:lumMod w14:val="100000"/>
              <w14:lumOff w14:val="0"/>
            </w14:schemeClr>
          </w14:solidFill>
        </w14:textFill>
      </w:rPr>
    </w:tblStylePr>
    <w:tblStylePr w:type="band1Vert">
      <w:tcPr>
        <w:shd w:val="clear" w:color="auto"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auto"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98">
    <w:name w:val="Grid Table 6 Colorful - Accent 4"/>
    <w:basedOn w:val="28"/>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auto"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auto"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99">
    <w:name w:val="Grid Table 6 Colorful - Accent 5"/>
    <w:basedOn w:val="28"/>
    <w:qFormat/>
    <w:uiPriority w:val="99"/>
    <w:pPr>
      <w:spacing w:after="0" w:line="240" w:lineRule="auto"/>
    </w:pPr>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cPr>
        <w:tcBorders>
          <w:bottom w:val="single" w:color="4472C4" w:themeColor="accent5"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auto" w:fill="D8E2F2" w:themeFill="accent5" w:themeFillTint="34"/>
      </w:tcPr>
    </w:tblStylePr>
    <w:tblStylePr w:type="band1Horz">
      <w:rPr>
        <w:rFonts w:ascii="Arial" w:hAnsi="Arial"/>
        <w:color w:val="254174" w:themeColor="accent5" w:themeShade="94"/>
        <w:sz w:val="22"/>
      </w:rPr>
      <w:tcPr>
        <w:shd w:val="clear" w:color="auto" w:fill="D8E2F2" w:themeFill="accent5" w:themeFillTint="34"/>
      </w:tcPr>
    </w:tblStylePr>
    <w:tblStylePr w:type="band2Horz">
      <w:rPr>
        <w:rFonts w:ascii="Arial" w:hAnsi="Arial"/>
        <w:color w:val="254174" w:themeColor="accent5" w:themeShade="94"/>
        <w:sz w:val="22"/>
      </w:rPr>
    </w:tblStylePr>
  </w:style>
  <w:style w:type="table" w:customStyle="1" w:styleId="100">
    <w:name w:val="Grid Table 6 Colorful - Accent 6"/>
    <w:basedOn w:val="28"/>
    <w:qFormat/>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cPr>
        <w:tcBorders>
          <w:bottom w:val="single" w:color="70AD47" w:themeColor="accent6"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auto" w:fill="E1EFD8" w:themeFill="accent6" w:themeFillTint="34"/>
      </w:tcPr>
    </w:tblStylePr>
    <w:tblStylePr w:type="band1Horz">
      <w:rPr>
        <w:rFonts w:ascii="Arial" w:hAnsi="Arial"/>
        <w:color w:val="254174" w:themeColor="accent5" w:themeShade="94"/>
        <w:sz w:val="22"/>
      </w:rPr>
      <w:tcPr>
        <w:shd w:val="clear" w:color="auto" w:fill="E1EFD8" w:themeFill="accent6" w:themeFillTint="34"/>
      </w:tcPr>
    </w:tblStylePr>
    <w:tblStylePr w:type="band2Horz">
      <w:rPr>
        <w:rFonts w:ascii="Arial" w:hAnsi="Arial"/>
        <w:color w:val="254174" w:themeColor="accent5" w:themeShade="94"/>
        <w:sz w:val="22"/>
      </w:rPr>
    </w:tblStylePr>
  </w:style>
  <w:style w:type="table" w:customStyle="1" w:styleId="101">
    <w:name w:val="Grid Table 7 Colorful"/>
    <w:basedOn w:val="28"/>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auto"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auto"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auto"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auto"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2">
    <w:name w:val="Grid Table 7 Colorful - Accent 1"/>
    <w:basedOn w:val="28"/>
    <w:qFormat/>
    <w:uiPriority w:val="99"/>
    <w:pPr>
      <w:spacing w:after="0" w:line="240" w:lineRule="auto"/>
    </w:pPr>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cPr>
        <w:tcBorders>
          <w:top w:val="nil"/>
          <w:left w:val="nil"/>
          <w:bottom w:val="single" w:color="ACCCE9" w:themeColor="accent1" w:themeTint="80" w:sz="4" w:space="0"/>
          <w:right w:val="nil"/>
        </w:tcBorders>
        <w:shd w:val="clear" w:color="auto"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cPr>
        <w:tcBorders>
          <w:top w:val="single" w:color="ACCCE9" w:themeColor="accent1" w:themeTint="80" w:sz="4" w:space="0"/>
          <w:left w:val="nil"/>
          <w:bottom w:val="nil"/>
          <w:right w:val="nil"/>
        </w:tcBorders>
        <w:shd w:val="clear" w:color="auto"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single" w:color="ACCCE9" w:themeColor="accent1" w:themeTint="80" w:sz="4" w:space="0"/>
          <w:bottom w:val="nil"/>
          <w:right w:val="nil"/>
        </w:tcBorders>
        <w:shd w:val="clear" w:color="FFFFFF" w:fill="auto"/>
      </w:tcPr>
    </w:tblStylePr>
    <w:tblStylePr w:type="band1Vert">
      <w:tcPr>
        <w:shd w:val="clear" w:color="auto"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auto"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03">
    <w:name w:val="Grid Table 7 Colorful - Accent 2"/>
    <w:basedOn w:val="28"/>
    <w:qFormat/>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auto"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auto"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auto"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auto"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04">
    <w:name w:val="Grid Table 7 Colorful - Accent 3"/>
    <w:basedOn w:val="28"/>
    <w:qFormat/>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cPr>
        <w:tcBorders>
          <w:top w:val="nil"/>
          <w:left w:val="nil"/>
          <w:bottom w:val="single" w:color="A5A5A5" w:themeColor="accent3" w:themeTint="FE" w:sz="4" w:space="0"/>
          <w:right w:val="nil"/>
        </w:tcBorders>
        <w:shd w:val="clear" w:color="auto"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cPr>
        <w:tcBorders>
          <w:top w:val="single" w:color="A5A5A5" w:themeColor="accent3" w:themeTint="FE" w:sz="4" w:space="0"/>
          <w:left w:val="nil"/>
          <w:bottom w:val="nil"/>
          <w:right w:val="nil"/>
        </w:tcBorders>
        <w:shd w:val="clear" w:color="auto"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cPr>
        <w:tcBorders>
          <w:top w:val="nil"/>
          <w:left w:val="single" w:color="A5A5A5" w:themeColor="accent3" w:themeTint="FE" w:sz="4" w:space="0"/>
          <w:bottom w:val="nil"/>
          <w:right w:val="nil"/>
        </w:tcBorders>
        <w:shd w:val="clear" w:color="FFFFFF" w:fill="auto"/>
      </w:tcPr>
    </w:tblStylePr>
    <w:tblStylePr w:type="band1Vert">
      <w:tcPr>
        <w:shd w:val="clear" w:color="auto"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auto"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05">
    <w:name w:val="Grid Table 7 Colorful - Accent 4"/>
    <w:basedOn w:val="28"/>
    <w:qFormat/>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auto"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auto"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auto"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auto"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06">
    <w:name w:val="Grid Table 7 Colorful - Accent 5"/>
    <w:basedOn w:val="28"/>
    <w:qFormat/>
    <w:uiPriority w:val="99"/>
    <w:pPr>
      <w:spacing w:after="0" w:line="240" w:lineRule="auto"/>
    </w:pPr>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cPr>
        <w:tcBorders>
          <w:top w:val="nil"/>
          <w:left w:val="nil"/>
          <w:bottom w:val="single" w:color="95AFDD" w:themeColor="accent5" w:themeTint="90" w:sz="4" w:space="0"/>
          <w:right w:val="nil"/>
        </w:tcBorders>
        <w:shd w:val="clear" w:color="auto" w:fill="FFFFFF" w:themeFill="light1"/>
      </w:tcPr>
    </w:tblStylePr>
    <w:tblStylePr w:type="lastRow">
      <w:rPr>
        <w:rFonts w:ascii="Arial" w:hAnsi="Arial"/>
        <w:b/>
        <w:color w:val="254174" w:themeColor="accent5" w:themeShade="94"/>
        <w:sz w:val="22"/>
      </w:rPr>
      <w:tcPr>
        <w:tcBorders>
          <w:top w:val="single" w:color="95AFDD" w:themeColor="accent5" w:themeTint="90" w:sz="4" w:space="0"/>
          <w:left w:val="nil"/>
          <w:bottom w:val="nil"/>
          <w:right w:val="nil"/>
        </w:tcBorders>
        <w:shd w:val="clear" w:color="auto" w:fill="FFFFFF" w:themeFill="light1"/>
      </w:tcPr>
    </w:tblStylePr>
    <w:tblStylePr w:type="firstCol">
      <w:pPr>
        <w:jc w:val="right"/>
      </w:pPr>
      <w:rPr>
        <w:rFonts w:ascii="Arial" w:hAnsi="Arial"/>
        <w:i/>
        <w:color w:val="254174" w:themeColor="accent5" w:themeShade="94"/>
        <w:sz w:val="22"/>
      </w:r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54174" w:themeColor="accent5" w:themeShade="94"/>
        <w:sz w:val="22"/>
      </w:rPr>
      <w:tcPr>
        <w:tcBorders>
          <w:top w:val="nil"/>
          <w:left w:val="single" w:color="95AFDD" w:themeColor="accent5" w:themeTint="90" w:sz="4" w:space="0"/>
          <w:bottom w:val="nil"/>
          <w:right w:val="nil"/>
        </w:tcBorders>
        <w:shd w:val="clear" w:color="FFFFFF" w:fill="auto"/>
      </w:tcPr>
    </w:tblStylePr>
    <w:tblStylePr w:type="band1Vert">
      <w:tcPr>
        <w:shd w:val="clear" w:color="auto" w:fill="D8E2F2" w:themeFill="accent5" w:themeFillTint="34"/>
      </w:tcPr>
    </w:tblStylePr>
    <w:tblStylePr w:type="band1Horz">
      <w:rPr>
        <w:rFonts w:ascii="Arial" w:hAnsi="Arial"/>
        <w:color w:val="254174" w:themeColor="accent5" w:themeShade="94"/>
        <w:sz w:val="22"/>
      </w:rPr>
      <w:tcPr>
        <w:shd w:val="clear" w:color="auto" w:fill="D8E2F2" w:themeFill="accent5" w:themeFillTint="34"/>
      </w:tcPr>
    </w:tblStylePr>
    <w:tblStylePr w:type="band2Horz">
      <w:rPr>
        <w:rFonts w:ascii="Arial" w:hAnsi="Arial"/>
        <w:color w:val="254174" w:themeColor="accent5" w:themeShade="94"/>
        <w:sz w:val="22"/>
      </w:rPr>
    </w:tblStylePr>
  </w:style>
  <w:style w:type="table" w:customStyle="1" w:styleId="107">
    <w:name w:val="Grid Table 7 Colorful - Accent 6"/>
    <w:basedOn w:val="28"/>
    <w:qFormat/>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cPr>
        <w:tcBorders>
          <w:top w:val="nil"/>
          <w:left w:val="nil"/>
          <w:bottom w:val="single" w:color="ADD394" w:themeColor="accent6" w:themeTint="90" w:sz="4" w:space="0"/>
          <w:right w:val="nil"/>
        </w:tcBorders>
        <w:shd w:val="clear" w:color="auto" w:fill="FFFFFF" w:themeFill="light1"/>
      </w:tcPr>
    </w:tblStylePr>
    <w:tblStylePr w:type="lastRow">
      <w:rPr>
        <w:rFonts w:ascii="Arial" w:hAnsi="Arial"/>
        <w:b/>
        <w:color w:val="416429" w:themeColor="accent6" w:themeShade="94"/>
        <w:sz w:val="22"/>
      </w:rPr>
      <w:tcPr>
        <w:tcBorders>
          <w:top w:val="single" w:color="ADD394" w:themeColor="accent6" w:themeTint="90" w:sz="4" w:space="0"/>
          <w:left w:val="nil"/>
          <w:bottom w:val="nil"/>
          <w:right w:val="nil"/>
        </w:tcBorders>
        <w:shd w:val="clear" w:color="auto" w:fill="FFFFFF" w:themeFill="light1"/>
      </w:tcPr>
    </w:tblStylePr>
    <w:tblStylePr w:type="firstCol">
      <w:pPr>
        <w:jc w:val="right"/>
      </w:pPr>
      <w:rPr>
        <w:rFonts w:ascii="Arial" w:hAnsi="Arial"/>
        <w:i/>
        <w:color w:val="416429" w:themeColor="accent6" w:themeShade="94"/>
        <w:sz w:val="22"/>
      </w:r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cPr>
        <w:tcBorders>
          <w:top w:val="nil"/>
          <w:left w:val="single" w:color="ADD394" w:themeColor="accent6" w:themeTint="90" w:sz="4" w:space="0"/>
          <w:bottom w:val="nil"/>
          <w:right w:val="nil"/>
        </w:tcBorders>
        <w:shd w:val="clear" w:color="FFFFFF" w:fill="auto"/>
      </w:tcPr>
    </w:tblStylePr>
    <w:tblStylePr w:type="band1Vert">
      <w:tcPr>
        <w:shd w:val="clear" w:color="auto" w:fill="E1EFD8" w:themeFill="accent6" w:themeFillTint="34"/>
      </w:tcPr>
    </w:tblStylePr>
    <w:tblStylePr w:type="band1Horz">
      <w:rPr>
        <w:rFonts w:ascii="Arial" w:hAnsi="Arial"/>
        <w:color w:val="416429" w:themeColor="accent6" w:themeShade="94"/>
        <w:sz w:val="22"/>
      </w:rPr>
      <w:tcPr>
        <w:shd w:val="clear" w:color="auto" w:fill="E1EFD8" w:themeFill="accent6" w:themeFillTint="34"/>
      </w:tcPr>
    </w:tblStylePr>
    <w:tblStylePr w:type="band2Horz">
      <w:rPr>
        <w:rFonts w:ascii="Arial" w:hAnsi="Arial"/>
        <w:color w:val="416429" w:themeColor="accent6" w:themeShade="94"/>
        <w:sz w:val="22"/>
      </w:rPr>
    </w:tblStylePr>
  </w:style>
  <w:style w:type="table" w:customStyle="1" w:styleId="108">
    <w:name w:val="List Table 1 Light"/>
    <w:basedOn w:val="28"/>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auto" w:fill="BEBEBE" w:themeFill="text1" w:themeFillTint="40"/>
      </w:tcPr>
    </w:tblStylePr>
    <w:tblStylePr w:type="band1Horz">
      <w:tcPr>
        <w:shd w:val="clear" w:color="auto" w:fill="BEBEBE" w:themeFill="text1" w:themeFillTint="40"/>
      </w:tcPr>
    </w:tblStylePr>
  </w:style>
  <w:style w:type="table" w:customStyle="1" w:styleId="109">
    <w:name w:val="List Table 1 Light - Accent 1"/>
    <w:basedOn w:val="28"/>
    <w:qFormat/>
    <w:uiPriority w:val="99"/>
    <w:pPr>
      <w:spacing w:after="0" w:line="240" w:lineRule="auto"/>
    </w:pPr>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auto" w:fill="D5E5F4" w:themeFill="accent1" w:themeFillTint="40"/>
      </w:tcPr>
    </w:tblStylePr>
    <w:tblStylePr w:type="band1Horz">
      <w:tcPr>
        <w:shd w:val="clear" w:color="auto" w:fill="D5E5F4" w:themeFill="accent1" w:themeFillTint="40"/>
      </w:tcPr>
    </w:tblStylePr>
  </w:style>
  <w:style w:type="table" w:customStyle="1" w:styleId="110">
    <w:name w:val="List Table 1 Light - Accent 2"/>
    <w:basedOn w:val="28"/>
    <w:qFormat/>
    <w:uiPriority w:val="99"/>
    <w:pPr>
      <w:spacing w:after="0" w:line="240" w:lineRule="auto"/>
    </w:pPr>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auto" w:fill="FADECB" w:themeFill="accent2" w:themeFillTint="40"/>
      </w:tcPr>
    </w:tblStylePr>
    <w:tblStylePr w:type="band1Horz">
      <w:tcPr>
        <w:shd w:val="clear" w:color="auto" w:fill="FADECB" w:themeFill="accent2" w:themeFillTint="40"/>
      </w:tcPr>
    </w:tblStylePr>
  </w:style>
  <w:style w:type="table" w:customStyle="1" w:styleId="111">
    <w:name w:val="List Table 1 Light - Accent 3"/>
    <w:basedOn w:val="28"/>
    <w:qFormat/>
    <w:uiPriority w:val="99"/>
    <w:pPr>
      <w:spacing w:after="0" w:line="240" w:lineRule="auto"/>
    </w:pPr>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auto" w:fill="E8E8E8" w:themeFill="accent3" w:themeFillTint="40"/>
      </w:tcPr>
    </w:tblStylePr>
    <w:tblStylePr w:type="band1Horz">
      <w:tcPr>
        <w:shd w:val="clear" w:color="auto" w:fill="E8E8E8" w:themeFill="accent3" w:themeFillTint="40"/>
      </w:tcPr>
    </w:tblStylePr>
  </w:style>
  <w:style w:type="table" w:customStyle="1" w:styleId="112">
    <w:name w:val="List Table 1 Light - Accent 4"/>
    <w:basedOn w:val="28"/>
    <w:qFormat/>
    <w:uiPriority w:val="99"/>
    <w:pPr>
      <w:spacing w:after="0" w:line="240" w:lineRule="auto"/>
    </w:pPr>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auto" w:fill="FFEFBE" w:themeFill="accent4" w:themeFillTint="40"/>
      </w:tcPr>
    </w:tblStylePr>
    <w:tblStylePr w:type="band1Horz">
      <w:tcPr>
        <w:shd w:val="clear" w:color="auto" w:fill="FFEFBE" w:themeFill="accent4" w:themeFillTint="40"/>
      </w:tcPr>
    </w:tblStylePr>
  </w:style>
  <w:style w:type="table" w:customStyle="1" w:styleId="113">
    <w:name w:val="List Table 1 Light - Accent 5"/>
    <w:basedOn w:val="28"/>
    <w:qFormat/>
    <w:uiPriority w:val="99"/>
    <w:pPr>
      <w:spacing w:after="0" w:line="240" w:lineRule="auto"/>
    </w:pPr>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auto" w:fill="D0DBF0" w:themeFill="accent5" w:themeFillTint="40"/>
      </w:tcPr>
    </w:tblStylePr>
    <w:tblStylePr w:type="band1Horz">
      <w:tcPr>
        <w:shd w:val="clear" w:color="auto" w:fill="D0DBF0" w:themeFill="accent5" w:themeFillTint="40"/>
      </w:tcPr>
    </w:tblStylePr>
  </w:style>
  <w:style w:type="table" w:customStyle="1" w:styleId="114">
    <w:name w:val="List Table 1 Light - Accent 6"/>
    <w:basedOn w:val="28"/>
    <w:qFormat/>
    <w:uiPriority w:val="99"/>
    <w:pPr>
      <w:spacing w:after="0" w:line="240" w:lineRule="auto"/>
    </w:pPr>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auto" w:fill="DAEBCF" w:themeFill="accent6" w:themeFillTint="40"/>
      </w:tcPr>
    </w:tblStylePr>
    <w:tblStylePr w:type="band1Horz">
      <w:tcPr>
        <w:shd w:val="clear" w:color="auto" w:fill="DAEBCF" w:themeFill="accent6" w:themeFillTint="40"/>
      </w:tcPr>
    </w:tblStylePr>
  </w:style>
  <w:style w:type="table" w:customStyle="1" w:styleId="115">
    <w:name w:val="List Table 2"/>
    <w:basedOn w:val="28"/>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auto" w:fill="BEBEBE" w:themeFill="text1" w:themeFillTint="40"/>
      </w:tcPr>
    </w:tblStylePr>
    <w:tblStylePr w:type="band1Horz">
      <w:rPr>
        <w:rFonts w:ascii="Arial" w:hAnsi="Arial"/>
        <w:color w:val="404040"/>
        <w:sz w:val="22"/>
      </w:rPr>
      <w:tcPr>
        <w:shd w:val="clear" w:color="auto" w:fill="BEBEBE" w:themeFill="text1" w:themeFillTint="40"/>
      </w:tcPr>
    </w:tblStylePr>
  </w:style>
  <w:style w:type="table" w:customStyle="1" w:styleId="116">
    <w:name w:val="List Table 2 - Accent 1"/>
    <w:basedOn w:val="28"/>
    <w:qFormat/>
    <w:uiPriority w:val="99"/>
    <w:pPr>
      <w:spacing w:after="0" w:line="240" w:lineRule="auto"/>
    </w:pPr>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auto" w:fill="D5E5F4" w:themeFill="accent1" w:themeFillTint="40"/>
      </w:tcPr>
    </w:tblStylePr>
    <w:tblStylePr w:type="band1Horz">
      <w:rPr>
        <w:rFonts w:ascii="Arial" w:hAnsi="Arial"/>
        <w:color w:val="404040"/>
        <w:sz w:val="22"/>
      </w:rPr>
      <w:tcPr>
        <w:shd w:val="clear" w:color="auto" w:fill="D5E5F4" w:themeFill="accent1" w:themeFillTint="40"/>
      </w:tcPr>
    </w:tblStylePr>
  </w:style>
  <w:style w:type="table" w:customStyle="1" w:styleId="117">
    <w:name w:val="List Table 2 - Accent 2"/>
    <w:basedOn w:val="28"/>
    <w:qFormat/>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auto" w:fill="FADECB" w:themeFill="accent2" w:themeFillTint="40"/>
      </w:tcPr>
    </w:tblStylePr>
    <w:tblStylePr w:type="band1Horz">
      <w:rPr>
        <w:rFonts w:ascii="Arial" w:hAnsi="Arial"/>
        <w:color w:val="404040"/>
        <w:sz w:val="22"/>
      </w:rPr>
      <w:tcPr>
        <w:shd w:val="clear" w:color="auto" w:fill="FADECB" w:themeFill="accent2" w:themeFillTint="40"/>
      </w:tcPr>
    </w:tblStylePr>
  </w:style>
  <w:style w:type="table" w:customStyle="1" w:styleId="118">
    <w:name w:val="List Table 2 - Accent 3"/>
    <w:basedOn w:val="28"/>
    <w:qFormat/>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auto" w:fill="E8E8E8" w:themeFill="accent3" w:themeFillTint="40"/>
      </w:tcPr>
    </w:tblStylePr>
    <w:tblStylePr w:type="band1Horz">
      <w:rPr>
        <w:rFonts w:ascii="Arial" w:hAnsi="Arial"/>
        <w:color w:val="404040"/>
        <w:sz w:val="22"/>
      </w:rPr>
      <w:tcPr>
        <w:shd w:val="clear" w:color="auto" w:fill="E8E8E8" w:themeFill="accent3" w:themeFillTint="40"/>
      </w:tcPr>
    </w:tblStylePr>
  </w:style>
  <w:style w:type="table" w:customStyle="1" w:styleId="119">
    <w:name w:val="List Table 2 - Accent 4"/>
    <w:basedOn w:val="28"/>
    <w:qFormat/>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auto" w:fill="FFEFBE" w:themeFill="accent4" w:themeFillTint="40"/>
      </w:tcPr>
    </w:tblStylePr>
    <w:tblStylePr w:type="band1Horz">
      <w:rPr>
        <w:rFonts w:ascii="Arial" w:hAnsi="Arial"/>
        <w:color w:val="404040"/>
        <w:sz w:val="22"/>
      </w:rPr>
      <w:tcPr>
        <w:shd w:val="clear" w:color="auto" w:fill="FFEFBE" w:themeFill="accent4" w:themeFillTint="40"/>
      </w:tcPr>
    </w:tblStylePr>
  </w:style>
  <w:style w:type="table" w:customStyle="1" w:styleId="120">
    <w:name w:val="List Table 2 - Accent 5"/>
    <w:basedOn w:val="28"/>
    <w:qFormat/>
    <w:uiPriority w:val="99"/>
    <w:pPr>
      <w:spacing w:after="0" w:line="240" w:lineRule="auto"/>
    </w:pPr>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auto" w:fill="D0DBF0" w:themeFill="accent5" w:themeFillTint="40"/>
      </w:tcPr>
    </w:tblStylePr>
    <w:tblStylePr w:type="band1Horz">
      <w:rPr>
        <w:rFonts w:ascii="Arial" w:hAnsi="Arial"/>
        <w:color w:val="404040"/>
        <w:sz w:val="22"/>
      </w:rPr>
      <w:tcPr>
        <w:shd w:val="clear" w:color="auto" w:fill="D0DBF0" w:themeFill="accent5" w:themeFillTint="40"/>
      </w:tcPr>
    </w:tblStylePr>
  </w:style>
  <w:style w:type="table" w:customStyle="1" w:styleId="121">
    <w:name w:val="List Table 2 - Accent 6"/>
    <w:basedOn w:val="28"/>
    <w:qFormat/>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auto" w:fill="DAEBCF" w:themeFill="accent6" w:themeFillTint="40"/>
      </w:tcPr>
    </w:tblStylePr>
    <w:tblStylePr w:type="band1Horz">
      <w:rPr>
        <w:rFonts w:ascii="Arial" w:hAnsi="Arial"/>
        <w:color w:val="404040"/>
        <w:sz w:val="22"/>
      </w:rPr>
      <w:tcPr>
        <w:shd w:val="clear" w:color="auto" w:fill="DAEBCF" w:themeFill="accent6" w:themeFillTint="40"/>
      </w:tcPr>
    </w:tblStylePr>
  </w:style>
  <w:style w:type="table" w:customStyle="1" w:styleId="122">
    <w:name w:val="List Table 3"/>
    <w:basedOn w:val="28"/>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3">
    <w:name w:val="List Table 3 - Accent 1"/>
    <w:basedOn w:val="28"/>
    <w:qFormat/>
    <w:uiPriority w:val="99"/>
    <w:pPr>
      <w:spacing w:after="0"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1Horz">
      <w:rPr>
        <w:rFonts w:ascii="Arial" w:hAnsi="Arial"/>
        <w:color w:val="404040"/>
        <w:sz w:val="22"/>
      </w:rPr>
      <w:tcPr>
        <w:tcBorders>
          <w:top w:val="single" w:color="5B9BD5" w:themeColor="accent1" w:sz="4" w:space="0"/>
          <w:bottom w:val="single" w:color="5B9BD5" w:themeColor="accent1" w:sz="4" w:space="0"/>
        </w:tcBorders>
      </w:tcPr>
    </w:tblStylePr>
  </w:style>
  <w:style w:type="table" w:customStyle="1" w:styleId="124">
    <w:name w:val="List Table 3 - Accent 2"/>
    <w:basedOn w:val="28"/>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auto"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125">
    <w:name w:val="List Table 3 - Accent 3"/>
    <w:basedOn w:val="28"/>
    <w:qFormat/>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126">
    <w:name w:val="List Table 3 - Accent 4"/>
    <w:basedOn w:val="28"/>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auto"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127">
    <w:name w:val="List Table 3 - Accent 5"/>
    <w:basedOn w:val="28"/>
    <w:qFormat/>
    <w:uiPriority w:val="99"/>
    <w:pPr>
      <w:spacing w:after="0" w:line="240" w:lineRule="auto"/>
    </w:pPr>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auto"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style>
  <w:style w:type="table" w:customStyle="1" w:styleId="128">
    <w:name w:val="List Table 3 - Accent 6"/>
    <w:basedOn w:val="28"/>
    <w:qFormat/>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129">
    <w:name w:val="List Table 4"/>
    <w:basedOn w:val="28"/>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BEBEBE" w:themeFill="text1" w:themeFillTint="40"/>
      </w:tcPr>
    </w:tblStylePr>
    <w:tblStylePr w:type="band1Horz">
      <w:rPr>
        <w:rFonts w:ascii="Arial" w:hAnsi="Arial"/>
        <w:color w:val="404040"/>
        <w:sz w:val="22"/>
      </w:rPr>
      <w:tcPr>
        <w:shd w:val="clear" w:color="auto" w:fill="BEBEBE" w:themeFill="text1" w:themeFillTint="40"/>
      </w:tcPr>
    </w:tblStylePr>
  </w:style>
  <w:style w:type="table" w:customStyle="1" w:styleId="130">
    <w:name w:val="List Table 4 - Accent 1"/>
    <w:basedOn w:val="28"/>
    <w:qFormat/>
    <w:uiPriority w:val="9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D5E5F4" w:themeFill="accent1" w:themeFillTint="40"/>
      </w:tcPr>
    </w:tblStylePr>
    <w:tblStylePr w:type="band1Horz">
      <w:rPr>
        <w:rFonts w:ascii="Arial" w:hAnsi="Arial"/>
        <w:color w:val="404040"/>
        <w:sz w:val="22"/>
      </w:rPr>
      <w:tcPr>
        <w:shd w:val="clear" w:color="auto" w:fill="D5E5F4" w:themeFill="accent1" w:themeFillTint="40"/>
      </w:tcPr>
    </w:tblStylePr>
  </w:style>
  <w:style w:type="table" w:customStyle="1" w:styleId="131">
    <w:name w:val="List Table 4 - Accent 2"/>
    <w:basedOn w:val="28"/>
    <w:qFormat/>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FADECB" w:themeFill="accent2" w:themeFillTint="40"/>
      </w:tcPr>
    </w:tblStylePr>
    <w:tblStylePr w:type="band1Horz">
      <w:rPr>
        <w:rFonts w:ascii="Arial" w:hAnsi="Arial"/>
        <w:color w:val="404040"/>
        <w:sz w:val="22"/>
      </w:rPr>
      <w:tcPr>
        <w:shd w:val="clear" w:color="auto" w:fill="FADECB" w:themeFill="accent2" w:themeFillTint="40"/>
      </w:tcPr>
    </w:tblStylePr>
  </w:style>
  <w:style w:type="table" w:customStyle="1" w:styleId="132">
    <w:name w:val="List Table 4 - Accent 3"/>
    <w:basedOn w:val="28"/>
    <w:qFormat/>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E8E8E8" w:themeFill="accent3" w:themeFillTint="40"/>
      </w:tcPr>
    </w:tblStylePr>
    <w:tblStylePr w:type="band1Horz">
      <w:rPr>
        <w:rFonts w:ascii="Arial" w:hAnsi="Arial"/>
        <w:color w:val="404040"/>
        <w:sz w:val="22"/>
      </w:rPr>
      <w:tcPr>
        <w:shd w:val="clear" w:color="auto" w:fill="E8E8E8" w:themeFill="accent3" w:themeFillTint="40"/>
      </w:tcPr>
    </w:tblStylePr>
  </w:style>
  <w:style w:type="table" w:customStyle="1" w:styleId="133">
    <w:name w:val="List Table 4 - Accent 4"/>
    <w:basedOn w:val="28"/>
    <w:qFormat/>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FFEFBE" w:themeFill="accent4" w:themeFillTint="40"/>
      </w:tcPr>
    </w:tblStylePr>
    <w:tblStylePr w:type="band1Horz">
      <w:rPr>
        <w:rFonts w:ascii="Arial" w:hAnsi="Arial"/>
        <w:color w:val="404040"/>
        <w:sz w:val="22"/>
      </w:rPr>
      <w:tcPr>
        <w:shd w:val="clear" w:color="auto" w:fill="FFEFBE" w:themeFill="accent4" w:themeFillTint="40"/>
      </w:tcPr>
    </w:tblStylePr>
  </w:style>
  <w:style w:type="table" w:customStyle="1" w:styleId="134">
    <w:name w:val="List Table 4 - Accent 5"/>
    <w:basedOn w:val="28"/>
    <w:qFormat/>
    <w:uiPriority w:val="9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D0DBF0" w:themeFill="accent5" w:themeFillTint="40"/>
      </w:tcPr>
    </w:tblStylePr>
    <w:tblStylePr w:type="band1Horz">
      <w:rPr>
        <w:rFonts w:ascii="Arial" w:hAnsi="Arial"/>
        <w:color w:val="404040"/>
        <w:sz w:val="22"/>
      </w:rPr>
      <w:tcPr>
        <w:shd w:val="clear" w:color="auto" w:fill="D0DBF0" w:themeFill="accent5" w:themeFillTint="40"/>
      </w:tcPr>
    </w:tblStylePr>
  </w:style>
  <w:style w:type="table" w:customStyle="1" w:styleId="135">
    <w:name w:val="List Table 4 - Accent 6"/>
    <w:basedOn w:val="28"/>
    <w:qFormat/>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auto" w:fill="DAEBCF" w:themeFill="accent6" w:themeFillTint="40"/>
      </w:tcPr>
    </w:tblStylePr>
    <w:tblStylePr w:type="band1Horz">
      <w:rPr>
        <w:rFonts w:ascii="Arial" w:hAnsi="Arial"/>
        <w:color w:val="404040"/>
        <w:sz w:val="22"/>
      </w:rPr>
      <w:tcPr>
        <w:shd w:val="clear" w:color="auto" w:fill="DAEBCF" w:themeFill="accent6" w:themeFillTint="40"/>
      </w:tcPr>
    </w:tblStylePr>
  </w:style>
  <w:style w:type="table" w:customStyle="1" w:styleId="136">
    <w:name w:val="List Table 5 Dark"/>
    <w:basedOn w:val="28"/>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auto"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auto"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uto" w:fill="7E7E7E" w:themeFill="text1" w:themeFillTint="80"/>
      </w:tcPr>
    </w:tblStylePr>
    <w:tblStylePr w:type="band2Horz">
      <w:tcPr>
        <w:tcBorders>
          <w:top w:val="single" w:color="FFFFFF" w:themeColor="light1" w:sz="4" w:space="0"/>
          <w:bottom w:val="single" w:color="FFFFFF" w:themeColor="light1" w:sz="4" w:space="0"/>
        </w:tcBorders>
        <w:shd w:val="clear" w:color="auto" w:fill="7E7E7E" w:themeFill="text1" w:themeFillTint="80"/>
      </w:tcPr>
    </w:tblStylePr>
  </w:style>
  <w:style w:type="table" w:customStyle="1" w:styleId="137">
    <w:name w:val="List Table 5 Dark - Accent 1"/>
    <w:basedOn w:val="28"/>
    <w:qFormat/>
    <w:uiPriority w:val="99"/>
    <w:pPr>
      <w:spacing w:after="0" w:line="240" w:lineRule="auto"/>
    </w:pPr>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5B9BD5" w:themeColor="accent1" w:sz="32" w:space="0"/>
          <w:bottom w:val="single" w:color="FFFFFF" w:themeColor="light1" w:sz="12" w:space="0"/>
        </w:tcBorders>
        <w:shd w:val="clear" w:color="auto" w:fill="5B9BD5"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auto"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uto" w:fill="5B9BD5" w:themeFill="accent1"/>
      </w:tcPr>
    </w:tblStylePr>
    <w:tblStylePr w:type="band2Horz">
      <w:tcPr>
        <w:tcBorders>
          <w:top w:val="single" w:color="FFFFFF" w:themeColor="light1" w:sz="4" w:space="0"/>
          <w:bottom w:val="single" w:color="FFFFFF" w:themeColor="light1" w:sz="4" w:space="0"/>
        </w:tcBorders>
        <w:shd w:val="clear" w:color="auto" w:fill="5B9BD5" w:themeFill="accent1"/>
      </w:tcPr>
    </w:tblStylePr>
  </w:style>
  <w:style w:type="table" w:customStyle="1" w:styleId="138">
    <w:name w:val="List Table 5 Dark - Accent 2"/>
    <w:basedOn w:val="28"/>
    <w:qFormat/>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F4B285" w:themeColor="accent2" w:themeTint="97" w:sz="32" w:space="0"/>
          <w:bottom w:val="single" w:color="FFFFFF" w:themeColor="light1" w:sz="12" w:space="0"/>
        </w:tcBorders>
        <w:shd w:val="clear" w:color="auto" w:fill="F4B28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auto"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uto" w:fill="F4B285" w:themeFill="accent2" w:themeFillTint="97"/>
      </w:tcPr>
    </w:tblStylePr>
    <w:tblStylePr w:type="band2Horz">
      <w:tcPr>
        <w:tcBorders>
          <w:top w:val="single" w:color="FFFFFF" w:themeColor="light1" w:sz="4" w:space="0"/>
          <w:bottom w:val="single" w:color="FFFFFF" w:themeColor="light1" w:sz="4" w:space="0"/>
        </w:tcBorders>
        <w:shd w:val="clear" w:color="auto" w:fill="F4B285" w:themeFill="accent2" w:themeFillTint="97"/>
      </w:tcPr>
    </w:tblStylePr>
  </w:style>
  <w:style w:type="table" w:customStyle="1" w:styleId="139">
    <w:name w:val="List Table 5 Dark - Accent 3"/>
    <w:basedOn w:val="28"/>
    <w:qFormat/>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9C9C9" w:themeColor="accent3" w:themeTint="98" w:sz="32" w:space="0"/>
          <w:bottom w:val="single" w:color="FFFFFF" w:themeColor="light1" w:sz="12" w:space="0"/>
        </w:tcBorders>
        <w:shd w:val="clear" w:color="auto" w:fill="C9C9C9"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auto"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uto" w:fill="C9C9C9" w:themeFill="accent3" w:themeFillTint="98"/>
      </w:tcPr>
    </w:tblStylePr>
    <w:tblStylePr w:type="band2Horz">
      <w:tcPr>
        <w:tcBorders>
          <w:top w:val="single" w:color="FFFFFF" w:themeColor="light1" w:sz="4" w:space="0"/>
          <w:bottom w:val="single" w:color="FFFFFF" w:themeColor="light1" w:sz="4" w:space="0"/>
        </w:tcBorders>
        <w:shd w:val="clear" w:color="auto" w:fill="C9C9C9" w:themeFill="accent3" w:themeFillTint="98"/>
      </w:tcPr>
    </w:tblStylePr>
  </w:style>
  <w:style w:type="table" w:customStyle="1" w:styleId="140">
    <w:name w:val="List Table 5 Dark - Accent 4"/>
    <w:basedOn w:val="28"/>
    <w:qFormat/>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FFD864" w:themeColor="accent4" w:themeTint="9A" w:sz="32" w:space="0"/>
          <w:bottom w:val="single" w:color="FFFFFF" w:themeColor="light1" w:sz="12" w:space="0"/>
        </w:tcBorders>
        <w:shd w:val="clear" w:color="auto" w:fill="FFD864"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auto"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uto" w:fill="FFD864" w:themeFill="accent4" w:themeFillTint="9A"/>
      </w:tcPr>
    </w:tblStylePr>
    <w:tblStylePr w:type="band2Horz">
      <w:tcPr>
        <w:tcBorders>
          <w:top w:val="single" w:color="FFFFFF" w:themeColor="light1" w:sz="4" w:space="0"/>
          <w:bottom w:val="single" w:color="FFFFFF" w:themeColor="light1" w:sz="4" w:space="0"/>
        </w:tcBorders>
        <w:shd w:val="clear" w:color="auto" w:fill="FFD864" w:themeFill="accent4" w:themeFillTint="9A"/>
      </w:tcPr>
    </w:tblStylePr>
  </w:style>
  <w:style w:type="table" w:customStyle="1" w:styleId="141">
    <w:name w:val="List Table 5 Dark - Accent 5"/>
    <w:basedOn w:val="28"/>
    <w:qFormat/>
    <w:uiPriority w:val="99"/>
    <w:pPr>
      <w:spacing w:after="0" w:line="240" w:lineRule="auto"/>
    </w:pPr>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8EA9DB" w:themeColor="accent5" w:themeTint="9A" w:sz="32" w:space="0"/>
          <w:bottom w:val="single" w:color="FFFFFF" w:themeColor="light1" w:sz="12" w:space="0"/>
        </w:tcBorders>
        <w:shd w:val="clear" w:color="auto" w:fill="8EA9DB"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auto"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uto" w:fill="8EA9DB" w:themeFill="accent5" w:themeFillTint="9A"/>
      </w:tcPr>
    </w:tblStylePr>
    <w:tblStylePr w:type="band2Horz">
      <w:tcPr>
        <w:tcBorders>
          <w:top w:val="single" w:color="FFFFFF" w:themeColor="light1" w:sz="4" w:space="0"/>
          <w:bottom w:val="single" w:color="FFFFFF" w:themeColor="light1" w:sz="4" w:space="0"/>
        </w:tcBorders>
        <w:shd w:val="clear" w:color="auto" w:fill="8EA9DB" w:themeFill="accent5" w:themeFillTint="9A"/>
      </w:tcPr>
    </w:tblStylePr>
  </w:style>
  <w:style w:type="table" w:customStyle="1" w:styleId="142">
    <w:name w:val="List Table 5 Dark - Accent 6"/>
    <w:basedOn w:val="28"/>
    <w:qFormat/>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A9D08E" w:themeColor="accent6" w:themeTint="98" w:sz="32" w:space="0"/>
          <w:bottom w:val="single" w:color="FFFFFF" w:themeColor="light1" w:sz="12" w:space="0"/>
        </w:tcBorders>
        <w:shd w:val="clear" w:color="auto" w:fill="A9D08E"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uto"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uto" w:fill="A9D08E" w:themeFill="accent6" w:themeFillTint="98"/>
      </w:tcPr>
    </w:tblStylePr>
    <w:tblStylePr w:type="band2Horz">
      <w:tcPr>
        <w:tcBorders>
          <w:top w:val="single" w:color="FFFFFF" w:themeColor="light1" w:sz="4" w:space="0"/>
          <w:bottom w:val="single" w:color="FFFFFF" w:themeColor="light1" w:sz="4" w:space="0"/>
        </w:tcBorders>
        <w:shd w:val="clear" w:color="auto" w:fill="A9D08E" w:themeFill="accent6" w:themeFillTint="98"/>
      </w:tcPr>
    </w:tblStylePr>
  </w:style>
  <w:style w:type="table" w:customStyle="1" w:styleId="143">
    <w:name w:val="List Table 6 Colorful"/>
    <w:basedOn w:val="28"/>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auto" w:fill="BEBEBE" w:themeFill="text1" w:themeFillTint="40"/>
      </w:tcPr>
    </w:tblStylePr>
    <w:tblStylePr w:type="band1Horz">
      <w:rPr>
        <w:rFonts w:ascii="Arial" w:hAnsi="Arial"/>
        <w:color w:val="000000" w:themeColor="text1"/>
        <w:sz w:val="22"/>
        <w14:textFill>
          <w14:solidFill>
            <w14:schemeClr w14:val="tx1"/>
          </w14:solidFill>
        </w14:textFill>
      </w:rPr>
      <w:tcPr>
        <w:shd w:val="clear" w:color="auto"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44">
    <w:name w:val="List Table 6 Colorful - Accent 1"/>
    <w:basedOn w:val="28"/>
    <w:qFormat/>
    <w:uiPriority w:val="99"/>
    <w:pPr>
      <w:spacing w:after="0" w:line="240" w:lineRule="auto"/>
    </w:pPr>
    <w:tblPr>
      <w:tblBorders>
        <w:top w:val="single" w:color="5B9BD5" w:themeColor="accent1" w:sz="4" w:space="0"/>
        <w:bottom w:val="single" w:color="5B9BD5" w:themeColor="accent1" w:sz="4" w:space="0"/>
      </w:tblBorders>
    </w:tblPr>
    <w:tblStylePr w:type="firstRow">
      <w:rPr>
        <w:b/>
        <w:color w:val="245B8C" w:themeColor="accent1" w:themeShade="94"/>
      </w:rPr>
      <w:tcPr>
        <w:tcBorders>
          <w:bottom w:val="single" w:color="5B9BD5" w:themeColor="accent1" w:sz="4" w:space="0"/>
        </w:tcBorders>
      </w:tcPr>
    </w:tblStylePr>
    <w:tblStylePr w:type="lastRow">
      <w:rPr>
        <w:b/>
        <w:color w:val="245B8C" w:themeColor="accent1" w:themeShade="94"/>
      </w:rPr>
      <w:tcPr>
        <w:tcBorders>
          <w:top w:val="single" w:color="5B9BD5" w:themeColor="accent1" w:sz="4" w:space="0"/>
        </w:tcBorders>
      </w:tcPr>
    </w:tblStylePr>
    <w:tblStylePr w:type="firstCol">
      <w:rPr>
        <w:b/>
        <w:color w:val="245B8C" w:themeColor="accent1" w:themeShade="94"/>
      </w:rPr>
    </w:tblStylePr>
    <w:tblStylePr w:type="lastCol">
      <w:rPr>
        <w:b/>
        <w:color w:val="245B8C" w:themeColor="accent1" w:themeShade="94"/>
      </w:rPr>
    </w:tblStylePr>
    <w:tblStylePr w:type="band1Vert">
      <w:tcPr>
        <w:shd w:val="clear" w:color="auto" w:fill="D5E5F4" w:themeFill="accent1" w:themeFillTint="40"/>
      </w:tcPr>
    </w:tblStylePr>
    <w:tblStylePr w:type="band1Horz">
      <w:rPr>
        <w:rFonts w:ascii="Arial" w:hAnsi="Arial"/>
        <w:color w:val="245B8C" w:themeColor="accent1" w:themeShade="94"/>
        <w:sz w:val="22"/>
      </w:rPr>
      <w:tcPr>
        <w:shd w:val="clear" w:color="auto" w:fill="D5E5F4" w:themeFill="accent1" w:themeFillTint="40"/>
      </w:tcPr>
    </w:tblStylePr>
    <w:tblStylePr w:type="band2Horz">
      <w:rPr>
        <w:rFonts w:ascii="Arial" w:hAnsi="Arial"/>
        <w:color w:val="245B8C" w:themeColor="accent1" w:themeShade="94"/>
        <w:sz w:val="22"/>
      </w:rPr>
    </w:tblStylePr>
  </w:style>
  <w:style w:type="table" w:customStyle="1" w:styleId="145">
    <w:name w:val="List Table 6 Colorful - Accent 2"/>
    <w:basedOn w:val="28"/>
    <w:qFormat/>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auto"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auto"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46">
    <w:name w:val="List Table 6 Colorful - Accent 3"/>
    <w:basedOn w:val="28"/>
    <w:qFormat/>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StylePr>
    <w:tblStylePr w:type="lastCol">
      <w:rPr>
        <w:b/>
        <w:color w:val="C9C9C9" w:themeColor="accent3" w:themeTint="99"/>
        <w14:textFill>
          <w14:solidFill>
            <w14:schemeClr w14:val="accent3">
              <w14:lumMod w14:val="60000"/>
              <w14:lumOff w14:val="40000"/>
            </w14:schemeClr>
          </w14:solidFill>
        </w14:textFill>
      </w:rPr>
    </w:tblStylePr>
    <w:tblStylePr w:type="band1Vert">
      <w:tcPr>
        <w:shd w:val="clear" w:color="auto"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auto"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47">
    <w:name w:val="List Table 6 Colorful - Accent 4"/>
    <w:basedOn w:val="28"/>
    <w:qFormat/>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auto"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auto"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48">
    <w:name w:val="List Table 6 Colorful - Accent 5"/>
    <w:basedOn w:val="28"/>
    <w:qFormat/>
    <w:uiPriority w:val="99"/>
    <w:pPr>
      <w:spacing w:after="0" w:line="240" w:lineRule="auto"/>
    </w:pPr>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StylePr>
    <w:tblStylePr w:type="lastCol">
      <w:rPr>
        <w:b/>
        <w:color w:val="8FAADC" w:themeColor="accent5" w:themeTint="99"/>
        <w14:textFill>
          <w14:solidFill>
            <w14:schemeClr w14:val="accent5">
              <w14:lumMod w14:val="60000"/>
              <w14:lumOff w14:val="40000"/>
            </w14:schemeClr>
          </w14:solidFill>
        </w14:textFill>
      </w:rPr>
    </w:tblStylePr>
    <w:tblStylePr w:type="band1Vert">
      <w:tcPr>
        <w:shd w:val="clear" w:color="auto"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auto"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49">
    <w:name w:val="List Table 6 Colorful - Accent 6"/>
    <w:basedOn w:val="28"/>
    <w:qFormat/>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StylePr>
    <w:tblStylePr w:type="lastCol">
      <w:rPr>
        <w:b/>
        <w:color w:val="A9D18E" w:themeColor="accent6" w:themeTint="99"/>
        <w14:textFill>
          <w14:solidFill>
            <w14:schemeClr w14:val="accent6">
              <w14:lumMod w14:val="60000"/>
              <w14:lumOff w14:val="40000"/>
            </w14:schemeClr>
          </w14:solidFill>
        </w14:textFill>
      </w:rPr>
    </w:tblStylePr>
    <w:tblStylePr w:type="band1Vert">
      <w:tcPr>
        <w:shd w:val="clear" w:color="auto"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auto"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50">
    <w:name w:val="List Table 7 Colorful"/>
    <w:basedOn w:val="28"/>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auto"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auto"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auto"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auto"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51">
    <w:name w:val="List Table 7 Colorful - Accent 1"/>
    <w:basedOn w:val="28"/>
    <w:qFormat/>
    <w:uiPriority w:val="99"/>
    <w:pPr>
      <w:spacing w:after="0" w:line="240" w:lineRule="auto"/>
    </w:pPr>
    <w:tblPr>
      <w:tblBorders>
        <w:right w:val="single" w:color="5B9BD5" w:themeColor="accent1" w:sz="4" w:space="0"/>
      </w:tblBorders>
    </w:tblPr>
    <w:tblStylePr w:type="firstRow">
      <w:rPr>
        <w:rFonts w:ascii="Arial" w:hAnsi="Arial"/>
        <w:i/>
        <w:color w:val="245B8C" w:themeColor="accent1" w:themeShade="94"/>
        <w:sz w:val="22"/>
      </w:rPr>
      <w:tcPr>
        <w:tcBorders>
          <w:top w:val="nil"/>
          <w:left w:val="nil"/>
          <w:bottom w:val="single" w:color="5B9BD5" w:themeColor="accent1" w:sz="4" w:space="0"/>
          <w:right w:val="nil"/>
        </w:tcBorders>
        <w:shd w:val="clear" w:color="auto" w:fill="FFFFFF" w:themeFill="light1"/>
      </w:tcPr>
    </w:tblStylePr>
    <w:tblStylePr w:type="lastRow">
      <w:rPr>
        <w:rFonts w:ascii="Arial" w:hAnsi="Arial"/>
        <w:i/>
        <w:color w:val="245B8C" w:themeColor="accent1" w:themeShade="94"/>
        <w:sz w:val="22"/>
      </w:rPr>
      <w:tcPr>
        <w:tcBorders>
          <w:top w:val="single" w:color="5B9BD5" w:themeColor="accent1" w:sz="4" w:space="0"/>
          <w:left w:val="nil"/>
          <w:bottom w:val="nil"/>
          <w:right w:val="nil"/>
        </w:tcBorders>
        <w:shd w:val="clear" w:color="auto" w:fill="FFFFFF" w:themeFill="light1"/>
      </w:tcPr>
    </w:tblStylePr>
    <w:tblStylePr w:type="firstCol">
      <w:pPr>
        <w:jc w:val="right"/>
      </w:pPr>
      <w:rPr>
        <w:rFonts w:ascii="Arial" w:hAnsi="Arial"/>
        <w:i/>
        <w:color w:val="245B8C" w:themeColor="accent1" w:themeShade="94"/>
        <w:sz w:val="22"/>
      </w:rPr>
      <w:tcPr>
        <w:tcBorders>
          <w:top w:val="nil"/>
          <w:left w:val="nil"/>
          <w:bottom w:val="nil"/>
          <w:right w:val="single" w:color="5B9BD5" w:themeColor="accent1" w:sz="4" w:space="0"/>
        </w:tcBorders>
        <w:shd w:val="clear" w:color="FFFFFF" w:fill="auto"/>
      </w:tcPr>
    </w:tblStylePr>
    <w:tblStylePr w:type="lastCol">
      <w:rPr>
        <w:rFonts w:ascii="Arial" w:hAnsi="Arial"/>
        <w:i/>
        <w:color w:val="245B8C" w:themeColor="accent1" w:themeShade="94"/>
        <w:sz w:val="22"/>
      </w:rPr>
      <w:tcPr>
        <w:tcBorders>
          <w:top w:val="nil"/>
          <w:left w:val="single" w:color="5B9BD5" w:themeColor="accent1" w:sz="4" w:space="0"/>
          <w:bottom w:val="nil"/>
          <w:right w:val="nil"/>
        </w:tcBorders>
        <w:shd w:val="clear" w:color="FFFFFF" w:fill="auto"/>
      </w:tcPr>
    </w:tblStylePr>
    <w:tblStylePr w:type="band1Vert">
      <w:tcPr>
        <w:shd w:val="clear" w:color="auto" w:fill="D5E5F4" w:themeFill="accent1" w:themeFillTint="40"/>
      </w:tcPr>
    </w:tblStylePr>
    <w:tblStylePr w:type="band1Horz">
      <w:rPr>
        <w:rFonts w:ascii="Arial" w:hAnsi="Arial"/>
        <w:color w:val="245B8C" w:themeColor="accent1" w:themeShade="94"/>
        <w:sz w:val="22"/>
      </w:rPr>
      <w:tcPr>
        <w:shd w:val="clear" w:color="auto" w:fill="D5E5F4" w:themeFill="accent1" w:themeFillTint="40"/>
      </w:tcPr>
    </w:tblStylePr>
    <w:tblStylePr w:type="band2Horz">
      <w:rPr>
        <w:rFonts w:ascii="Arial" w:hAnsi="Arial"/>
        <w:color w:val="245B8C" w:themeColor="accent1" w:themeShade="94"/>
        <w:sz w:val="22"/>
      </w:rPr>
    </w:tblStylePr>
  </w:style>
  <w:style w:type="table" w:customStyle="1" w:styleId="152">
    <w:name w:val="List Table 7 Colorful - Accent 2"/>
    <w:basedOn w:val="28"/>
    <w:qFormat/>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auto"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auto"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auto"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auto"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53">
    <w:name w:val="List Table 7 Colorful - Accent 3"/>
    <w:basedOn w:val="28"/>
    <w:qFormat/>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single" w:color="C9C9C9" w:themeColor="accent3" w:themeTint="98" w:sz="4" w:space="0"/>
          <w:right w:val="nil"/>
        </w:tcBorders>
        <w:shd w:val="clear" w:color="auto"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cPr>
        <w:tcBorders>
          <w:top w:val="single" w:color="C9C9C9" w:themeColor="accent3" w:themeTint="98" w:sz="4" w:space="0"/>
          <w:left w:val="nil"/>
          <w:bottom w:val="nil"/>
          <w:right w:val="nil"/>
        </w:tcBorders>
        <w:shd w:val="clear" w:color="auto"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single" w:color="C9C9C9" w:themeColor="accent3" w:themeTint="98" w:sz="4" w:space="0"/>
          <w:bottom w:val="nil"/>
          <w:right w:val="nil"/>
        </w:tcBorders>
        <w:shd w:val="clear" w:color="FFFFFF" w:fill="auto"/>
      </w:tcPr>
    </w:tblStylePr>
    <w:tblStylePr w:type="band1Vert">
      <w:tcPr>
        <w:shd w:val="clear" w:color="auto"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auto"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54">
    <w:name w:val="List Table 7 Colorful - Accent 4"/>
    <w:basedOn w:val="28"/>
    <w:qFormat/>
    <w:uiPriority w:val="99"/>
    <w:pPr>
      <w:spacing w:after="0" w:line="240" w:lineRule="auto"/>
    </w:pPr>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auto"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auto"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auto"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auto"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55">
    <w:name w:val="List Table 7 Colorful - Accent 5"/>
    <w:basedOn w:val="28"/>
    <w:qFormat/>
    <w:uiPriority w:val="99"/>
    <w:pPr>
      <w:spacing w:after="0" w:line="240" w:lineRule="auto"/>
    </w:pPr>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single" w:color="8EA9DB" w:themeColor="accent5" w:themeTint="9A" w:sz="4" w:space="0"/>
          <w:right w:val="nil"/>
        </w:tcBorders>
        <w:shd w:val="clear" w:color="auto"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cPr>
        <w:tcBorders>
          <w:top w:val="single" w:color="8EA9DB" w:themeColor="accent5" w:themeTint="9A" w:sz="4" w:space="0"/>
          <w:left w:val="nil"/>
          <w:bottom w:val="nil"/>
          <w:right w:val="nil"/>
        </w:tcBorders>
        <w:shd w:val="clear" w:color="auto"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single" w:color="8EA9DB" w:themeColor="accent5" w:themeTint="9A" w:sz="4" w:space="0"/>
          <w:bottom w:val="nil"/>
          <w:right w:val="nil"/>
        </w:tcBorders>
        <w:shd w:val="clear" w:color="FFFFFF" w:fill="auto"/>
      </w:tcPr>
    </w:tblStylePr>
    <w:tblStylePr w:type="band1Vert">
      <w:tcPr>
        <w:shd w:val="clear" w:color="auto"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auto"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56">
    <w:name w:val="List Table 7 Colorful - Accent 6"/>
    <w:basedOn w:val="28"/>
    <w:qFormat/>
    <w:uiPriority w:val="99"/>
    <w:pPr>
      <w:spacing w:after="0" w:line="240" w:lineRule="auto"/>
    </w:pPr>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single" w:color="A9D08E" w:themeColor="accent6" w:themeTint="98" w:sz="4" w:space="0"/>
          <w:right w:val="nil"/>
        </w:tcBorders>
        <w:shd w:val="clear" w:color="auto"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cPr>
        <w:tcBorders>
          <w:top w:val="single" w:color="A9D08E" w:themeColor="accent6" w:themeTint="98" w:sz="4" w:space="0"/>
          <w:left w:val="nil"/>
          <w:bottom w:val="nil"/>
          <w:right w:val="nil"/>
        </w:tcBorders>
        <w:shd w:val="clear" w:color="auto"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single" w:color="A9D08E" w:themeColor="accent6" w:themeTint="98" w:sz="4" w:space="0"/>
          <w:bottom w:val="nil"/>
          <w:right w:val="nil"/>
        </w:tcBorders>
        <w:shd w:val="clear" w:color="FFFFFF" w:fill="auto"/>
      </w:tcPr>
    </w:tblStylePr>
    <w:tblStylePr w:type="band1Vert">
      <w:tcPr>
        <w:shd w:val="clear" w:color="auto"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auto"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57">
    <w:name w:val="Lined - Accent"/>
    <w:basedOn w:val="28"/>
    <w:qFormat/>
    <w:uiPriority w:val="99"/>
    <w:pPr>
      <w:spacing w:after="0" w:line="240" w:lineRule="auto"/>
    </w:pPr>
    <w:rPr>
      <w:color w:val="404040"/>
    </w:rPr>
    <w:tblStylePr w:type="firstRow">
      <w:rPr>
        <w:rFonts w:ascii="Arial" w:hAnsi="Arial"/>
        <w:color w:val="F2F2F2"/>
        <w:sz w:val="22"/>
      </w:rPr>
      <w:tcPr>
        <w:shd w:val="clear" w:color="auto" w:fill="7E7E7E" w:themeFill="text1" w:themeFillTint="80"/>
      </w:tcPr>
    </w:tblStylePr>
    <w:tblStylePr w:type="lastRow">
      <w:rPr>
        <w:rFonts w:ascii="Arial" w:hAnsi="Arial"/>
        <w:color w:val="F2F2F2"/>
        <w:sz w:val="22"/>
      </w:rPr>
      <w:tcPr>
        <w:shd w:val="clear" w:color="auto" w:fill="7E7E7E" w:themeFill="text1" w:themeFillTint="80"/>
      </w:tcPr>
    </w:tblStylePr>
    <w:tblStylePr w:type="firstCol">
      <w:rPr>
        <w:rFonts w:ascii="Arial" w:hAnsi="Arial"/>
        <w:color w:val="F2F2F2"/>
        <w:sz w:val="22"/>
      </w:rPr>
      <w:tcPr>
        <w:shd w:val="clear" w:color="auto" w:fill="7E7E7E" w:themeFill="text1" w:themeFillTint="80"/>
      </w:tcPr>
    </w:tblStylePr>
    <w:tblStylePr w:type="lastCol">
      <w:rPr>
        <w:rFonts w:ascii="Arial" w:hAnsi="Arial"/>
        <w:color w:val="F2F2F2"/>
        <w:sz w:val="22"/>
      </w:rPr>
      <w:tcPr>
        <w:shd w:val="clear" w:color="auto"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auto"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auto" w:fill="F1F1F1" w:themeFill="text1" w:themeFillTint="0D"/>
      </w:tcPr>
    </w:tblStylePr>
  </w:style>
  <w:style w:type="table" w:customStyle="1" w:styleId="158">
    <w:name w:val="Lined - Accent 1"/>
    <w:basedOn w:val="28"/>
    <w:qFormat/>
    <w:uiPriority w:val="99"/>
    <w:pPr>
      <w:spacing w:after="0" w:line="240" w:lineRule="auto"/>
    </w:pPr>
    <w:rPr>
      <w:color w:val="404040"/>
    </w:rPr>
    <w:tblStylePr w:type="firstRow">
      <w:rPr>
        <w:rFonts w:ascii="Arial" w:hAnsi="Arial"/>
        <w:color w:val="F2F2F2"/>
        <w:sz w:val="22"/>
      </w:rPr>
      <w:tcPr>
        <w:shd w:val="clear" w:color="auto" w:fill="68A3D8" w:themeFill="accent1" w:themeFillTint="EA"/>
      </w:tcPr>
    </w:tblStylePr>
    <w:tblStylePr w:type="lastRow">
      <w:rPr>
        <w:rFonts w:ascii="Arial" w:hAnsi="Arial"/>
        <w:color w:val="F2F2F2"/>
        <w:sz w:val="22"/>
      </w:rPr>
      <w:tcPr>
        <w:shd w:val="clear" w:color="auto" w:fill="68A3D8" w:themeFill="accent1" w:themeFillTint="EA"/>
      </w:tcPr>
    </w:tblStylePr>
    <w:tblStylePr w:type="firstCol">
      <w:rPr>
        <w:rFonts w:ascii="Arial" w:hAnsi="Arial"/>
        <w:color w:val="F2F2F2"/>
        <w:sz w:val="22"/>
      </w:rPr>
      <w:tcPr>
        <w:shd w:val="clear" w:color="auto" w:fill="68A3D8" w:themeFill="accent1" w:themeFillTint="EA"/>
      </w:tcPr>
    </w:tblStylePr>
    <w:tblStylePr w:type="lastCol">
      <w:rPr>
        <w:rFonts w:ascii="Arial" w:hAnsi="Arial"/>
        <w:color w:val="F2F2F2"/>
        <w:sz w:val="22"/>
      </w:rPr>
      <w:tcPr>
        <w:shd w:val="clear" w:color="auto"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auto" w:fill="CBDFF1" w:themeFill="accent1" w:themeFillTint="50"/>
      </w:tcPr>
    </w:tblStylePr>
  </w:style>
  <w:style w:type="table" w:customStyle="1" w:styleId="159">
    <w:name w:val="Lined - Accent 2"/>
    <w:basedOn w:val="28"/>
    <w:qFormat/>
    <w:uiPriority w:val="99"/>
    <w:pPr>
      <w:spacing w:after="0" w:line="240" w:lineRule="auto"/>
    </w:pPr>
    <w:rPr>
      <w:color w:val="404040"/>
    </w:rPr>
    <w:tblStylePr w:type="firstRow">
      <w:rPr>
        <w:rFonts w:ascii="Arial" w:hAnsi="Arial"/>
        <w:color w:val="F2F2F2"/>
        <w:sz w:val="22"/>
      </w:rPr>
      <w:tcPr>
        <w:shd w:val="clear" w:color="auto" w:fill="F4B285" w:themeFill="accent2" w:themeFillTint="97"/>
      </w:tcPr>
    </w:tblStylePr>
    <w:tblStylePr w:type="lastRow">
      <w:rPr>
        <w:rFonts w:ascii="Arial" w:hAnsi="Arial"/>
        <w:color w:val="F2F2F2"/>
        <w:sz w:val="22"/>
      </w:rPr>
      <w:tcPr>
        <w:shd w:val="clear" w:color="auto" w:fill="F4B285" w:themeFill="accent2" w:themeFillTint="97"/>
      </w:tcPr>
    </w:tblStylePr>
    <w:tblStylePr w:type="firstCol">
      <w:rPr>
        <w:rFonts w:ascii="Arial" w:hAnsi="Arial"/>
        <w:color w:val="F2F2F2"/>
        <w:sz w:val="22"/>
      </w:rPr>
      <w:tcPr>
        <w:shd w:val="clear" w:color="auto" w:fill="F4B285" w:themeFill="accent2" w:themeFillTint="97"/>
      </w:tcPr>
    </w:tblStylePr>
    <w:tblStylePr w:type="lastCol">
      <w:rPr>
        <w:rFonts w:ascii="Arial" w:hAnsi="Arial"/>
        <w:color w:val="F2F2F2"/>
        <w:sz w:val="22"/>
      </w:rPr>
      <w:tcPr>
        <w:shd w:val="clear" w:color="auto"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auto" w:fill="FBE5D6" w:themeFill="accent2" w:themeFillTint="32"/>
      </w:tcPr>
    </w:tblStylePr>
  </w:style>
  <w:style w:type="table" w:customStyle="1" w:styleId="160">
    <w:name w:val="Lined - Accent 3"/>
    <w:basedOn w:val="28"/>
    <w:qFormat/>
    <w:uiPriority w:val="99"/>
    <w:pPr>
      <w:spacing w:after="0" w:line="240" w:lineRule="auto"/>
    </w:pPr>
    <w:rPr>
      <w:color w:val="404040"/>
    </w:rPr>
    <w:tblStylePr w:type="firstRow">
      <w:rPr>
        <w:rFonts w:ascii="Arial" w:hAnsi="Arial"/>
        <w:color w:val="F2F2F2"/>
        <w:sz w:val="22"/>
      </w:rPr>
      <w:tcPr>
        <w:shd w:val="clear" w:color="auto" w:fill="A5A5A5" w:themeFill="accent3" w:themeFillTint="FE"/>
      </w:tcPr>
    </w:tblStylePr>
    <w:tblStylePr w:type="lastRow">
      <w:rPr>
        <w:rFonts w:ascii="Arial" w:hAnsi="Arial"/>
        <w:color w:val="F2F2F2"/>
        <w:sz w:val="22"/>
      </w:rPr>
      <w:tcPr>
        <w:shd w:val="clear" w:color="auto" w:fill="A5A5A5" w:themeFill="accent3" w:themeFillTint="FE"/>
      </w:tcPr>
    </w:tblStylePr>
    <w:tblStylePr w:type="firstCol">
      <w:rPr>
        <w:rFonts w:ascii="Arial" w:hAnsi="Arial"/>
        <w:color w:val="F2F2F2"/>
        <w:sz w:val="22"/>
      </w:rPr>
      <w:tcPr>
        <w:shd w:val="clear" w:color="auto" w:fill="A5A5A5" w:themeFill="accent3" w:themeFillTint="FE"/>
      </w:tcPr>
    </w:tblStylePr>
    <w:tblStylePr w:type="lastCol">
      <w:rPr>
        <w:rFonts w:ascii="Arial" w:hAnsi="Arial"/>
        <w:color w:val="F2F2F2"/>
        <w:sz w:val="22"/>
      </w:r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auto" w:fill="ECECEC" w:themeFill="accent3" w:themeFillTint="34"/>
      </w:tcPr>
    </w:tblStylePr>
  </w:style>
  <w:style w:type="table" w:customStyle="1" w:styleId="161">
    <w:name w:val="Lined - Accent 4"/>
    <w:basedOn w:val="28"/>
    <w:qFormat/>
    <w:uiPriority w:val="99"/>
    <w:pPr>
      <w:spacing w:after="0" w:line="240" w:lineRule="auto"/>
    </w:pPr>
    <w:rPr>
      <w:color w:val="404040"/>
    </w:rPr>
    <w:tblStylePr w:type="firstRow">
      <w:rPr>
        <w:rFonts w:ascii="Arial" w:hAnsi="Arial"/>
        <w:color w:val="F2F2F2"/>
        <w:sz w:val="22"/>
      </w:rPr>
      <w:tcPr>
        <w:shd w:val="clear" w:color="auto" w:fill="FFD864" w:themeFill="accent4" w:themeFillTint="9A"/>
      </w:tcPr>
    </w:tblStylePr>
    <w:tblStylePr w:type="lastRow">
      <w:rPr>
        <w:rFonts w:ascii="Arial" w:hAnsi="Arial"/>
        <w:color w:val="F2F2F2"/>
        <w:sz w:val="22"/>
      </w:rPr>
      <w:tcPr>
        <w:shd w:val="clear" w:color="auto" w:fill="FFD864" w:themeFill="accent4" w:themeFillTint="9A"/>
      </w:tcPr>
    </w:tblStylePr>
    <w:tblStylePr w:type="firstCol">
      <w:rPr>
        <w:rFonts w:ascii="Arial" w:hAnsi="Arial"/>
        <w:color w:val="F2F2F2"/>
        <w:sz w:val="22"/>
      </w:rPr>
      <w:tcPr>
        <w:shd w:val="clear" w:color="auto" w:fill="FFD864" w:themeFill="accent4" w:themeFillTint="9A"/>
      </w:tcPr>
    </w:tblStylePr>
    <w:tblStylePr w:type="lastCol">
      <w:rPr>
        <w:rFonts w:ascii="Arial" w:hAnsi="Arial"/>
        <w:color w:val="F2F2F2"/>
        <w:sz w:val="22"/>
      </w:rPr>
      <w:tcPr>
        <w:shd w:val="clear" w:color="auto"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auto"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auto" w:fill="FEF2CA" w:themeFill="accent4" w:themeFillTint="34"/>
      </w:tcPr>
    </w:tblStylePr>
  </w:style>
  <w:style w:type="table" w:customStyle="1" w:styleId="162">
    <w:name w:val="Lined - Accent 5"/>
    <w:basedOn w:val="28"/>
    <w:qFormat/>
    <w:uiPriority w:val="99"/>
    <w:pPr>
      <w:spacing w:after="0" w:line="240" w:lineRule="auto"/>
    </w:pPr>
    <w:rPr>
      <w:color w:val="404040"/>
    </w:rPr>
    <w:tblStylePr w:type="firstRow">
      <w:rPr>
        <w:rFonts w:ascii="Arial" w:hAnsi="Arial"/>
        <w:color w:val="F2F2F2"/>
        <w:sz w:val="22"/>
      </w:rPr>
      <w:tcPr>
        <w:shd w:val="clear" w:color="auto" w:fill="4472C4" w:themeFill="accent5"/>
      </w:tcPr>
    </w:tblStylePr>
    <w:tblStylePr w:type="lastRow">
      <w:rPr>
        <w:rFonts w:ascii="Arial" w:hAnsi="Arial"/>
        <w:color w:val="F2F2F2"/>
        <w:sz w:val="22"/>
      </w:rPr>
      <w:tcPr>
        <w:shd w:val="clear" w:color="auto" w:fill="4472C4" w:themeFill="accent5"/>
      </w:tcPr>
    </w:tblStylePr>
    <w:tblStylePr w:type="firstCol">
      <w:rPr>
        <w:rFonts w:ascii="Arial" w:hAnsi="Arial"/>
        <w:color w:val="F2F2F2"/>
        <w:sz w:val="22"/>
      </w:rPr>
      <w:tcPr>
        <w:shd w:val="clear" w:color="auto" w:fill="4472C4" w:themeFill="accent5"/>
      </w:tcPr>
    </w:tblStylePr>
    <w:tblStylePr w:type="lastCol">
      <w:rPr>
        <w:rFonts w:ascii="Arial" w:hAnsi="Arial"/>
        <w:color w:val="F2F2F2"/>
        <w:sz w:val="22"/>
      </w:r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auto"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auto" w:fill="D8E2F2" w:themeFill="accent5" w:themeFillTint="34"/>
      </w:tcPr>
    </w:tblStylePr>
  </w:style>
  <w:style w:type="table" w:customStyle="1" w:styleId="163">
    <w:name w:val="Lined - Accent 6"/>
    <w:basedOn w:val="28"/>
    <w:qFormat/>
    <w:uiPriority w:val="99"/>
    <w:pPr>
      <w:spacing w:after="0" w:line="240" w:lineRule="auto"/>
    </w:pPr>
    <w:rPr>
      <w:color w:val="404040"/>
    </w:rPr>
    <w:tblStylePr w:type="firstRow">
      <w:rPr>
        <w:rFonts w:ascii="Arial" w:hAnsi="Arial"/>
        <w:color w:val="F2F2F2"/>
        <w:sz w:val="22"/>
      </w:rPr>
      <w:tcPr>
        <w:shd w:val="clear" w:color="auto" w:fill="70AD47" w:themeFill="accent6"/>
      </w:tcPr>
    </w:tblStylePr>
    <w:tblStylePr w:type="lastRow">
      <w:rPr>
        <w:rFonts w:ascii="Arial" w:hAnsi="Arial"/>
        <w:color w:val="F2F2F2"/>
        <w:sz w:val="22"/>
      </w:rPr>
      <w:tcPr>
        <w:shd w:val="clear" w:color="auto" w:fill="70AD47" w:themeFill="accent6"/>
      </w:tcPr>
    </w:tblStylePr>
    <w:tblStylePr w:type="firstCol">
      <w:rPr>
        <w:rFonts w:ascii="Arial" w:hAnsi="Arial"/>
        <w:color w:val="F2F2F2"/>
        <w:sz w:val="22"/>
      </w:rPr>
      <w:tcPr>
        <w:shd w:val="clear" w:color="auto" w:fill="70AD47" w:themeFill="accent6"/>
      </w:tcPr>
    </w:tblStylePr>
    <w:tblStylePr w:type="lastCol">
      <w:rPr>
        <w:rFonts w:ascii="Arial" w:hAnsi="Arial"/>
        <w:color w:val="F2F2F2"/>
        <w:sz w:val="22"/>
      </w:r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auto" w:fill="E1EFD8" w:themeFill="accent6" w:themeFillTint="34"/>
      </w:tcPr>
    </w:tblStylePr>
  </w:style>
  <w:style w:type="table" w:customStyle="1" w:styleId="164">
    <w:name w:val="Bordered &amp; Lined - Accent"/>
    <w:basedOn w:val="28"/>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auto" w:fill="7E7E7E" w:themeFill="text1" w:themeFillTint="80"/>
      </w:tcPr>
    </w:tblStylePr>
    <w:tblStylePr w:type="lastRow">
      <w:rPr>
        <w:rFonts w:ascii="Arial" w:hAnsi="Arial"/>
        <w:color w:val="F2F2F2"/>
        <w:sz w:val="22"/>
      </w:rPr>
      <w:tcPr>
        <w:shd w:val="clear" w:color="auto" w:fill="7E7E7E" w:themeFill="text1" w:themeFillTint="80"/>
      </w:tcPr>
    </w:tblStylePr>
    <w:tblStylePr w:type="firstCol">
      <w:rPr>
        <w:rFonts w:ascii="Arial" w:hAnsi="Arial"/>
        <w:color w:val="F2F2F2"/>
        <w:sz w:val="22"/>
      </w:rPr>
      <w:tcPr>
        <w:shd w:val="clear" w:color="auto" w:fill="7E7E7E" w:themeFill="text1" w:themeFillTint="80"/>
      </w:tcPr>
    </w:tblStylePr>
    <w:tblStylePr w:type="lastCol">
      <w:rPr>
        <w:rFonts w:ascii="Arial" w:hAnsi="Arial"/>
        <w:color w:val="F2F2F2"/>
        <w:sz w:val="22"/>
      </w:rPr>
      <w:tcPr>
        <w:shd w:val="clear" w:color="auto"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auto"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auto" w:fill="F1F1F1" w:themeFill="text1" w:themeFillTint="0D"/>
      </w:tcPr>
    </w:tblStylePr>
  </w:style>
  <w:style w:type="table" w:customStyle="1" w:styleId="165">
    <w:name w:val="Bordered &amp; Lined - Accent 1"/>
    <w:basedOn w:val="28"/>
    <w:qFormat/>
    <w:uiPriority w:val="99"/>
    <w:pPr>
      <w:spacing w:after="0" w:line="240" w:lineRule="auto"/>
    </w:pPr>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auto" w:fill="68A3D8" w:themeFill="accent1" w:themeFillTint="EA"/>
      </w:tcPr>
    </w:tblStylePr>
    <w:tblStylePr w:type="lastRow">
      <w:rPr>
        <w:rFonts w:ascii="Arial" w:hAnsi="Arial"/>
        <w:color w:val="F2F2F2"/>
        <w:sz w:val="22"/>
      </w:rPr>
      <w:tcPr>
        <w:shd w:val="clear" w:color="auto" w:fill="68A3D8" w:themeFill="accent1" w:themeFillTint="EA"/>
      </w:tcPr>
    </w:tblStylePr>
    <w:tblStylePr w:type="firstCol">
      <w:rPr>
        <w:rFonts w:ascii="Arial" w:hAnsi="Arial"/>
        <w:color w:val="F2F2F2"/>
        <w:sz w:val="22"/>
      </w:rPr>
      <w:tcPr>
        <w:shd w:val="clear" w:color="auto" w:fill="68A3D8" w:themeFill="accent1" w:themeFillTint="EA"/>
      </w:tcPr>
    </w:tblStylePr>
    <w:tblStylePr w:type="lastCol">
      <w:rPr>
        <w:rFonts w:ascii="Arial" w:hAnsi="Arial"/>
        <w:color w:val="F2F2F2"/>
        <w:sz w:val="22"/>
      </w:rPr>
      <w:tcPr>
        <w:shd w:val="clear" w:color="auto"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auto" w:fill="CBDFF1" w:themeFill="accent1" w:themeFillTint="50"/>
      </w:tcPr>
    </w:tblStylePr>
  </w:style>
  <w:style w:type="table" w:customStyle="1" w:styleId="166">
    <w:name w:val="Bordered &amp; Lined - Accent 2"/>
    <w:basedOn w:val="28"/>
    <w:qFormat/>
    <w:uiPriority w:val="99"/>
    <w:pPr>
      <w:spacing w:after="0" w:line="240" w:lineRule="auto"/>
    </w:pPr>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auto" w:fill="F4B285" w:themeFill="accent2" w:themeFillTint="97"/>
      </w:tcPr>
    </w:tblStylePr>
    <w:tblStylePr w:type="lastRow">
      <w:rPr>
        <w:rFonts w:ascii="Arial" w:hAnsi="Arial"/>
        <w:color w:val="F2F2F2"/>
        <w:sz w:val="22"/>
      </w:rPr>
      <w:tcPr>
        <w:shd w:val="clear" w:color="auto" w:fill="F4B285" w:themeFill="accent2" w:themeFillTint="97"/>
      </w:tcPr>
    </w:tblStylePr>
    <w:tblStylePr w:type="firstCol">
      <w:rPr>
        <w:rFonts w:ascii="Arial" w:hAnsi="Arial"/>
        <w:color w:val="F2F2F2"/>
        <w:sz w:val="22"/>
      </w:rPr>
      <w:tcPr>
        <w:shd w:val="clear" w:color="auto" w:fill="F4B285" w:themeFill="accent2" w:themeFillTint="97"/>
      </w:tcPr>
    </w:tblStylePr>
    <w:tblStylePr w:type="lastCol">
      <w:rPr>
        <w:rFonts w:ascii="Arial" w:hAnsi="Arial"/>
        <w:color w:val="F2F2F2"/>
        <w:sz w:val="22"/>
      </w:rPr>
      <w:tcPr>
        <w:shd w:val="clear" w:color="auto"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auto" w:fill="FBE5D6" w:themeFill="accent2" w:themeFillTint="32"/>
      </w:tcPr>
    </w:tblStylePr>
  </w:style>
  <w:style w:type="table" w:customStyle="1" w:styleId="167">
    <w:name w:val="Bordered &amp; Lined - Accent 3"/>
    <w:basedOn w:val="28"/>
    <w:qFormat/>
    <w:uiPriority w:val="99"/>
    <w:pPr>
      <w:spacing w:after="0" w:line="240" w:lineRule="auto"/>
    </w:pPr>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uto" w:fill="A5A5A5" w:themeFill="accent3" w:themeFillTint="FE"/>
      </w:tcPr>
    </w:tblStylePr>
    <w:tblStylePr w:type="lastRow">
      <w:rPr>
        <w:rFonts w:ascii="Arial" w:hAnsi="Arial"/>
        <w:color w:val="F2F2F2"/>
        <w:sz w:val="22"/>
      </w:rPr>
      <w:tcPr>
        <w:shd w:val="clear" w:color="auto" w:fill="A5A5A5" w:themeFill="accent3" w:themeFillTint="FE"/>
      </w:tcPr>
    </w:tblStylePr>
    <w:tblStylePr w:type="firstCol">
      <w:rPr>
        <w:rFonts w:ascii="Arial" w:hAnsi="Arial"/>
        <w:color w:val="F2F2F2"/>
        <w:sz w:val="22"/>
      </w:rPr>
      <w:tcPr>
        <w:shd w:val="clear" w:color="auto" w:fill="A5A5A5" w:themeFill="accent3" w:themeFillTint="FE"/>
      </w:tcPr>
    </w:tblStylePr>
    <w:tblStylePr w:type="lastCol">
      <w:rPr>
        <w:rFonts w:ascii="Arial" w:hAnsi="Arial"/>
        <w:color w:val="F2F2F2"/>
        <w:sz w:val="22"/>
      </w:r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auto" w:fill="ECECEC" w:themeFill="accent3" w:themeFillTint="34"/>
      </w:tcPr>
    </w:tblStylePr>
  </w:style>
  <w:style w:type="table" w:customStyle="1" w:styleId="168">
    <w:name w:val="Bordered &amp; Lined - Accent 4"/>
    <w:basedOn w:val="28"/>
    <w:qFormat/>
    <w:uiPriority w:val="99"/>
    <w:pPr>
      <w:spacing w:after="0" w:line="240" w:lineRule="auto"/>
    </w:pPr>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auto" w:fill="FFD864" w:themeFill="accent4" w:themeFillTint="9A"/>
      </w:tcPr>
    </w:tblStylePr>
    <w:tblStylePr w:type="lastRow">
      <w:rPr>
        <w:rFonts w:ascii="Arial" w:hAnsi="Arial"/>
        <w:color w:val="F2F2F2"/>
        <w:sz w:val="22"/>
      </w:rPr>
      <w:tcPr>
        <w:shd w:val="clear" w:color="auto" w:fill="FFD864" w:themeFill="accent4" w:themeFillTint="9A"/>
      </w:tcPr>
    </w:tblStylePr>
    <w:tblStylePr w:type="firstCol">
      <w:rPr>
        <w:rFonts w:ascii="Arial" w:hAnsi="Arial"/>
        <w:color w:val="F2F2F2"/>
        <w:sz w:val="22"/>
      </w:rPr>
      <w:tcPr>
        <w:shd w:val="clear" w:color="auto" w:fill="FFD864" w:themeFill="accent4" w:themeFillTint="9A"/>
      </w:tcPr>
    </w:tblStylePr>
    <w:tblStylePr w:type="lastCol">
      <w:rPr>
        <w:rFonts w:ascii="Arial" w:hAnsi="Arial"/>
        <w:color w:val="F2F2F2"/>
        <w:sz w:val="22"/>
      </w:rPr>
      <w:tcPr>
        <w:shd w:val="clear" w:color="auto"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auto"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auto" w:fill="FEF2CA" w:themeFill="accent4" w:themeFillTint="34"/>
      </w:tcPr>
    </w:tblStylePr>
  </w:style>
  <w:style w:type="table" w:customStyle="1" w:styleId="169">
    <w:name w:val="Bordered &amp; Lined - Accent 5"/>
    <w:basedOn w:val="28"/>
    <w:qFormat/>
    <w:uiPriority w:val="99"/>
    <w:pPr>
      <w:spacing w:after="0" w:line="240" w:lineRule="auto"/>
    </w:pPr>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auto" w:fill="4472C4" w:themeFill="accent5"/>
      </w:tcPr>
    </w:tblStylePr>
    <w:tblStylePr w:type="lastRow">
      <w:rPr>
        <w:rFonts w:ascii="Arial" w:hAnsi="Arial"/>
        <w:color w:val="F2F2F2"/>
        <w:sz w:val="22"/>
      </w:rPr>
      <w:tcPr>
        <w:shd w:val="clear" w:color="auto" w:fill="4472C4" w:themeFill="accent5"/>
      </w:tcPr>
    </w:tblStylePr>
    <w:tblStylePr w:type="firstCol">
      <w:rPr>
        <w:rFonts w:ascii="Arial" w:hAnsi="Arial"/>
        <w:color w:val="F2F2F2"/>
        <w:sz w:val="22"/>
      </w:rPr>
      <w:tcPr>
        <w:shd w:val="clear" w:color="auto" w:fill="4472C4" w:themeFill="accent5"/>
      </w:tcPr>
    </w:tblStylePr>
    <w:tblStylePr w:type="lastCol">
      <w:rPr>
        <w:rFonts w:ascii="Arial" w:hAnsi="Arial"/>
        <w:color w:val="F2F2F2"/>
        <w:sz w:val="22"/>
      </w:r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auto"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auto" w:fill="D8E2F2" w:themeFill="accent5" w:themeFillTint="34"/>
      </w:tcPr>
    </w:tblStylePr>
  </w:style>
  <w:style w:type="table" w:customStyle="1" w:styleId="170">
    <w:name w:val="Bordered &amp; Lined - Accent 6"/>
    <w:basedOn w:val="28"/>
    <w:qFormat/>
    <w:uiPriority w:val="99"/>
    <w:pPr>
      <w:spacing w:after="0" w:line="240" w:lineRule="auto"/>
    </w:pPr>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auto" w:fill="70AD47" w:themeFill="accent6"/>
      </w:tcPr>
    </w:tblStylePr>
    <w:tblStylePr w:type="lastRow">
      <w:rPr>
        <w:rFonts w:ascii="Arial" w:hAnsi="Arial"/>
        <w:color w:val="F2F2F2"/>
        <w:sz w:val="22"/>
      </w:rPr>
      <w:tcPr>
        <w:shd w:val="clear" w:color="auto" w:fill="70AD47" w:themeFill="accent6"/>
      </w:tcPr>
    </w:tblStylePr>
    <w:tblStylePr w:type="firstCol">
      <w:rPr>
        <w:rFonts w:ascii="Arial" w:hAnsi="Arial"/>
        <w:color w:val="F2F2F2"/>
        <w:sz w:val="22"/>
      </w:rPr>
      <w:tcPr>
        <w:shd w:val="clear" w:color="auto" w:fill="70AD47" w:themeFill="accent6"/>
      </w:tcPr>
    </w:tblStylePr>
    <w:tblStylePr w:type="lastCol">
      <w:rPr>
        <w:rFonts w:ascii="Arial" w:hAnsi="Arial"/>
        <w:color w:val="F2F2F2"/>
        <w:sz w:val="22"/>
      </w:r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auto" w:fill="E1EFD8" w:themeFill="accent6" w:themeFillTint="34"/>
      </w:tcPr>
    </w:tblStylePr>
  </w:style>
  <w:style w:type="table" w:customStyle="1" w:styleId="171">
    <w:name w:val="Bordered"/>
    <w:basedOn w:val="28"/>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2">
    <w:name w:val="Bordered - Accent 1"/>
    <w:basedOn w:val="28"/>
    <w:qFormat/>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173">
    <w:name w:val="Bordered - Accent 2"/>
    <w:basedOn w:val="28"/>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74">
    <w:name w:val="Bordered - Accent 3"/>
    <w:basedOn w:val="28"/>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175">
    <w:name w:val="Bordered - Accent 4"/>
    <w:basedOn w:val="28"/>
    <w:qFormat/>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176">
    <w:name w:val="Bordered - Accent 5"/>
    <w:basedOn w:val="28"/>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177">
    <w:name w:val="Bordered - Accent 6"/>
    <w:basedOn w:val="28"/>
    <w:qFormat/>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178">
    <w:name w:val="Footnote Text Char"/>
    <w:qFormat/>
    <w:uiPriority w:val="99"/>
    <w:rPr>
      <w:sz w:val="18"/>
    </w:rPr>
  </w:style>
  <w:style w:type="paragraph" w:customStyle="1" w:styleId="179">
    <w:name w:val="TOC Heading"/>
    <w:unhideWhenUsed/>
    <w:qFormat/>
    <w:uiPriority w:val="39"/>
    <w:pPr>
      <w:pBdr>
        <w:top w:val="none" w:color="000000" w:sz="0" w:space="0"/>
        <w:left w:val="none" w:color="000000" w:sz="0" w:space="0"/>
        <w:bottom w:val="none" w:color="000000" w:sz="0" w:space="0"/>
        <w:right w:val="none" w:color="000000" w:sz="0" w:space="0"/>
        <w:between w:val="none" w:color="000000" w:sz="0" w:space="0"/>
      </w:pBdr>
      <w:shd w:val="clear" w:color="FFFFFF" w:fill="auto"/>
      <w:spacing w:before="0" w:beforeAutospacing="0" w:after="0" w:afterAutospacing="0" w:line="240" w:lineRule="auto"/>
      <w:ind w:left="0" w:right="0" w:firstLine="0"/>
      <w:jc w:val="left"/>
    </w:pPr>
    <w:rPr>
      <w:rFonts w:ascii="Calibri" w:hAnsi="Calibri" w:eastAsia="宋体" w:cs="Calibri"/>
      <w:color w:val="auto"/>
      <w:spacing w:val="0"/>
      <w:position w:val="0"/>
      <w:sz w:val="20"/>
      <w:szCs w:val="22"/>
      <w:lang w:val="en-US" w:eastAsia="en-US" w:bidi="en-US"/>
    </w:rPr>
  </w:style>
  <w:style w:type="paragraph" w:customStyle="1" w:styleId="180">
    <w:name w:val="figure"/>
    <w:basedOn w:val="1"/>
    <w:qFormat/>
    <w:uiPriority w:val="0"/>
    <w:pPr>
      <w:spacing w:line="240" w:lineRule="auto"/>
      <w:ind w:firstLine="0" w:firstLineChars="0"/>
      <w:jc w:val="center"/>
    </w:pPr>
  </w:style>
  <w:style w:type="paragraph" w:customStyle="1" w:styleId="181">
    <w:name w:val="题注1"/>
    <w:basedOn w:val="1"/>
    <w:qFormat/>
    <w:uiPriority w:val="0"/>
    <w:pPr>
      <w:spacing w:after="50" w:line="240" w:lineRule="auto"/>
      <w:ind w:firstLine="0" w:firstLineChars="0"/>
      <w:jc w:val="center"/>
    </w:pPr>
    <w:rPr>
      <w:rFonts w:ascii="黑体" w:hAnsi="黑体" w:eastAsia="黑体"/>
      <w:sz w:val="28"/>
      <w:szCs w:val="20"/>
    </w:rPr>
  </w:style>
  <w:style w:type="paragraph" w:customStyle="1" w:styleId="182">
    <w:name w:val="表头"/>
    <w:basedOn w:val="183"/>
    <w:qFormat/>
    <w:uiPriority w:val="0"/>
    <w:rPr>
      <w:b/>
    </w:rPr>
  </w:style>
  <w:style w:type="paragraph" w:customStyle="1" w:styleId="183">
    <w:name w:val="table"/>
    <w:basedOn w:val="1"/>
    <w:qFormat/>
    <w:uiPriority w:val="0"/>
    <w:pPr>
      <w:widowControl/>
      <w:spacing w:line="240" w:lineRule="auto"/>
      <w:ind w:firstLine="0" w:firstLineChars="0"/>
      <w:jc w:val="center"/>
    </w:pPr>
    <w:rPr>
      <w:rFonts w:ascii="宋体" w:hAnsi="宋体" w:eastAsia="宋体" w:cs="宋体"/>
      <w:bCs/>
      <w:sz w:val="21"/>
      <w:szCs w:val="21"/>
    </w:rPr>
  </w:style>
  <w:style w:type="paragraph" w:customStyle="1" w:styleId="184">
    <w:name w:val="WPSOffice手动目录 2"/>
    <w:qFormat/>
    <w:uiPriority w:val="0"/>
    <w:pPr>
      <w:pBdr>
        <w:top w:val="none" w:color="000000" w:sz="0" w:space="0"/>
        <w:left w:val="none" w:color="000000" w:sz="0" w:space="0"/>
        <w:bottom w:val="none" w:color="000000" w:sz="0" w:space="0"/>
        <w:right w:val="none" w:color="000000" w:sz="0" w:space="0"/>
        <w:between w:val="none" w:color="000000" w:sz="0" w:space="0"/>
      </w:pBdr>
      <w:shd w:val="clear" w:color="FFFFFF" w:fill="auto"/>
      <w:spacing w:before="0" w:beforeAutospacing="0" w:after="0" w:afterAutospacing="0" w:line="240" w:lineRule="auto"/>
      <w:ind w:left="0" w:leftChars="200" w:right="0" w:firstLine="0"/>
      <w:jc w:val="left"/>
    </w:pPr>
    <w:rPr>
      <w:rFonts w:ascii="Calibri" w:hAnsi="Calibri" w:eastAsia="宋体" w:cs="Calibri"/>
      <w:color w:val="auto"/>
      <w:spacing w:val="0"/>
      <w:position w:val="0"/>
      <w:sz w:val="20"/>
      <w:szCs w:val="20"/>
      <w:lang w:val="en-US" w:eastAsia="en-US" w:bidi="en-US"/>
    </w:rPr>
  </w:style>
  <w:style w:type="paragraph" w:customStyle="1" w:styleId="185">
    <w:name w:val="WPSOffice手动目录 1"/>
    <w:qFormat/>
    <w:uiPriority w:val="0"/>
    <w:pPr>
      <w:pBdr>
        <w:top w:val="none" w:color="000000" w:sz="0" w:space="0"/>
        <w:left w:val="none" w:color="000000" w:sz="0" w:space="0"/>
        <w:bottom w:val="none" w:color="000000" w:sz="0" w:space="0"/>
        <w:right w:val="none" w:color="000000" w:sz="0" w:space="0"/>
        <w:between w:val="none" w:color="000000" w:sz="0" w:space="0"/>
      </w:pBdr>
      <w:shd w:val="clear" w:color="FFFFFF" w:fill="auto"/>
      <w:spacing w:before="0" w:beforeAutospacing="0" w:after="0" w:afterAutospacing="0" w:line="240" w:lineRule="auto"/>
      <w:ind w:left="0" w:leftChars="0" w:right="0" w:firstLine="0"/>
      <w:jc w:val="left"/>
    </w:pPr>
    <w:rPr>
      <w:rFonts w:ascii="Calibri" w:hAnsi="Calibri" w:eastAsia="宋体" w:cs="Calibri"/>
      <w:color w:val="auto"/>
      <w:spacing w:val="0"/>
      <w:position w:val="0"/>
      <w:sz w:val="20"/>
      <w:szCs w:val="20"/>
      <w:lang w:val="en-US" w:eastAsia="en-US" w:bidi="en-US"/>
    </w:rPr>
  </w:style>
  <w:style w:type="paragraph" w:customStyle="1" w:styleId="186">
    <w:name w:val="正文1"/>
    <w:next w:val="187"/>
    <w:qFormat/>
    <w:uiPriority w:val="0"/>
    <w:pPr>
      <w:widowControl w:val="0"/>
      <w:pBdr>
        <w:top w:val="none" w:color="000000" w:sz="0" w:space="0"/>
        <w:left w:val="none" w:color="000000" w:sz="0" w:space="0"/>
        <w:bottom w:val="none" w:color="000000" w:sz="0" w:space="0"/>
        <w:right w:val="none" w:color="000000" w:sz="0" w:space="0"/>
        <w:between w:val="none" w:color="000000" w:sz="0" w:space="0"/>
      </w:pBdr>
      <w:shd w:val="clear" w:color="FFFFFF" w:fill="auto"/>
      <w:spacing w:before="0" w:beforeAutospacing="0" w:after="0" w:afterAutospacing="0" w:line="580" w:lineRule="exact"/>
      <w:ind w:left="0" w:leftChars="0" w:right="0" w:firstLine="0"/>
      <w:jc w:val="both"/>
    </w:pPr>
    <w:rPr>
      <w:rFonts w:ascii="Calibri" w:hAnsi="Calibri" w:eastAsia="仿宋_GB2312" w:cs="Times New Roman"/>
      <w:color w:val="auto"/>
      <w:spacing w:val="0"/>
      <w:position w:val="0"/>
      <w:sz w:val="32"/>
      <w:szCs w:val="24"/>
      <w:lang w:val="en-US" w:eastAsia="zh-CN" w:bidi="ar-SA"/>
    </w:rPr>
  </w:style>
  <w:style w:type="paragraph" w:customStyle="1" w:styleId="187">
    <w:name w:val="目录 21"/>
    <w:basedOn w:val="186"/>
    <w:next w:val="186"/>
    <w:qFormat/>
    <w:uiPriority w:val="0"/>
    <w:pPr>
      <w:ind w:left="420" w:leftChars="200"/>
    </w:pPr>
  </w:style>
  <w:style w:type="paragraph" w:customStyle="1" w:styleId="188">
    <w:name w:val="日期1"/>
    <w:basedOn w:val="186"/>
    <w:next w:val="186"/>
    <w:qFormat/>
    <w:uiPriority w:val="0"/>
    <w:pPr>
      <w:ind w:left="100" w:leftChars="2500"/>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chart" Target="charts/chart1.xml"/><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6605674887298"/>
          <c:y val="0.064387211367673"/>
          <c:w val="0.899416600371254"/>
          <c:h val="0.843783303730018"/>
        </c:manualLayout>
      </c:layout>
      <c:barChart>
        <c:barDir val="col"/>
        <c:grouping val="clustered"/>
        <c:varyColors val="0"/>
        <c:ser>
          <c:idx val="0"/>
          <c:order val="0"/>
          <c:tx>
            <c:strRef>
              <c:f>Sheet3!$C$30</c:f>
              <c:strCache>
                <c:ptCount val="1"/>
                <c:pt idx="0">
                  <c:v>生产性服务业（剔除批零业、住餐业）</c:v>
                </c:pt>
              </c:strCache>
            </c:strRef>
          </c:tx>
          <c:spPr>
            <a:solidFill>
              <a:schemeClr val="accent1"/>
            </a:solidFill>
            <a:ln>
              <a:noFill/>
            </a:ln>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Sheet3!$B$31:$B$35</c:f>
              <c:strCache>
                <c:ptCount val="5"/>
                <c:pt idx="0">
                  <c:v>2018年</c:v>
                </c:pt>
                <c:pt idx="1">
                  <c:v>2019年</c:v>
                </c:pt>
                <c:pt idx="2">
                  <c:v>2020年</c:v>
                </c:pt>
                <c:pt idx="3">
                  <c:v>2021年</c:v>
                </c:pt>
                <c:pt idx="4">
                  <c:v>2022年</c:v>
                </c:pt>
              </c:strCache>
            </c:strRef>
          </c:cat>
          <c:val>
            <c:numRef>
              <c:f>Sheet3!$C$31:$C$35</c:f>
              <c:numCache>
                <c:formatCode>General</c:formatCode>
                <c:ptCount val="5"/>
                <c:pt idx="0">
                  <c:v>253</c:v>
                </c:pt>
                <c:pt idx="1">
                  <c:v>274</c:v>
                </c:pt>
                <c:pt idx="2">
                  <c:v>280</c:v>
                </c:pt>
                <c:pt idx="3">
                  <c:v>313</c:v>
                </c:pt>
                <c:pt idx="4">
                  <c:v>264</c:v>
                </c:pt>
              </c:numCache>
            </c:numRef>
          </c:val>
        </c:ser>
        <c:dLbls>
          <c:showLegendKey val="0"/>
          <c:showVal val="0"/>
          <c:showCatName val="0"/>
          <c:showSerName val="0"/>
          <c:showPercent val="0"/>
          <c:showBubbleSize val="0"/>
        </c:dLbls>
        <c:gapWidth val="219"/>
        <c:overlap val="-27"/>
        <c:axId val="308593695"/>
        <c:axId val="308591199"/>
      </c:barChart>
      <c:catAx>
        <c:axId val="30859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8591199"/>
        <c:crosses val="autoZero"/>
        <c:auto val="1"/>
        <c:lblAlgn val="ctr"/>
        <c:lblOffset val="100"/>
        <c:noMultiLvlLbl val="0"/>
      </c:catAx>
      <c:valAx>
        <c:axId val="308591199"/>
        <c:scaling>
          <c:orientation val="minMax"/>
        </c:scaling>
        <c:delete val="0"/>
        <c:axPos val="l"/>
        <c:majorGridlines>
          <c:spPr>
            <a:ln w="9525" cap="flat" cmpd="sng" algn="ctr">
              <a:solidFill>
                <a:schemeClr val="tx1">
                  <a:lumMod val="15000"/>
                  <a:lumOff val="85000"/>
                </a:schemeClr>
              </a:solidFill>
              <a:prstDash val="solid"/>
              <a:round/>
            </a:ln>
          </c:spPr>
        </c:majorGridlines>
        <c:numFmt formatCode="General" sourceLinked="1"/>
        <c:majorTickMark val="none"/>
        <c:minorTickMark val="none"/>
        <c:tickLblPos val="nextTo"/>
        <c:spPr>
          <a:noFill/>
          <a:ln w="6350"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8593695"/>
        <c:crosses val="autoZero"/>
        <c:crossBetween val="between"/>
      </c:valAx>
      <c:spPr>
        <a:no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5</TotalTime>
  <ScaleCrop>false</ScaleCrop>
  <LinksUpToDate>false</LinksUpToDate>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2023-06-28T10:30:00Z</dcterms:created>
  <dc:creator>fgj</dc:creator>
  <cp:lastModifiedBy>发展和改革局_钟馨</cp:lastModifiedBy>
  <cp:lastPrinted>2023-07-06T08:15:00Z</cp:lastPrinted>
  <dcterms:modified xsi:type="dcterms:W3CDTF">2023-07-19T11:57:43Z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4E008B1DE73F48FC91024E0CC014DD93</vt:lpwstr>
  </property>
</Properties>
</file>